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Simplified SES / SSRM Methodology for a Single NMRF</w:t>
      </w:r>
    </w:p>
    <w:p>
      <w:pPr>
        <w:jc w:val="center"/>
      </w:pPr>
      <w:r>
        <w:rPr>
          <w:i/>
          <w:sz w:val="22"/>
        </w:rPr>
        <w:t>Practical methodology, controls, and end-to-end numerical example</w:t>
      </w:r>
    </w:p>
    <w:p>
      <w:r>
        <w:t>Prepared from the uploaded EBA Staff Paper Series No. 14, “A universal stress scenario approach for capitalising non-modellable risk factors under the FRTB.” This document is a simplified working methodology, not a substitute for legal/regulatory approval, supervisory guidance, or internal model validation.</w:t>
      </w:r>
    </w:p>
    <w:p>
      <w:pPr>
        <w:pStyle w:val="Heading1"/>
      </w:pPr>
      <w:r>
        <w:t>1. Executive summary</w:t>
      </w:r>
    </w:p>
    <w:p>
      <w:r>
        <w:t>For modellable risk factors, the IMA ES engine estimates stressed expected shortfall with modellable data and applies liquidity-horizon scaling. For non-modellable risk factors (NMRFs), the risk is capitalised separately through stress scenario risk measures. The practical objective is to find a prudent shock for the NMRF, revalue the portfolio at a small number of shock points, and scale the resulting 10-day loss to the NMRF liquidity horizon.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vAlign w:val="top"/>
            <w:shd w:fill="CBD5E1"/>
          </w:tcPr>
          <w:p>
            <w:r/>
            <w:r>
              <w:rPr>
                <w:b/>
                <w:sz w:val="16"/>
              </w:rPr>
              <w:t>Topic</w:t>
            </w:r>
          </w:p>
        </w:tc>
        <w:tc>
          <w:tcPr>
            <w:tcW w:type="dxa" w:w="8208"/>
            <w:vAlign w:val="top"/>
            <w:shd w:fill="CBD5E1"/>
          </w:tcPr>
          <w:p>
            <w:r/>
            <w:r>
              <w:rPr>
                <w:b/>
                <w:sz w:val="16"/>
              </w:rPr>
              <w:t>Simplified explanation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What SES does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Capitalises the loss from NMRFs outside the integrated modellable ES calculation.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Core idea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Estimate left and right 10-day stressed tail shocks for the NMRF return distribution, then take the worse portfolio loss.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Why it is efficient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It avoids revaluing every historical return. The method normally requires four loss-grid revaluations plus one extra revaluation for non-linearity if the worst loss is at the boundary.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Data principle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More observations allow a historical ES shock. Sparse observations use the asymmetrical sigma method. Very sparse cases fall back to standardised shocks or similar risk factors.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Output for one NMRF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6"/>
              </w:rPr>
              <w:t>SS10d is the 10-day risk measure. Final SS is SS10d scaled by sqrt(max(LH,20)/10). For a single NMRF, its SES contribution equals final SS.</w:t>
            </w:r>
          </w:p>
        </w:tc>
      </w:tr>
    </w:tbl>
    <w:p>
      <w:pPr>
        <w:pStyle w:val="Heading1"/>
      </w:pPr>
      <w:r>
        <w:t>2. Terms and sign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CBD5E1"/>
          </w:tcPr>
          <w:p>
            <w:r/>
            <w:r>
              <w:rPr>
                <w:b/>
                <w:sz w:val="16"/>
              </w:rPr>
              <w:t>Term</w:t>
            </w:r>
          </w:p>
        </w:tc>
        <w:tc>
          <w:tcPr>
            <w:tcW w:type="dxa" w:w="8496"/>
            <w:vAlign w:val="top"/>
            <w:shd w:fill="CBD5E1"/>
          </w:tcPr>
          <w:p>
            <w:r/>
            <w:r>
              <w:rPr>
                <w:b/>
                <w:sz w:val="16"/>
              </w:rPr>
              <w:t>Working definition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NMRF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A risk factor that failed RFET and is therefore not included in the modellable ES set.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SSRM / SS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Stress scenario risk measure for one NMRF or NMRF bucket. This is the building block used in SES aggregation.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SES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The aggregate non-modellable risk capital measure. For one non-idiosyncratic NMRF by itself, SES equals its final scaled SS.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Shock x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The change applied to the NMRF. In this example, x is an absolute bps shock.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Loss l(x)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Portfolio loss after shock x: Base NPV minus Stressed NPV. Positive means loss; negative means gain.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LH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b w:val="0"/>
                <w:sz w:val="16"/>
              </w:rPr>
              <w:t>Liquidity horizon assigned to the NMRF. The method floors LH at 20 business days before scaling.</w:t>
            </w:r>
          </w:p>
        </w:tc>
      </w:tr>
    </w:tbl>
    <w:p>
      <w:pPr>
        <w:pStyle w:val="Heading1"/>
      </w:pPr>
      <w:r>
        <w:t>3. Simplified methodology workflow</w:t>
      </w:r>
    </w:p>
    <w:p>
      <w:r>
        <w:t>The methodology can be implemented as the following controlled process.</w:t>
      </w:r>
    </w:p>
    <w:p>
      <w:pPr>
        <w:pStyle w:val="Heading2"/>
      </w:pPr>
      <w:r>
        <w:t>Step 1 - Confirm NMRF scope</w:t>
      </w:r>
    </w:p>
    <w:p>
      <w:pPr>
        <w:pStyle w:val="ListBullet"/>
      </w:pPr>
      <w:r>
        <w:t>Input the RFET result, risk class, NMRF identifier, risk-factor definition, return type, and liquidity horizon.</w:t>
      </w:r>
    </w:p>
    <w:p>
      <w:pPr>
        <w:pStyle w:val="ListBullet"/>
      </w:pPr>
      <w:r>
        <w:t>Confirm the SSRM portfolio: only positions in desks eligible for IMA treatment should be included in this calculation.</w:t>
      </w:r>
    </w:p>
    <w:p>
      <w:pPr>
        <w:pStyle w:val="ListBullet"/>
      </w:pPr>
      <w:r>
        <w:t>Define the sign and unit of the NMRF shock before building returns: absolute bps, relative percent, or log return.</w:t>
      </w:r>
    </w:p>
    <w:p>
      <w:pPr>
        <w:pStyle w:val="Heading2"/>
      </w:pPr>
      <w:r>
        <w:t>Step 2 - Build a 10-business-day stressed return sample</w:t>
      </w:r>
    </w:p>
    <w:p>
      <w:pPr>
        <w:pStyle w:val="ListBullet"/>
      </w:pPr>
      <w:r>
        <w:t>Use the common 12-month stress period for the risk class.</w:t>
      </w:r>
    </w:p>
    <w:p>
      <w:pPr>
        <w:pStyle w:val="ListBullet"/>
      </w:pPr>
      <w:r>
        <w:t>If observations are daily, use rolling 10-business-day returns.</w:t>
      </w:r>
    </w:p>
    <w:p>
      <w:pPr>
        <w:pStyle w:val="ListBullet"/>
      </w:pPr>
      <w:r>
        <w:t>If observations are sparse, use the nearest next observation to a 10-business-day window, then rescale to a 10-day equivalent with square-root-of-time.</w:t>
      </w:r>
    </w:p>
    <w:p>
      <w:pPr>
        <w:pStyle w:val="ListBullet"/>
      </w:pPr>
      <w:r>
        <w:t>Let X be the resulting sample of N 10-day returns for the NMRF.</w:t>
      </w:r>
    </w:p>
    <w:p>
      <w:pPr>
        <w:pStyle w:val="Heading2"/>
      </w:pPr>
      <w:r>
        <w:t>Step 3 - Choose the shock calibration path</w:t>
      </w:r>
    </w:p>
    <w:p>
      <w:pPr>
        <w:pStyle w:val="ListBullet"/>
      </w:pPr>
      <w:r>
        <w:t>If N &gt;= 200, use the historical method: left-tail and right-tail ES of X, multiplied by the uncertainty compensation factor.</w:t>
      </w:r>
    </w:p>
    <w:p>
      <w:pPr>
        <w:pStyle w:val="ListBullet"/>
      </w:pPr>
      <w:r>
        <w:t>If 12 &lt;= N &lt; 200, use the asymmetrical sigma method.</w:t>
      </w:r>
    </w:p>
    <w:p>
      <w:pPr>
        <w:pStyle w:val="ListBullet"/>
      </w:pPr>
      <w:r>
        <w:t>If N &lt; 12, use a fallback shock based on standardised shocks or a similar risk factor with enough data; then proceed with the same loss-profile methodology.</w:t>
      </w:r>
    </w:p>
    <w:p>
      <w:pPr>
        <w:pStyle w:val="Heading2"/>
      </w:pPr>
      <w:r>
        <w:t>Step 4 - Calibrate down and up shocks</w:t>
      </w:r>
    </w:p>
    <w:p>
      <w:pPr>
        <w:pStyle w:val="ListBullet"/>
      </w:pPr>
      <w:r>
        <w:t>Down shock CS_down is a positive magnitude representing the left-tail move.</w:t>
      </w:r>
    </w:p>
    <w:p>
      <w:pPr>
        <w:pStyle w:val="ListBullet"/>
      </w:pPr>
      <w:r>
        <w:t>Up shock CS_up is a positive magnitude representing the right-tail move.</w:t>
      </w:r>
    </w:p>
    <w:p>
      <w:pPr>
        <w:pStyle w:val="ListBullet"/>
      </w:pPr>
      <w:r>
        <w:t>Both shocks are inflated by UCF to reflect sampling uncertainty. In the simplified implementation: UCF(Neff) = 0.95 + 1 / sqrt(Neff - 1.5).</w:t>
      </w:r>
    </w:p>
    <w:p>
      <w:pPr>
        <w:pStyle w:val="Heading2"/>
      </w:pPr>
      <w:r>
        <w:t>Step 5 - Revalue the portfolio on the four-point grid</w:t>
      </w:r>
    </w:p>
    <w:p>
      <w:pPr>
        <w:pStyle w:val="ListBullet"/>
      </w:pPr>
      <w:r>
        <w:t>Evaluate l(x) at four shocks: -CS_down, -0.8 x CS_down, +0.8 x CS_up, and +CS_up.</w:t>
      </w:r>
    </w:p>
    <w:p>
      <w:pPr>
        <w:pStyle w:val="ListBullet"/>
      </w:pPr>
      <w:r>
        <w:t>Select FSD, the shock that creates the highest loss among those four values.</w:t>
      </w:r>
    </w:p>
    <w:p>
      <w:pPr>
        <w:pStyle w:val="ListBullet"/>
      </w:pPr>
      <w:r>
        <w:t>If all four values are zero or gains, set SS10d to zero.</w:t>
      </w:r>
    </w:p>
    <w:p>
      <w:pPr>
        <w:pStyle w:val="Heading2"/>
      </w:pPr>
      <w:r>
        <w:t>Step 6 - Apply the boundary or inner-point rule</w:t>
      </w:r>
    </w:p>
    <w:p>
      <w:pPr>
        <w:pStyle w:val="ListBullet"/>
      </w:pPr>
      <w:r>
        <w:t>If the worst loss occurs at an inner point, set SS10d = l(FSD).</w:t>
      </w:r>
    </w:p>
    <w:p>
      <w:pPr>
        <w:pStyle w:val="ListBullet"/>
      </w:pPr>
      <w:r>
        <w:t>If the worst loss occurs at a boundary point, evaluate one additional loss at 1.2 x FSD and apply the non-linearity correction K.</w:t>
      </w:r>
    </w:p>
    <w:p>
      <w:pPr>
        <w:pStyle w:val="ListBullet"/>
      </w:pPr>
      <w:r>
        <w:t>K is floored at 0.9 and capped at 5. Then SS10d = K x l(FSD).</w:t>
      </w:r>
    </w:p>
    <w:p>
      <w:pPr>
        <w:pStyle w:val="Heading2"/>
      </w:pPr>
      <w:r>
        <w:t>Step 7 - Scale to liquidity horizon</w:t>
      </w:r>
    </w:p>
    <w:p>
      <w:pPr>
        <w:pStyle w:val="ListBullet"/>
      </w:pPr>
      <w:r>
        <w:t>Compute LH_floored = max(LH, 20).</w:t>
      </w:r>
    </w:p>
    <w:p>
      <w:pPr>
        <w:pStyle w:val="ListBullet"/>
      </w:pPr>
      <w:r>
        <w:t>Final SS = SS10d x sqrt(LH_floored / 10).</w:t>
      </w:r>
    </w:p>
    <w:p>
      <w:pPr>
        <w:pStyle w:val="ListBullet"/>
      </w:pPr>
      <w:r>
        <w:t>For a single NMRF, the final scaled SS is the single-NMRF SES contribution.</w:t>
      </w:r>
    </w:p>
    <w:p>
      <w:r>
        <w:br w:type="page"/>
      </w:r>
      <w:pPr>
        <w:pStyle w:val="Heading1"/>
      </w:pPr>
      <w:r>
        <w:t>4. Formula dictionary for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CBD5E1"/>
          </w:tcPr>
          <w:p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4608"/>
            <w:vAlign w:val="top"/>
            <w:shd w:fill="CBD5E1"/>
          </w:tcPr>
          <w:p>
            <w:r/>
            <w:r>
              <w:rPr>
                <w:b/>
                <w:sz w:val="16"/>
              </w:rPr>
              <w:t>Formula</w:t>
            </w:r>
          </w:p>
        </w:tc>
        <w:tc>
          <w:tcPr>
            <w:tcW w:type="dxa" w:w="3888"/>
            <w:vAlign w:val="top"/>
            <w:shd w:fill="CBD5E1"/>
          </w:tcPr>
          <w:p>
            <w:r/>
            <w:r>
              <w:rPr>
                <w:b/>
                <w:sz w:val="16"/>
              </w:rPr>
              <w:t>Implementation note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Loss function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l(x) = Base NPV - Stressed NPV(x)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Loss positive means adverse P&amp;L.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10-day return rescaling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X_t = sqrt(10 / days_between) x return(D_t, D_nearest)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Used when observations are not exactly 10 business days apart.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Asigma split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X_down = returns &lt;= median(X); X_up = returns &gt; median(X)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Allows down/up tails to have different volatility.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Asigma down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AS_down = -mean(X_down) + 3 x stdev_down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stdev uses denominator N_down - 1.5.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Asigma up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AS_up = mean(X_up) + 3 x stdev_up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stdev uses denominator N_up - 1.5.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UCF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UCF(Neff) = 0.95 + 1 / sqrt(Neff - 1.5)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Neff=N for historical; Neff=N_down or N_up for asigma.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Calibrated shocks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CS_down = AS_down x UCF_down; CS_up = AS_up x UCF_up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Historical method replaces AS with historical tail 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Shock grid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Theta = {-CS_down, -0.8CS_down, +0.8CS_up, +CS_up}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Four portfolio revaluations for FSD.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FSD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argmax over Theta of l(x)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Shock that creates the highest loss.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K raw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K_tilde = 1 + 25/2 x [(l(0.8FSD) - 2l(FSD) + l(1.2FSD)) / l(FSD)] x (phi - 1)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For asigma, phi=1.04.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K applied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K = max(0.9, min(K_tilde, 5))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Applies floor and cap.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10-day SS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Boundary: SS10d = K x l(FSD); Inner: SS10d = l(FSD)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If l(FSD)&lt;=0, SS10d=0.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Final SS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SS = SS10d x sqrt(max(LH,20)/10)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Liquidity-horizon scaling.</w:t>
            </w:r>
          </w:p>
        </w:tc>
      </w:tr>
    </w:tbl>
    <w:p>
      <w:pPr>
        <w:pStyle w:val="Heading1"/>
      </w:pPr>
      <w:r>
        <w:t>5. Numerical example - single NMRF</w:t>
      </w:r>
    </w:p>
    <w:p>
      <w:r>
        <w:t>The companion Excel workbook implements the example below. The example uses an NMRF with 20 stressed 10-day absolute returns in bps, so the asigma method is selected.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top"/>
            <w:shd w:fill="CBD5E1"/>
          </w:tcPr>
          <w:p>
            <w:r/>
            <w:r>
              <w:rPr>
                <w:b/>
                <w:sz w:val="16"/>
              </w:rPr>
              <w:t>Input</w:t>
            </w:r>
          </w:p>
        </w:tc>
        <w:tc>
          <w:tcPr>
            <w:tcW w:type="dxa" w:w="7632"/>
            <w:vAlign w:val="top"/>
            <w:shd w:fill="CBD5E1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NMRF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5Y EUR/USD XCCY basis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Return unit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Absolute bps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N returns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20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Liquidity horizon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40 business days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Base NPV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$100,000,000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Illustrative loss model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l(x) = 75,000 x + 1,500 x^2, with x in bps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Constants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6"/>
              </w:rPr>
              <w:t>C_asigma=3, phi_asigma=1.04, UCF_A=0.95, UCF_B=1.0</w:t>
            </w:r>
          </w:p>
        </w:tc>
      </w:tr>
    </w:tbl>
    <w:p>
      <w:pPr>
        <w:pStyle w:val="Heading2"/>
      </w:pPr>
      <w:r>
        <w:t>5.1 Return sample and shock calibration</w:t>
      </w:r>
    </w:p>
    <w:p>
      <w:r>
        <w:t>The 20 shocks are: -8.5, -6.2, -5.8, -4.9, -4.5, -3.7, -2.9, -2.2, -1.5, -0.8, 0.4, 1.1, 1.8, 2.5, 3.4, 4.2, 5.5, 6.8, 8.7, 11.5 bps.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top"/>
            <w:shd w:fill="CBD5E1"/>
          </w:tcPr>
          <w:p>
            <w:r/>
            <w:r>
              <w:rPr>
                <w:b/>
                <w:sz w:val="16"/>
              </w:rPr>
              <w:t>Calculation</w:t>
            </w:r>
          </w:p>
        </w:tc>
        <w:tc>
          <w:tcPr>
            <w:tcW w:type="dxa" w:w="7344"/>
            <w:vAlign w:val="top"/>
            <w:shd w:fill="CBD5E1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Median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-0.20 bps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N_down / N_up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10 / 10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Mean_down / Mean_up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-4.10 bps / 4.59 bps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Std_down / Std_up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2.4331 bps / 3.6591 bps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AS_down / AS_up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11.3993 bps / 15.5674 bps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UCF_down / UCF_up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1.2930 / 1.2930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CS_down / CS_up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6"/>
              </w:rPr>
              <w:t>14.7393 bps / 20.1286 bps</w:t>
            </w:r>
          </w:p>
        </w:tc>
      </w:tr>
    </w:tbl>
    <w:p>
      <w:pPr>
        <w:pStyle w:val="Heading2"/>
      </w:pPr>
      <w:r>
        <w:t>5.2 Loss grid and extreme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CBD5E1"/>
          </w:tcPr>
          <w:p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2160"/>
            <w:vAlign w:val="top"/>
            <w:shd w:fill="CBD5E1"/>
          </w:tcPr>
          <w:p>
            <w:r/>
            <w:r>
              <w:rPr>
                <w:b/>
                <w:sz w:val="16"/>
              </w:rPr>
              <w:t>Shock</w:t>
            </w:r>
          </w:p>
        </w:tc>
        <w:tc>
          <w:tcPr>
            <w:tcW w:type="dxa" w:w="2160"/>
            <w:vAlign w:val="top"/>
            <w:shd w:fill="CBD5E1"/>
          </w:tcPr>
          <w:p>
            <w:r/>
            <w:r>
              <w:rPr>
                <w:b/>
                <w:sz w:val="16"/>
              </w:rPr>
              <w:t>Loss</w:t>
            </w:r>
          </w:p>
        </w:tc>
        <w:tc>
          <w:tcPr>
            <w:tcW w:type="dxa" w:w="3600"/>
            <w:vAlign w:val="top"/>
            <w:shd w:fill="CBD5E1"/>
          </w:tcPr>
          <w:p>
            <w:r/>
            <w:r>
              <w:rPr>
                <w:b/>
                <w:sz w:val="16"/>
              </w:rPr>
              <w:t>Selected?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Down boundary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-14.7393 bps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-$779,577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Down inner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-11.7914 bps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-$675,800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 inner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16.1029 bps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$1,596,672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 boundary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20.1286 bps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$2,117,389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Yes - FSD</w:t>
            </w:r>
          </w:p>
        </w:tc>
      </w:tr>
    </w:tbl>
    <w:p>
      <w:r>
        <w:t>The largest loss occurs at the up-boundary shock, so FSD = +20.1286 bps and l(FSD) = $2,117,389. Because the FSD is at the boundary, the non-linearity correction is applied.</w:t>
      </w:r>
    </w:p>
    <w:p>
      <w:r>
        <w:br w:type="page"/>
      </w:r>
      <w:pPr>
        <w:pStyle w:val="Heading2"/>
      </w:pPr>
      <w:r>
        <w:t>5.3 Non-linearity correction and liquidity-horizon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top"/>
            <w:shd w:fill="CBD5E1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6912"/>
            <w:vAlign w:val="top"/>
            <w:shd w:fill="CBD5E1"/>
          </w:tcPr>
          <w:p>
            <w:r/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l(0.8 x FSD)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$1,596,672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l(FSD)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$2,117,389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l(1.2 x FSD)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$2,686,725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K_tilde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1.0115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K applied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1.0115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SS10d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$2,141,699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LH scaling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sqrt(40/10) = 2.0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Final SS / single-NMRF SES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$4,283,397</w:t>
            </w:r>
          </w:p>
        </w:tc>
      </w:tr>
    </w:tbl>
    <w:p>
      <w:r>
        <w:br w:type="page"/>
      </w:r>
      <w:pPr>
        <w:pStyle w:val="Heading1"/>
      </w:pPr>
      <w:r>
        <w:t>6. Control checklist for production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CBD5E1"/>
          </w:tcPr>
          <w:p>
            <w:r/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920"/>
            <w:vAlign w:val="top"/>
            <w:shd w:fill="CBD5E1"/>
          </w:tcPr>
          <w:p>
            <w:r/>
            <w:r>
              <w:rPr>
                <w:b/>
                <w:sz w:val="16"/>
              </w:rPr>
              <w:t>Evidence to retain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Scope control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RFET classification, NMRF ID, bucket or single-RF scope, desk/portfolio scope are approved and versioned.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Data lineage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Stress-period observations, return type, 10-day construction, and rescaling are reproducible.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Method selection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N threshold and calibration method are controlled: historical, asigma, or fallback.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Unit/sign convention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RF unit and shock sign are consistent between returns, pricing, sensitivities, and reporting.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Pricing/revaluation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Portfolio loss l(x) uses production-approved pricing; sensitivity fallback is documented for failed revaluations.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Non-linearity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Boundary/inner selection and K calculation are stored with the shock grid and loss values.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Liquidity horizon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LH assignment and max(LH,20) floor are auditable.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Aggregation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Risk-factor classification into idiosyncratic credit, idiosyncratic equity, or other risk is documented before portfolio-level SES aggregation.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Overrides and supervisor cases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Fallback shocks, maximum-loss treatment, or model-validation overrides are governed with approvals.</w:t>
            </w:r>
          </w:p>
        </w:tc>
      </w:tr>
    </w:tbl>
    <w:p>
      <w:pPr>
        <w:pStyle w:val="Heading1"/>
      </w:pPr>
      <w:r>
        <w:t>7. Excel workbook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  <w:shd w:fill="CBD5E1"/>
          </w:tcPr>
          <w:p>
            <w:r/>
            <w:r>
              <w:rPr>
                <w:b/>
                <w:sz w:val="16"/>
              </w:rPr>
              <w:t>Sheet</w:t>
            </w:r>
          </w:p>
        </w:tc>
        <w:tc>
          <w:tcPr>
            <w:tcW w:type="dxa" w:w="7920"/>
            <w:vAlign w:val="top"/>
            <w:shd w:fill="CBD5E1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Methodology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Plain-English workflow and controls.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Inputs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Editable input assumptions for the example.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RF_Returns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Example stressed 10-day RF shocks.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Shock_Calibration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Asigma split, UCF, CS_down, and CS_up.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Loss_Profile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Four-point shock grid, stressed NPV, and loss calculation.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SES_Output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FSD, K, SS10d, liquidity-horizon scaling, and final SES.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Sources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Source notes and official reference URLs.</w:t>
            </w:r>
          </w:p>
        </w:tc>
      </w:tr>
    </w:tbl>
    <w:p>
      <w:pPr>
        <w:pStyle w:val="Heading1"/>
      </w:pPr>
      <w:r>
        <w:t>8. Source notes</w:t>
      </w:r>
    </w:p>
    <w:p>
      <w:r>
        <w:t>Primary source: uploaded EBA Staff Paper Series No. 14, “A universal stress scenario approach for capitalising non-modellable risk factors under the FRTB.” The methodology document paraphrases the source and uses its terminology: RFET, NMRF, stress scenario risk measure, calibrated shocks, asymmetrical sigma method, uncertainty compensation factor, non-linearity correction, liquidity-horizon scaling, and aggregation.</w:t>
      </w:r>
    </w:p>
    <w:p>
      <w:r>
        <w:t>Official public references used in the workbook source sheet: EBA Staff Papers page and EBA RTS page on the capitalisation of non-modellable risk factors under FRTB.</w:t>
      </w:r>
    </w:p>
    <w:p/>
    <w:p>
      <w:pPr>
        <w:jc w:val="center"/>
      </w:pPr>
      <w:r>
        <w:rPr>
          <w:i/>
          <w:sz w:val="18"/>
        </w:rPr>
        <w:t>End of methodology document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