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A9B2" w14:textId="77777777" w:rsidR="00736FD2" w:rsidRDefault="00736FD2" w:rsidP="00736FD2">
      <w:r>
        <w:fldChar w:fldCharType="begin"/>
      </w:r>
      <w:r>
        <w:instrText>HYPERLINK "</w:instrText>
      </w:r>
      <w:r w:rsidRPr="00FB033B">
        <w:instrText>https://www.federalreserve.gov/pubs/feds/2006/200628/index.html</w:instrText>
      </w:r>
      <w:r>
        <w:instrText>"</w:instrText>
      </w:r>
      <w:r>
        <w:fldChar w:fldCharType="separate"/>
      </w:r>
      <w:r w:rsidRPr="00D0504C">
        <w:rPr>
          <w:rStyle w:val="Hyperlink"/>
        </w:rPr>
        <w:t>https://www.federalreserve.gov/pubs/feds/2006/200628/index.html</w:t>
      </w:r>
      <w:r>
        <w:fldChar w:fldCharType="end"/>
      </w:r>
    </w:p>
    <w:p w14:paraId="03D1CC6E" w14:textId="0E75F1F3" w:rsidR="00736FD2" w:rsidRPr="00CB129E" w:rsidRDefault="00FB033B">
      <w:pPr>
        <w:rPr>
          <w:color w:val="EE0000"/>
        </w:rPr>
      </w:pPr>
      <w:r w:rsidRPr="00CB129E">
        <w:rPr>
          <w:color w:val="EE0000"/>
        </w:rPr>
        <w:t xml:space="preserve">The Fed acknowledges that forward rate curve is expressed as two coordinates </w:t>
      </w:r>
      <w:r w:rsidRPr="00CB129E">
        <w:rPr>
          <w:color w:val="EE0000"/>
        </w:rPr>
        <w:t>n-by-m</w:t>
      </w:r>
      <w:r w:rsidRPr="00CB129E">
        <w:rPr>
          <w:color w:val="EE0000"/>
        </w:rPr>
        <w:t xml:space="preserve"> </w:t>
      </w:r>
      <w:r w:rsidR="00736FD2" w:rsidRPr="00CB129E">
        <w:rPr>
          <w:color w:val="EE0000"/>
        </w:rPr>
        <w:t xml:space="preserve">(m-year beginning n years) </w:t>
      </w:r>
      <w:r w:rsidR="00736FD2" w:rsidRPr="00CB129E">
        <w:rPr>
          <w:color w:val="EE0000"/>
        </w:rPr>
        <w:t xml:space="preserve">but they treat it as single dimension curve. </w:t>
      </w:r>
    </w:p>
    <w:p w14:paraId="0C5A40F9" w14:textId="3E7CDC4B" w:rsidR="00FB033B" w:rsidRPr="00CB129E" w:rsidRDefault="00FB033B">
      <w:pPr>
        <w:rPr>
          <w:color w:val="EE0000"/>
          <w:shd w:val="clear" w:color="auto" w:fill="FFFFFF"/>
        </w:rPr>
      </w:pPr>
      <w:r w:rsidRPr="00CB129E">
        <w:rPr>
          <w:color w:val="EE0000"/>
          <w:shd w:val="clear" w:color="auto" w:fill="FFFFFF"/>
        </w:rPr>
        <w:t>They stated: “</w:t>
      </w:r>
      <w:r w:rsidRPr="00CB129E">
        <w:rPr>
          <w:color w:val="EE0000"/>
          <w:shd w:val="clear" w:color="auto" w:fill="FFFFFF"/>
        </w:rPr>
        <w:t>Yields and forward rates are simply alternative ways of describing the same curve</w:t>
      </w:r>
      <w:r w:rsidRPr="00CB129E">
        <w:rPr>
          <w:color w:val="EE0000"/>
          <w:shd w:val="clear" w:color="auto" w:fill="FFFFFF"/>
        </w:rPr>
        <w:t xml:space="preserve">” </w:t>
      </w:r>
    </w:p>
    <w:p w14:paraId="64577FD8" w14:textId="77777777" w:rsidR="00CB129E" w:rsidRDefault="00CB129E">
      <w:pPr>
        <w:rPr>
          <w:color w:val="000000"/>
          <w:shd w:val="clear" w:color="auto" w:fill="FFFFFF"/>
        </w:rPr>
      </w:pPr>
    </w:p>
    <w:p w14:paraId="7228B8EE" w14:textId="77777777" w:rsidR="00CB129E" w:rsidRPr="00CB129E" w:rsidRDefault="00CB129E" w:rsidP="00CB129E">
      <w:pPr>
        <w:rPr>
          <w:color w:val="EE0000"/>
        </w:rPr>
      </w:pPr>
      <w:r w:rsidRPr="00CB129E">
        <w:rPr>
          <w:color w:val="EE0000"/>
        </w:rPr>
        <w:t>. But when they draw "the forward curve," they fix one index and plot it against a single maturity axis, as a 1D curve (they use instantaneous forward rates</w:t>
      </w:r>
      <w:proofErr w:type="gramStart"/>
      <w:r w:rsidRPr="00CB129E">
        <w:rPr>
          <w:color w:val="EE0000"/>
        </w:rPr>
        <w:t>) .</w:t>
      </w:r>
      <w:proofErr w:type="gramEnd"/>
      <w:r w:rsidRPr="00CB129E">
        <w:rPr>
          <w:color w:val="EE0000"/>
        </w:rPr>
        <w:t xml:space="preserve"> They then compare it directly with the zero/spot and par curves on the same axis</w:t>
      </w:r>
    </w:p>
    <w:p w14:paraId="1F4B7B53" w14:textId="77777777" w:rsidR="00CB129E" w:rsidRDefault="00CB129E" w:rsidP="00CB129E">
      <w:r>
        <w:t>The paper explains that the Nelson</w:t>
      </w:r>
      <w:r>
        <w:noBreakHyphen/>
        <w:t>Siegel</w:t>
      </w:r>
      <w:r>
        <w:noBreakHyphen/>
        <w:t>Svensson model assumes that instantaneous forward rates n years ahead are characterized by a continuous function of n alone</w:t>
      </w:r>
    </w:p>
    <w:p w14:paraId="37E667A3" w14:textId="77777777" w:rsidR="00CB129E" w:rsidRDefault="00CB129E"/>
    <w:p w14:paraId="1794B7FE" w14:textId="77777777" w:rsidR="00CB129E" w:rsidRPr="00736FD2" w:rsidRDefault="00CB129E">
      <w:pPr>
        <w:rPr>
          <w:color w:val="000000"/>
          <w:shd w:val="clear" w:color="auto" w:fill="FFFFFF"/>
        </w:rPr>
      </w:pPr>
    </w:p>
    <w:p w14:paraId="690B3086" w14:textId="2185FECB" w:rsidR="00FB033B" w:rsidRDefault="00FB033B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By using forward rates, we can summarize the yield curve in some potentially more informative ways. For example, the ten-year Treasury yield can be decomposed into one-year forward rates over that ten-year horizon.</w:t>
      </w:r>
    </w:p>
    <w:p w14:paraId="60CED74C" w14:textId="77777777" w:rsidR="00FB033B" w:rsidRDefault="00FB033B"/>
    <w:p w14:paraId="5BF872CE" w14:textId="5E0973E6" w:rsidR="00FB033B" w:rsidRDefault="00FB033B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The yield curve can also be expressed in terms of </w:t>
      </w:r>
      <w:r>
        <w:rPr>
          <w:rStyle w:val="textit"/>
          <w:i/>
          <w:iCs/>
          <w:color w:val="000000"/>
          <w:shd w:val="clear" w:color="auto" w:fill="FFFFFF"/>
        </w:rPr>
        <w:t>forward rates</w:t>
      </w:r>
      <w:r>
        <w:rPr>
          <w:color w:val="000000"/>
          <w:shd w:val="clear" w:color="auto" w:fill="FFFFFF"/>
        </w:rPr>
        <w:t> rather than yields. A forward rate is the yield that an investor would agree to today to make an investment over a specified period in the future--for </w:t>
      </w:r>
      <w:r>
        <w:rPr>
          <w:rFonts w:ascii="Century Schoolbook" w:hAnsi="Century Schoolbook"/>
          <w:noProof/>
          <w:color w:val="000000"/>
          <w:shd w:val="clear" w:color="auto" w:fill="FFFFFF"/>
        </w:rPr>
        <w:drawing>
          <wp:inline distT="0" distB="0" distL="0" distR="0" wp14:anchorId="12D05C39" wp14:editId="0444CA16">
            <wp:extent cx="171450" cy="133350"/>
            <wp:effectExtent l="0" t="0" r="0" b="0"/>
            <wp:docPr id="1971780547" name="Picture 2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-years beginning </w:t>
      </w:r>
      <w:r>
        <w:rPr>
          <w:rFonts w:ascii="Century Schoolbook" w:hAnsi="Century Schoolbook"/>
          <w:noProof/>
          <w:color w:val="000000"/>
          <w:shd w:val="clear" w:color="auto" w:fill="FFFFFF"/>
        </w:rPr>
        <w:drawing>
          <wp:inline distT="0" distB="0" distL="0" distR="0" wp14:anchorId="5E6EC35B" wp14:editId="2FF3D728">
            <wp:extent cx="133350" cy="133350"/>
            <wp:effectExtent l="0" t="0" r="0" b="0"/>
            <wp:docPr id="1588015345" name="Picture 1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t> years hence</w:t>
      </w:r>
    </w:p>
    <w:p w14:paraId="0A14B039" w14:textId="79245F98" w:rsidR="00FB033B" w:rsidRDefault="00FB033B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One can think of a term investment today as a string of forward rate agreements over the horizon of the investment, and the yield therefore has to equal the average of those forward rates</w:t>
      </w:r>
    </w:p>
    <w:p w14:paraId="089F6C5C" w14:textId="27A2010E" w:rsidR="00FB033B" w:rsidRPr="00CB129E" w:rsidRDefault="00736FD2">
      <w:pPr>
        <w:rPr>
          <w:color w:val="EE0000"/>
          <w:shd w:val="clear" w:color="auto" w:fill="FFFFFF"/>
        </w:rPr>
      </w:pPr>
      <w:r w:rsidRPr="00CB129E">
        <w:rPr>
          <w:color w:val="EE0000"/>
          <w:shd w:val="clear" w:color="auto" w:fill="FFFFFF"/>
        </w:rPr>
        <w:t> The resulting yield curve can be expressed in terms of zero-coupon yields, par yields, instantaneous forward rates, or 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2AB3E1D7" wp14:editId="322A9BA6">
            <wp:extent cx="133350" cy="133350"/>
            <wp:effectExtent l="0" t="0" r="0" b="0"/>
            <wp:docPr id="1642193387" name="Picture 9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-by-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51EBC102" wp14:editId="389E883F">
            <wp:extent cx="171450" cy="133350"/>
            <wp:effectExtent l="0" t="0" r="0" b="0"/>
            <wp:docPr id="626430985" name="Picture 8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 forward rates (that is, the 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5C5843A4" wp14:editId="79CB05F6">
            <wp:extent cx="171450" cy="133350"/>
            <wp:effectExtent l="0" t="0" r="0" b="0"/>
            <wp:docPr id="1607818782" name="Picture 7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-year rate beginning 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4127C338" wp14:editId="6192568E">
            <wp:extent cx="133350" cy="133350"/>
            <wp:effectExtent l="0" t="0" r="0" b="0"/>
            <wp:docPr id="480166554" name="Picture 6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 years ahead) for any 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2D79109D" wp14:editId="3926EBE9">
            <wp:extent cx="133350" cy="133350"/>
            <wp:effectExtent l="0" t="0" r="0" b="0"/>
            <wp:docPr id="1688845592" name="Picture 5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 and </w:t>
      </w:r>
      <w:r w:rsidRPr="00CB129E">
        <w:rPr>
          <w:rFonts w:ascii="Century Schoolbook" w:hAnsi="Century Schoolbook"/>
          <w:noProof/>
          <w:color w:val="EE0000"/>
          <w:shd w:val="clear" w:color="auto" w:fill="FFFFFF"/>
        </w:rPr>
        <w:drawing>
          <wp:inline distT="0" distB="0" distL="0" distR="0" wp14:anchorId="187F25A3" wp14:editId="7144FD50">
            <wp:extent cx="171450" cy="133350"/>
            <wp:effectExtent l="0" t="0" r="0" b="0"/>
            <wp:docPr id="1440013775" name="Picture 4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9E">
        <w:rPr>
          <w:color w:val="EE0000"/>
          <w:shd w:val="clear" w:color="auto" w:fill="FFFFFF"/>
        </w:rPr>
        <w:t>.</w:t>
      </w:r>
    </w:p>
    <w:p w14:paraId="58BC21BF" w14:textId="77777777" w:rsidR="00CB129E" w:rsidRDefault="00CB129E">
      <w:pPr>
        <w:rPr>
          <w:color w:val="000000"/>
          <w:shd w:val="clear" w:color="auto" w:fill="FFFFFF"/>
        </w:rPr>
      </w:pPr>
    </w:p>
    <w:p w14:paraId="5151B3AE" w14:textId="77777777" w:rsidR="00CB129E" w:rsidRDefault="00CB129E">
      <w:pPr>
        <w:rPr>
          <w:color w:val="000000"/>
          <w:shd w:val="clear" w:color="auto" w:fill="FFFFFF"/>
        </w:rPr>
      </w:pPr>
    </w:p>
    <w:p w14:paraId="77797F36" w14:textId="77777777" w:rsidR="00CB129E" w:rsidRDefault="00CB129E">
      <w:pPr>
        <w:rPr>
          <w:color w:val="000000"/>
          <w:shd w:val="clear" w:color="auto" w:fill="FFFFFF"/>
        </w:rPr>
      </w:pPr>
    </w:p>
    <w:p w14:paraId="51BB6640" w14:textId="77777777" w:rsidR="00CB129E" w:rsidRDefault="00CB129E">
      <w:pPr>
        <w:rPr>
          <w:color w:val="000000"/>
          <w:shd w:val="clear" w:color="auto" w:fill="FFFFFF"/>
        </w:rPr>
      </w:pPr>
    </w:p>
    <w:p w14:paraId="6817FF65" w14:textId="77777777" w:rsidR="00CB129E" w:rsidRDefault="00CB129E">
      <w:pPr>
        <w:rPr>
          <w:color w:val="000000"/>
          <w:shd w:val="clear" w:color="auto" w:fill="FFFFFF"/>
        </w:rPr>
      </w:pPr>
    </w:p>
    <w:p w14:paraId="1AB45FBC" w14:textId="77777777" w:rsidR="00736FD2" w:rsidRDefault="00736FD2">
      <w:pPr>
        <w:rPr>
          <w:color w:val="000000"/>
          <w:shd w:val="clear" w:color="auto" w:fill="FFFFFF"/>
        </w:rPr>
      </w:pPr>
    </w:p>
    <w:p w14:paraId="1090CD0E" w14:textId="530FE116" w:rsidR="00736FD2" w:rsidRDefault="00736FD2">
      <w:r>
        <w:rPr>
          <w:noProof/>
        </w:rPr>
        <w:drawing>
          <wp:inline distT="0" distB="0" distL="0" distR="0" wp14:anchorId="233AD978" wp14:editId="4A9D147E">
            <wp:extent cx="5943600" cy="1622425"/>
            <wp:effectExtent l="0" t="0" r="0" b="0"/>
            <wp:docPr id="18785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AB21" w14:textId="77777777" w:rsidR="00CB129E" w:rsidRDefault="00CB129E"/>
    <w:p w14:paraId="293AF3F6" w14:textId="77777777" w:rsidR="00CB129E" w:rsidRDefault="00CB129E"/>
    <w:p w14:paraId="0C016B54" w14:textId="19DD7568" w:rsidR="00CB129E" w:rsidRDefault="00CB129E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We can always interpret forward rates as having two components: expected future short-term interest rates and a term premium.</w:t>
      </w:r>
    </w:p>
    <w:p w14:paraId="002E4AF3" w14:textId="77777777" w:rsidR="00371DCC" w:rsidRDefault="00371DCC">
      <w:pPr>
        <w:rPr>
          <w:color w:val="000000"/>
          <w:shd w:val="clear" w:color="auto" w:fill="FFFFFF"/>
        </w:rPr>
      </w:pPr>
    </w:p>
    <w:p w14:paraId="4B9D140E" w14:textId="7687646D" w:rsidR="00371DCC" w:rsidRDefault="00371DCC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#################</w:t>
      </w:r>
    </w:p>
    <w:p w14:paraId="6BC1DF50" w14:textId="77777777" w:rsidR="00371DCC" w:rsidRDefault="00371DCC">
      <w:pPr>
        <w:rPr>
          <w:color w:val="000000"/>
          <w:shd w:val="clear" w:color="auto" w:fill="FFFFFF"/>
        </w:rPr>
      </w:pPr>
    </w:p>
    <w:p w14:paraId="4474BAF8" w14:textId="3C86936B" w:rsidR="00371DCC" w:rsidRDefault="00371DCC">
      <w:hyperlink r:id="rId8" w:history="1">
        <w:r w:rsidRPr="00D0504C">
          <w:rPr>
            <w:rStyle w:val="Hyperlink"/>
          </w:rPr>
          <w:t>https://www.cfainstitute.org/insights/professional-learning/refresher-readings/2026/the-term-structure-of-interest-rates-spot-par-and-forward-curves</w:t>
        </w:r>
      </w:hyperlink>
    </w:p>
    <w:p w14:paraId="6DB8D011" w14:textId="77777777" w:rsidR="00371DCC" w:rsidRDefault="00371DCC"/>
    <w:p w14:paraId="1E34541F" w14:textId="77777777" w:rsidR="00371DCC" w:rsidRPr="00371DCC" w:rsidRDefault="00371DCC" w:rsidP="00371DCC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F2122"/>
          <w:kern w:val="0"/>
          <w14:ligatures w14:val="none"/>
        </w:rPr>
      </w:pPr>
      <w:r w:rsidRPr="00371DCC">
        <w:rPr>
          <w:rFonts w:ascii="Arial" w:eastAsia="Times New Roman" w:hAnsi="Arial" w:cs="Arial"/>
          <w:color w:val="1F2122"/>
          <w:kern w:val="0"/>
          <w14:ligatures w14:val="none"/>
        </w:rPr>
        <w:t>Since par and forward rates can be derived from spot rates, the shape of the spot curve is closely related to the shape of the par and forward curves.</w:t>
      </w:r>
    </w:p>
    <w:p w14:paraId="03128AFF" w14:textId="739FAAD9" w:rsidR="00371DCC" w:rsidRDefault="00371DCC" w:rsidP="00371DCC">
      <w:pPr>
        <w:numPr>
          <w:ilvl w:val="0"/>
          <w:numId w:val="2"/>
        </w:numPr>
        <w:pBdr>
          <w:bottom w:val="thinThickThinMediumGap" w:sz="18" w:space="1" w:color="auto"/>
        </w:pBd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F2122"/>
          <w:kern w:val="0"/>
          <w14:ligatures w14:val="none"/>
        </w:rPr>
      </w:pPr>
      <w:r>
        <w:t>Learning outcome “</w:t>
      </w:r>
      <w:r w:rsidRPr="00371DCC">
        <w:rPr>
          <w:rFonts w:ascii="Arial" w:eastAsia="Times New Roman" w:hAnsi="Arial" w:cs="Arial"/>
          <w:color w:val="1F2122"/>
          <w:kern w:val="0"/>
          <w14:ligatures w14:val="none"/>
        </w:rPr>
        <w:t>compare the spot curve, par curve, and forward curve</w:t>
      </w:r>
      <w:r>
        <w:rPr>
          <w:rFonts w:ascii="Arial" w:eastAsia="Times New Roman" w:hAnsi="Arial" w:cs="Arial"/>
          <w:color w:val="1F2122"/>
          <w:kern w:val="0"/>
          <w14:ligatures w14:val="none"/>
        </w:rPr>
        <w:t xml:space="preserve">” </w:t>
      </w:r>
    </w:p>
    <w:p w14:paraId="7DF9AD40" w14:textId="77777777" w:rsidR="00371DCC" w:rsidRDefault="00371DCC" w:rsidP="00371DCC">
      <w:pPr>
        <w:spacing w:before="100" w:beforeAutospacing="1" w:after="100" w:afterAutospacing="1" w:line="240" w:lineRule="auto"/>
        <w:textAlignment w:val="baseline"/>
      </w:pPr>
    </w:p>
    <w:p w14:paraId="1A6B4753" w14:textId="77777777" w:rsidR="00371DCC" w:rsidRDefault="00371DCC" w:rsidP="00371DCC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textAlignment w:val="baseline"/>
      </w:pPr>
    </w:p>
    <w:p w14:paraId="4426DE5C" w14:textId="696FD3DF" w:rsidR="00371DCC" w:rsidRDefault="00371DCC" w:rsidP="00371DCC">
      <w:pPr>
        <w:spacing w:before="100" w:beforeAutospacing="1" w:after="100" w:afterAutospacing="1" w:line="240" w:lineRule="auto"/>
        <w:textAlignment w:val="baseline"/>
      </w:pPr>
      <w:hyperlink r:id="rId9" w:history="1">
        <w:r w:rsidRPr="00D0504C">
          <w:rPr>
            <w:rStyle w:val="Hyperlink"/>
          </w:rPr>
          <w:t>https://attachment.gwy.com/uploads/202406/202406061126450.pdf</w:t>
        </w:r>
      </w:hyperlink>
    </w:p>
    <w:p w14:paraId="31965AA9" w14:textId="77777777" w:rsidR="00371DCC" w:rsidRDefault="00371DCC" w:rsidP="00371DCC">
      <w:pPr>
        <w:spacing w:before="100" w:beforeAutospacing="1" w:after="100" w:afterAutospacing="1" w:line="240" w:lineRule="auto"/>
        <w:textAlignment w:val="baseline"/>
      </w:pPr>
    </w:p>
    <w:p w14:paraId="1E5FD398" w14:textId="145BBC9A" w:rsidR="00371DCC" w:rsidRDefault="00371DCC" w:rsidP="00371DCC">
      <w:pPr>
        <w:spacing w:before="100" w:beforeAutospacing="1" w:after="100" w:afterAutospacing="1" w:line="240" w:lineRule="auto"/>
        <w:textAlignment w:val="baseline"/>
      </w:pPr>
      <w:r>
        <w:t>The curve-risk reading treats forwards as a bucketed 1D curve, used as risk factors. Candidates must describe an interest rate bucketing approach, define forward bucket 01, and compare forward bucket 01s to KR01s</w:t>
      </w:r>
    </w:p>
    <w:p w14:paraId="3471CDB9" w14:textId="77777777" w:rsidR="00371DCC" w:rsidRDefault="00371DCC" w:rsidP="00371DCC">
      <w:pPr>
        <w:spacing w:before="100" w:beforeAutospacing="1" w:after="100" w:afterAutospacing="1" w:line="240" w:lineRule="auto"/>
        <w:textAlignment w:val="baseline"/>
      </w:pPr>
    </w:p>
    <w:p w14:paraId="75D24C41" w14:textId="209C05DC" w:rsidR="00371DCC" w:rsidRDefault="00371DCC" w:rsidP="00371DCC">
      <w:pPr>
        <w:spacing w:before="100" w:beforeAutospacing="1" w:after="100" w:afterAutospacing="1" w:line="240" w:lineRule="auto"/>
        <w:textAlignment w:val="baseline"/>
      </w:pPr>
      <w:r>
        <w:t>Interpret the forward rate and compute forward rates given spot rates</w:t>
      </w:r>
    </w:p>
    <w:p w14:paraId="4055CEE8" w14:textId="64BE1524" w:rsidR="00371DCC" w:rsidRDefault="00371DCC" w:rsidP="00371DCC">
      <w:pPr>
        <w:spacing w:before="100" w:beforeAutospacing="1" w:after="100" w:afterAutospacing="1" w:line="240" w:lineRule="auto"/>
        <w:textAlignment w:val="baseline"/>
      </w:pPr>
      <w:r>
        <w:t>• Interpret the relationship between spot, forward, and par rates.</w:t>
      </w:r>
    </w:p>
    <w:p w14:paraId="673CAE50" w14:textId="327344F2" w:rsidR="00371DCC" w:rsidRDefault="00371DCC" w:rsidP="00371DCC">
      <w:pPr>
        <w:spacing w:before="100" w:beforeAutospacing="1" w:after="100" w:afterAutospacing="1" w:line="240" w:lineRule="auto"/>
        <w:textAlignment w:val="baseline"/>
      </w:pPr>
      <w:r>
        <w:t>• Describe an interest rate bucketing approach, define forward bucket 01, and compare forward bucket 01s to KR01s.</w:t>
      </w:r>
    </w:p>
    <w:p w14:paraId="76B99DB0" w14:textId="77777777" w:rsidR="00371DCC" w:rsidRDefault="00371DCC" w:rsidP="00371DCC">
      <w:pPr>
        <w:spacing w:before="100" w:beforeAutospacing="1" w:after="100" w:afterAutospacing="1" w:line="240" w:lineRule="auto"/>
        <w:textAlignment w:val="baseline"/>
      </w:pPr>
    </w:p>
    <w:p w14:paraId="22B00147" w14:textId="77777777" w:rsidR="00371DCC" w:rsidRDefault="00371DCC" w:rsidP="00371DCC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textAlignment w:val="baseline"/>
      </w:pPr>
    </w:p>
    <w:p w14:paraId="343D8707" w14:textId="77777777" w:rsidR="00371DCC" w:rsidRPr="00371DCC" w:rsidRDefault="00371DCC" w:rsidP="0037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this fits together (and the FRTB angle)</w:t>
      </w:r>
    </w:p>
    <w:p w14:paraId="3771E565" w14:textId="77777777" w:rsidR="00371DCC" w:rsidRPr="00371DCC" w:rsidRDefault="00371DCC" w:rsidP="0037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CC">
        <w:rPr>
          <w:rFonts w:ascii="Times New Roman" w:eastAsia="Times New Roman" w:hAnsi="Times New Roman" w:cs="Times New Roman"/>
          <w:kern w:val="0"/>
          <w14:ligatures w14:val="none"/>
        </w:rPr>
        <w:t>All of these sources follow the same pattern:</w:t>
      </w:r>
    </w:p>
    <w:p w14:paraId="277A22F8" w14:textId="77777777" w:rsidR="00371DCC" w:rsidRPr="00371DCC" w:rsidRDefault="00371DCC" w:rsidP="00371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object is 2D.</w:t>
      </w:r>
      <w:r w:rsidRPr="00371DCC">
        <w:rPr>
          <w:rFonts w:ascii="Times New Roman" w:eastAsia="Times New Roman" w:hAnsi="Times New Roman" w:cs="Times New Roman"/>
          <w:kern w:val="0"/>
          <w14:ligatures w14:val="none"/>
        </w:rPr>
        <w:t xml:space="preserve"> The forward rate is </w:t>
      </w:r>
      <w:proofErr w:type="gramStart"/>
      <w:r w:rsidRPr="00371DCC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71DCC">
        <w:rPr>
          <w:rFonts w:ascii="Times New Roman" w:eastAsia="Times New Roman" w:hAnsi="Times New Roman" w:cs="Times New Roman"/>
          <w:kern w:val="0"/>
          <w14:ligatures w14:val="none"/>
        </w:rPr>
        <w:t xml:space="preserve">n, m), or equivalently </w:t>
      </w:r>
      <w:proofErr w:type="gramStart"/>
      <w:r w:rsidRPr="00371DCC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71DCC">
        <w:rPr>
          <w:rFonts w:ascii="Times New Roman" w:eastAsia="Times New Roman" w:hAnsi="Times New Roman" w:cs="Times New Roman"/>
          <w:kern w:val="0"/>
          <w14:ligatures w14:val="none"/>
        </w:rPr>
        <w:t>start, end).</w:t>
      </w:r>
    </w:p>
    <w:p w14:paraId="139C3E51" w14:textId="77777777" w:rsidR="00371DCC" w:rsidRPr="00371DCC" w:rsidRDefault="00371DCC" w:rsidP="00371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curve is a 1D slice of it.</w:t>
      </w:r>
      <w:r w:rsidRPr="00371DCC">
        <w:rPr>
          <w:rFonts w:ascii="Times New Roman" w:eastAsia="Times New Roman" w:hAnsi="Times New Roman" w:cs="Times New Roman"/>
          <w:kern w:val="0"/>
          <w14:ligatures w14:val="none"/>
        </w:rPr>
        <w:t xml:space="preserve"> It is either the instantaneous curve (m→0, as in the Fed's SVENF series) or a fixed-tenor curve (m fixed, e.g. 1y forwards, or 3M SOFR forwards by start date).</w:t>
      </w:r>
    </w:p>
    <w:p w14:paraId="6CB6AED5" w14:textId="77777777" w:rsidR="00371DCC" w:rsidRDefault="00371DCC" w:rsidP="00371DCC">
      <w:pPr>
        <w:spacing w:before="100" w:beforeAutospacing="1" w:after="100" w:afterAutospacing="1" w:line="240" w:lineRule="auto"/>
        <w:textAlignment w:val="baseline"/>
      </w:pPr>
    </w:p>
    <w:p w14:paraId="18FF10C4" w14:textId="2871924C" w:rsidR="001A7DAC" w:rsidRDefault="001A7DAC" w:rsidP="00371DCC">
      <w:pPr>
        <w:spacing w:before="100" w:beforeAutospacing="1" w:after="100" w:afterAutospacing="1" w:line="240" w:lineRule="auto"/>
        <w:textAlignment w:val="baseline"/>
        <w:rPr>
          <w:rStyle w:val="Strong"/>
        </w:rPr>
      </w:pPr>
      <w:r>
        <w:t xml:space="preserve">The 2026 Fed proposal says banks should group RFET risk factors at the </w:t>
      </w:r>
      <w:r>
        <w:rPr>
          <w:rStyle w:val="Strong"/>
        </w:rPr>
        <w:t>“curve or surface level.”</w:t>
      </w:r>
    </w:p>
    <w:p w14:paraId="65F4E358" w14:textId="77777777" w:rsidR="001A7DAC" w:rsidRDefault="001A7DAC" w:rsidP="00371DCC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textAlignment w:val="baseline"/>
        <w:rPr>
          <w:rStyle w:val="Strong"/>
        </w:rPr>
      </w:pPr>
    </w:p>
    <w:p w14:paraId="52D23391" w14:textId="77777777" w:rsidR="001A7DAC" w:rsidRDefault="001A7DAC" w:rsidP="00371DCC">
      <w:pPr>
        <w:spacing w:before="100" w:beforeAutospacing="1" w:after="100" w:afterAutospacing="1" w:line="240" w:lineRule="auto"/>
        <w:textAlignment w:val="baseline"/>
        <w:rPr>
          <w:rStyle w:val="Strong"/>
        </w:rPr>
      </w:pPr>
    </w:p>
    <w:p w14:paraId="5B1A56FB" w14:textId="2CA76380" w:rsidR="001A7DAC" w:rsidRDefault="001A7DAC" w:rsidP="00371DCC">
      <w:pPr>
        <w:spacing w:before="100" w:beforeAutospacing="1" w:after="100" w:afterAutospacing="1" w:line="240" w:lineRule="auto"/>
        <w:textAlignment w:val="baseline"/>
      </w:pPr>
      <w:hyperlink r:id="rId10" w:history="1">
        <w:r w:rsidRPr="00D0504C">
          <w:rPr>
            <w:rStyle w:val="Hyperlink"/>
          </w:rPr>
          <w:t>https://www.bis.org/committees/bcbs/basel-framework/standard/mar/31/inforce/2023-01-01/published/2020-06-05</w:t>
        </w:r>
      </w:hyperlink>
    </w:p>
    <w:p w14:paraId="5E320E35" w14:textId="77777777" w:rsidR="001A7DAC" w:rsidRPr="001A7DAC" w:rsidRDefault="001A7DAC" w:rsidP="001A7DA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C4C4C"/>
          <w:kern w:val="0"/>
          <w14:ligatures w14:val="none"/>
        </w:rPr>
      </w:pPr>
      <w:r w:rsidRPr="001A7DAC">
        <w:rPr>
          <w:rFonts w:ascii="Open Sans" w:eastAsia="Times New Roman" w:hAnsi="Open Sans" w:cs="Open Sans"/>
          <w:color w:val="4C4C4C"/>
          <w:kern w:val="0"/>
          <w14:ligatures w14:val="none"/>
        </w:rPr>
        <w:t>The trading desk risk management model must model the yield curve using one of a number of generally accepted approaches (</w:t>
      </w:r>
      <w:proofErr w:type="spellStart"/>
      <w:r w:rsidRPr="001A7DAC">
        <w:rPr>
          <w:rFonts w:ascii="Open Sans" w:eastAsia="Times New Roman" w:hAnsi="Open Sans" w:cs="Open Sans"/>
          <w:color w:val="4C4C4C"/>
          <w:kern w:val="0"/>
          <w:highlight w:val="yellow"/>
          <w14:ligatures w14:val="none"/>
        </w:rPr>
        <w:t>eg</w:t>
      </w:r>
      <w:proofErr w:type="spellEnd"/>
      <w:r w:rsidRPr="001A7DAC">
        <w:rPr>
          <w:rFonts w:ascii="Open Sans" w:eastAsia="Times New Roman" w:hAnsi="Open Sans" w:cs="Open Sans"/>
          <w:color w:val="4C4C4C"/>
          <w:kern w:val="0"/>
          <w:highlight w:val="yellow"/>
          <w14:ligatures w14:val="none"/>
        </w:rPr>
        <w:t xml:space="preserve"> estimating forward rates of </w:t>
      </w:r>
      <w:proofErr w:type="gramStart"/>
      <w:r w:rsidRPr="001A7DAC">
        <w:rPr>
          <w:rFonts w:ascii="Open Sans" w:eastAsia="Times New Roman" w:hAnsi="Open Sans" w:cs="Open Sans"/>
          <w:color w:val="4C4C4C"/>
          <w:kern w:val="0"/>
          <w:highlight w:val="yellow"/>
          <w14:ligatures w14:val="none"/>
        </w:rPr>
        <w:t>zero coupon</w:t>
      </w:r>
      <w:proofErr w:type="gramEnd"/>
      <w:r w:rsidRPr="001A7DAC">
        <w:rPr>
          <w:rFonts w:ascii="Open Sans" w:eastAsia="Times New Roman" w:hAnsi="Open Sans" w:cs="Open Sans"/>
          <w:color w:val="4C4C4C"/>
          <w:kern w:val="0"/>
          <w:highlight w:val="yellow"/>
          <w14:ligatures w14:val="none"/>
        </w:rPr>
        <w:t xml:space="preserve"> yields</w:t>
      </w:r>
      <w:r w:rsidRPr="001A7DAC">
        <w:rPr>
          <w:rFonts w:ascii="Open Sans" w:eastAsia="Times New Roman" w:hAnsi="Open Sans" w:cs="Open Sans"/>
          <w:color w:val="4C4C4C"/>
          <w:kern w:val="0"/>
          <w14:ligatures w14:val="none"/>
        </w:rPr>
        <w:t>).</w:t>
      </w:r>
    </w:p>
    <w:p w14:paraId="4157F94C" w14:textId="77777777" w:rsidR="001A7DAC" w:rsidRPr="001A7DAC" w:rsidRDefault="001A7DAC" w:rsidP="001A7DA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C4C4C"/>
          <w:kern w:val="0"/>
          <w14:ligatures w14:val="none"/>
        </w:rPr>
      </w:pPr>
      <w:r w:rsidRPr="001A7DAC">
        <w:rPr>
          <w:rFonts w:ascii="Open Sans" w:eastAsia="Times New Roman" w:hAnsi="Open Sans" w:cs="Open Sans"/>
          <w:color w:val="4C4C4C"/>
          <w:kern w:val="0"/>
          <w:highlight w:val="yellow"/>
          <w14:ligatures w14:val="none"/>
        </w:rPr>
        <w:t>The yield curve must be divided into maturity segments</w:t>
      </w:r>
      <w:r w:rsidRPr="001A7DAC">
        <w:rPr>
          <w:rFonts w:ascii="Open Sans" w:eastAsia="Times New Roman" w:hAnsi="Open Sans" w:cs="Open Sans"/>
          <w:color w:val="4C4C4C"/>
          <w:kern w:val="0"/>
          <w14:ligatures w14:val="none"/>
        </w:rPr>
        <w:t xml:space="preserve"> in order to capture variation in the volatility of rates along the yield curve.</w:t>
      </w:r>
    </w:p>
    <w:p w14:paraId="67039D9E" w14:textId="77777777" w:rsidR="001A7DAC" w:rsidRPr="001A7DAC" w:rsidRDefault="001A7DAC" w:rsidP="001A7DA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C4C4C"/>
          <w:kern w:val="0"/>
          <w14:ligatures w14:val="none"/>
        </w:rPr>
      </w:pPr>
      <w:r w:rsidRPr="001A7DAC">
        <w:rPr>
          <w:rFonts w:ascii="Open Sans" w:eastAsia="Times New Roman" w:hAnsi="Open Sans" w:cs="Open Sans"/>
          <w:color w:val="4C4C4C"/>
          <w:kern w:val="0"/>
          <w14:ligatures w14:val="none"/>
        </w:rPr>
        <w:t>For material exposures to interest rate movements in the major currencies and markets, banks must model the yield curve using a minimum of six risk factors.</w:t>
      </w:r>
    </w:p>
    <w:p w14:paraId="10C29B68" w14:textId="77777777" w:rsidR="001A7DAC" w:rsidRPr="001A7DAC" w:rsidRDefault="001A7DAC" w:rsidP="001A7DAC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C4C4C"/>
          <w:kern w:val="0"/>
          <w14:ligatures w14:val="none"/>
        </w:rPr>
      </w:pPr>
      <w:r w:rsidRPr="001A7DAC">
        <w:rPr>
          <w:rFonts w:ascii="Open Sans" w:eastAsia="Times New Roman" w:hAnsi="Open Sans" w:cs="Open Sans"/>
          <w:color w:val="4C4C4C"/>
          <w:kern w:val="0"/>
          <w14:ligatures w14:val="none"/>
        </w:rPr>
        <w:lastRenderedPageBreak/>
        <w:t>The number of risk factors used ultimately should be driven by the nature of the bank’s trading strategies. A bank with a portfolio of various types of securities across many points of the yield curve and that engages in complex arbitrage strategies would require the use of a greater number of risk factors than a bank with less complex portfolios.</w:t>
      </w:r>
    </w:p>
    <w:p w14:paraId="40E2484C" w14:textId="77777777" w:rsidR="001A7DAC" w:rsidRDefault="001A7DAC" w:rsidP="00371DCC">
      <w:pPr>
        <w:spacing w:before="100" w:beforeAutospacing="1" w:after="100" w:afterAutospacing="1" w:line="240" w:lineRule="auto"/>
        <w:textAlignment w:val="baseline"/>
      </w:pPr>
    </w:p>
    <w:p w14:paraId="498C14D0" w14:textId="77777777" w:rsidR="001A7DAC" w:rsidRDefault="001A7DAC" w:rsidP="001A7DAC">
      <w:pPr>
        <w:pStyle w:val="pdq2pgselectionanchorcontainer"/>
        <w:rPr>
          <w:rStyle w:val="Strong"/>
          <w:rFonts w:eastAsiaTheme="majorEastAsia"/>
        </w:rPr>
      </w:pPr>
      <w:r>
        <w:t xml:space="preserve">That is powerful supporting evidence for your discussion: </w:t>
      </w:r>
      <w:r>
        <w:rPr>
          <w:rStyle w:val="Strong"/>
          <w:rFonts w:eastAsiaTheme="majorEastAsia"/>
        </w:rPr>
        <w:t>a forward-rate representation can be the representation of a yield curve; “forward” does not automatically imply “surface.”</w:t>
      </w:r>
    </w:p>
    <w:p w14:paraId="0D88EB9E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6A6811BE" w14:textId="62D217DB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  <w:r>
        <w:t xml:space="preserve">Basel MAR31.6, which says a bank may model the yield curve using generally accepted approaches including </w:t>
      </w:r>
      <w:r>
        <w:rPr>
          <w:rStyle w:val="Strong"/>
          <w:rFonts w:eastAsiaTheme="majorEastAsia"/>
        </w:rPr>
        <w:t xml:space="preserve">“estimating forward rates or </w:t>
      </w:r>
      <w:proofErr w:type="gramStart"/>
      <w:r>
        <w:rPr>
          <w:rStyle w:val="Strong"/>
          <w:rFonts w:eastAsiaTheme="majorEastAsia"/>
        </w:rPr>
        <w:t>zero coupon</w:t>
      </w:r>
      <w:proofErr w:type="gramEnd"/>
      <w:r>
        <w:rPr>
          <w:rStyle w:val="Strong"/>
          <w:rFonts w:eastAsiaTheme="majorEastAsia"/>
        </w:rPr>
        <w:t xml:space="preserve"> yields,”</w:t>
      </w:r>
      <w:r>
        <w:t xml:space="preserve"> and then says that </w:t>
      </w:r>
      <w:r>
        <w:rPr>
          <w:rStyle w:val="Strong"/>
          <w:rFonts w:eastAsiaTheme="majorEastAsia"/>
        </w:rPr>
        <w:t>the yield curve must be divided into maturity segments</w:t>
      </w:r>
    </w:p>
    <w:p w14:paraId="2B0C238C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5A7EECC0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7FAADFE6" w14:textId="77777777" w:rsidR="008E5F1C" w:rsidRDefault="008E5F1C" w:rsidP="001A7DAC">
      <w:pPr>
        <w:pStyle w:val="pdq2pgselectionanchorcontainer"/>
        <w:pBdr>
          <w:bottom w:val="thinThickThinMediumGap" w:sz="18" w:space="1" w:color="auto"/>
        </w:pBdr>
        <w:rPr>
          <w:rStyle w:val="Strong"/>
          <w:rFonts w:eastAsiaTheme="majorEastAsia"/>
        </w:rPr>
      </w:pPr>
    </w:p>
    <w:p w14:paraId="503DD5C5" w14:textId="736045DC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  <w:hyperlink r:id="rId11" w:history="1">
        <w:r w:rsidRPr="00D0504C">
          <w:rPr>
            <w:rStyle w:val="Hyperlink"/>
            <w:rFonts w:eastAsiaTheme="majorEastAsia"/>
          </w:rPr>
          <w:t>https://rpc.cfainstitute.org/sites/default/files/-/media/documents/book/rf-publication/1995/rf-v1995-n4-4453-pdf.pdf?utm_source=chatgpt.com</w:t>
        </w:r>
      </w:hyperlink>
    </w:p>
    <w:p w14:paraId="7084E4AD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26B00A41" w14:textId="77777777" w:rsidR="008E5F1C" w:rsidRPr="008E5F1C" w:rsidRDefault="008E5F1C" w:rsidP="008E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 xml:space="preserve"> the standard CFA pedagogical construction fixes the forward-period increment and constructs a sequence across maturities:</w:t>
      </w:r>
    </w:p>
    <w:p w14:paraId="4A8616AE" w14:textId="77777777" w:rsidR="008E5F1C" w:rsidRPr="008E5F1C" w:rsidRDefault="008E5F1C" w:rsidP="008E5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F1C">
        <w:rPr>
          <w:rFonts w:ascii="Times New Roman" w:eastAsia="Times New Roman" w:hAnsi="Times New Roman" w:cs="Times New Roman"/>
          <w:kern w:val="0"/>
          <w14:ligatures w14:val="none"/>
        </w:rPr>
        <w:t>f0,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1,f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1,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2,f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2,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3,f3,4,…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f_{0,1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},f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_{1,2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},f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_{2,3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},f_{</w:t>
      </w:r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3,4</w:t>
      </w:r>
      <w:proofErr w:type="gramStart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},\</w:t>
      </w:r>
      <w:proofErr w:type="spellStart"/>
      <w:proofErr w:type="gram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>ldots</w:t>
      </w:r>
      <w:proofErr w:type="spellEnd"/>
      <w:r w:rsidRPr="008E5F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20EB51" w14:textId="77777777" w:rsidR="008E5F1C" w:rsidRPr="008E5F1C" w:rsidRDefault="008E5F1C" w:rsidP="008E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F1C">
        <w:rPr>
          <w:rFonts w:ascii="Times New Roman" w:eastAsia="Times New Roman" w:hAnsi="Times New Roman" w:cs="Times New Roman"/>
          <w:kern w:val="0"/>
          <w14:ligatures w14:val="none"/>
        </w:rPr>
        <w:t xml:space="preserve">That's an ordered </w:t>
      </w:r>
      <w:r w:rsidRPr="008E5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</w:t>
      </w:r>
      <w:r w:rsidRPr="008E5F1C">
        <w:rPr>
          <w:rFonts w:ascii="Times New Roman" w:eastAsia="Times New Roman" w:hAnsi="Times New Roman" w:cs="Times New Roman"/>
          <w:kern w:val="0"/>
          <w14:ligatures w14:val="none"/>
        </w:rPr>
        <w:t>, not a two-dimensional surface.</w:t>
      </w:r>
    </w:p>
    <w:p w14:paraId="4FE2D90C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7A9DE4A0" w14:textId="77777777" w:rsidR="008E5F1C" w:rsidRDefault="008E5F1C" w:rsidP="001A7DAC">
      <w:pPr>
        <w:pStyle w:val="pdq2pgselectionanchorcontainer"/>
        <w:rPr>
          <w:rStyle w:val="Strong"/>
          <w:rFonts w:eastAsiaTheme="majorEastAsia"/>
        </w:rPr>
      </w:pPr>
    </w:p>
    <w:p w14:paraId="55B8A3D5" w14:textId="7354287A" w:rsidR="008E5F1C" w:rsidRDefault="008E5F1C" w:rsidP="001A7DAC">
      <w:pPr>
        <w:pStyle w:val="pdq2pgselectionanchorcontainer"/>
      </w:pPr>
      <w:proofErr w:type="spellStart"/>
      <w:r>
        <w:t>atement</w:t>
      </w:r>
      <w:proofErr w:type="spellEnd"/>
      <w:r>
        <w:t xml:space="preserve"> about interest rate swap pricing is that although the swap fixed rate is quoted off the Treasury yield curve, it is priced off a forward curve. The forward curve in question would be the sequence of future yields corresponding to the floating reference rate on the swap. That is, a LIBOR-against-fixed swap would be priced off the LIBOR forward curve and a Treasury </w:t>
      </w:r>
      <w:proofErr w:type="spellStart"/>
      <w:r>
        <w:t>billagainst</w:t>
      </w:r>
      <w:proofErr w:type="spellEnd"/>
      <w:r>
        <w:t xml:space="preserve">-fixed swap would be priced off the Treasury forward curve. Pricing in this context </w:t>
      </w:r>
      <w:r>
        <w:lastRenderedPageBreak/>
        <w:t>suggests an averaging process; the swap fixed rate will be a "present value" average of the forward rates</w:t>
      </w:r>
    </w:p>
    <w:p w14:paraId="54A75EF4" w14:textId="77777777" w:rsidR="001A7DAC" w:rsidRDefault="001A7DAC" w:rsidP="00371DCC">
      <w:pPr>
        <w:spacing w:before="100" w:beforeAutospacing="1" w:after="100" w:afterAutospacing="1" w:line="240" w:lineRule="auto"/>
        <w:textAlignment w:val="baseline"/>
      </w:pPr>
    </w:p>
    <w:p w14:paraId="4AF4376A" w14:textId="55DE0CA7" w:rsidR="008E5F1C" w:rsidRDefault="008E5F1C" w:rsidP="00371DCC">
      <w:pPr>
        <w:spacing w:before="100" w:beforeAutospacing="1" w:after="100" w:afterAutospacing="1" w:line="240" w:lineRule="auto"/>
        <w:textAlignment w:val="baseline"/>
      </w:pPr>
      <w:r>
        <w:t xml:space="preserve">Calculation: An implied forward curve can </w:t>
      </w:r>
      <w:proofErr w:type="gramStart"/>
      <w:r>
        <w:t>rates</w:t>
      </w:r>
      <w:proofErr w:type="gramEnd"/>
      <w:r>
        <w:t xml:space="preserve"> they ultimately pay or receive. be inferred from the cash market yield curve, the sequence of implicit short-term rates obtained by successively extending the maturity in Pricing Interest Rate Swaps Off the cash market by one period. For instance, if the FRA Curve the one-year rate is 5 percent and the two-year rate is 6 percent, the implied forward rate between Year 1 and Year 2 must be about 7 percent. Arbitrage transactions will drive rates along the implied forward curve to be virtually identical to those observed when explicit forward contracts are traded; any difference is because of transaction costs and. limitations on short selling in the cash market.</w:t>
      </w:r>
    </w:p>
    <w:p w14:paraId="45002268" w14:textId="77777777" w:rsidR="008E5F1C" w:rsidRDefault="008E5F1C" w:rsidP="00371DCC">
      <w:pPr>
        <w:spacing w:before="100" w:beforeAutospacing="1" w:after="100" w:afterAutospacing="1" w:line="240" w:lineRule="auto"/>
        <w:textAlignment w:val="baseline"/>
      </w:pPr>
    </w:p>
    <w:p w14:paraId="7EA6BC99" w14:textId="77777777" w:rsidR="00371DCC" w:rsidRDefault="00371DCC" w:rsidP="00371DCC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textAlignment w:val="baseline"/>
      </w:pPr>
    </w:p>
    <w:p w14:paraId="60FC9E11" w14:textId="2A8204D8" w:rsidR="008E5F1C" w:rsidRDefault="008E5F1C" w:rsidP="00371DCC">
      <w:pPr>
        <w:spacing w:before="100" w:beforeAutospacing="1" w:after="100" w:afterAutospacing="1" w:line="240" w:lineRule="auto"/>
        <w:textAlignment w:val="baseline"/>
      </w:pPr>
      <w:r w:rsidRPr="008E5F1C">
        <w:rPr>
          <w:highlight w:val="yellow"/>
        </w:rPr>
        <w:t>“1-year forward rate beginning at time T”</w:t>
      </w:r>
    </w:p>
    <w:p w14:paraId="5046F77A" w14:textId="77777777" w:rsidR="008E5F1C" w:rsidRDefault="008E5F1C" w:rsidP="00371DCC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F2122"/>
          <w:kern w:val="0"/>
          <w14:ligatures w14:val="none"/>
        </w:rPr>
      </w:pPr>
    </w:p>
    <w:p w14:paraId="5652037E" w14:textId="77777777" w:rsidR="00034077" w:rsidRDefault="00034077" w:rsidP="00371DCC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F2122"/>
          <w:kern w:val="0"/>
          <w14:ligatures w14:val="none"/>
        </w:rPr>
      </w:pPr>
    </w:p>
    <w:p w14:paraId="678BA436" w14:textId="77777777" w:rsidR="00034077" w:rsidRPr="00034077" w:rsidRDefault="00034077" w:rsidP="0003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077">
        <w:rPr>
          <w:rFonts w:ascii="Times New Roman" w:eastAsia="Times New Roman" w:hAnsi="Times New Roman" w:cs="Times New Roman"/>
          <w:kern w:val="0"/>
          <w14:ligatures w14:val="none"/>
        </w:rPr>
        <w:t>and asks for</w:t>
      </w:r>
    </w:p>
    <w:p w14:paraId="73278D9F" w14:textId="77777777" w:rsidR="00034077" w:rsidRPr="00034077" w:rsidRDefault="00034077" w:rsidP="000340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077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Start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>T,T</w:t>
      </w:r>
      <w:proofErr w:type="gramEnd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>+</w:t>
      </w:r>
      <w:proofErr w:type="gramStart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>1)F</w:t>
      </w:r>
      <w:proofErr w:type="gramEnd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>T,T</w:t>
      </w:r>
      <w:proofErr w:type="gramEnd"/>
      <w:r w:rsidRPr="00034077">
        <w:rPr>
          <w:rFonts w:ascii="Times New Roman" w:eastAsia="Times New Roman" w:hAnsi="Times New Roman" w:cs="Times New Roman"/>
          <w:kern w:val="0"/>
          <w14:ligatures w14:val="none"/>
        </w:rPr>
        <w:t xml:space="preserve">+1) </w:t>
      </w:r>
    </w:p>
    <w:p w14:paraId="4F70FD14" w14:textId="77777777" w:rsidR="00034077" w:rsidRPr="00034077" w:rsidRDefault="00034077" w:rsidP="0003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077">
        <w:rPr>
          <w:rFonts w:ascii="Times New Roman" w:eastAsia="Times New Roman" w:hAnsi="Times New Roman" w:cs="Times New Roman"/>
          <w:kern w:val="0"/>
          <w14:ligatures w14:val="none"/>
        </w:rPr>
        <w:t xml:space="preserve">So only </w:t>
      </w:r>
      <w:r w:rsidRPr="00034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 varies</w:t>
      </w:r>
      <w:r w:rsidRPr="000340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9CCE5" w14:textId="77777777" w:rsidR="00034077" w:rsidRPr="00034077" w:rsidRDefault="00034077" w:rsidP="0003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077">
        <w:rPr>
          <w:rFonts w:ascii="Times New Roman" w:eastAsia="Times New Roman" w:hAnsi="Times New Roman" w:cs="Times New Roman"/>
          <w:kern w:val="0"/>
          <w14:ligatures w14:val="none"/>
        </w:rPr>
        <w:t xml:space="preserve">That is a very clear example of the FRM curriculum treating a fixed-tenor forward-rate curve as </w:t>
      </w:r>
      <w:r w:rsidRPr="00034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one-dimensional</w:t>
      </w:r>
      <w:r w:rsidRPr="000340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5D7A4" w14:textId="77777777" w:rsidR="00034077" w:rsidRPr="00371DCC" w:rsidRDefault="00034077" w:rsidP="00371DCC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F2122"/>
          <w:kern w:val="0"/>
          <w14:ligatures w14:val="none"/>
        </w:rPr>
      </w:pPr>
    </w:p>
    <w:p w14:paraId="1143ABA0" w14:textId="77777777" w:rsidR="00371DCC" w:rsidRDefault="00371DCC"/>
    <w:sectPr w:rsidR="0037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4942"/>
    <w:multiLevelType w:val="multilevel"/>
    <w:tmpl w:val="558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22320"/>
    <w:multiLevelType w:val="multilevel"/>
    <w:tmpl w:val="5AF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77F31"/>
    <w:multiLevelType w:val="multilevel"/>
    <w:tmpl w:val="84C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94402"/>
    <w:multiLevelType w:val="multilevel"/>
    <w:tmpl w:val="995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27672">
    <w:abstractNumId w:val="2"/>
  </w:num>
  <w:num w:numId="2" w16cid:durableId="575281796">
    <w:abstractNumId w:val="0"/>
  </w:num>
  <w:num w:numId="3" w16cid:durableId="2087602570">
    <w:abstractNumId w:val="3"/>
  </w:num>
  <w:num w:numId="4" w16cid:durableId="1731878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3B"/>
    <w:rsid w:val="00034077"/>
    <w:rsid w:val="001A7DAC"/>
    <w:rsid w:val="00371DCC"/>
    <w:rsid w:val="00736FD2"/>
    <w:rsid w:val="008E5F1C"/>
    <w:rsid w:val="00B961FC"/>
    <w:rsid w:val="00CB129E"/>
    <w:rsid w:val="00FB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CEF4"/>
  <w15:chartTrackingRefBased/>
  <w15:docId w15:val="{6B7F621A-2C09-41D4-B27E-C3D6B6D3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33B"/>
    <w:rPr>
      <w:color w:val="605E5C"/>
      <w:shd w:val="clear" w:color="auto" w:fill="E1DFDD"/>
    </w:rPr>
  </w:style>
  <w:style w:type="character" w:customStyle="1" w:styleId="textit">
    <w:name w:val="textit"/>
    <w:basedOn w:val="DefaultParagraphFont"/>
    <w:rsid w:val="00FB033B"/>
  </w:style>
  <w:style w:type="paragraph" w:styleId="NormalWeb">
    <w:name w:val="Normal (Web)"/>
    <w:basedOn w:val="Normal"/>
    <w:uiPriority w:val="99"/>
    <w:semiHidden/>
    <w:unhideWhenUsed/>
    <w:rsid w:val="00371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1DCC"/>
    <w:rPr>
      <w:b/>
      <w:bCs/>
    </w:rPr>
  </w:style>
  <w:style w:type="paragraph" w:customStyle="1" w:styleId="pdq2pgselectionanchorcontainer">
    <w:name w:val="pdq2pg_selectionanchorcontainer"/>
    <w:basedOn w:val="Normal"/>
    <w:rsid w:val="001A7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8E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fainstitute.org/insights/professional-learning/refresher-readings/2026/the-term-structure-of-interest-rates-spot-par-and-forward-curv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rpc.cfainstitute.org/sites/default/files/-/media/documents/book/rf-publication/1995/rf-v1995-n4-4453-pdf.pdf?utm_source=chatgpt.com" TargetMode="External"/><Relationship Id="rId5" Type="http://schemas.openxmlformats.org/officeDocument/2006/relationships/image" Target="media/image1.gif"/><Relationship Id="rId10" Type="http://schemas.openxmlformats.org/officeDocument/2006/relationships/hyperlink" Target="https://www.bis.org/committees/bcbs/basel-framework/standard/mar/31/inforce/2023-01-01/published/2020-06-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tachment.gwy.com/uploads/202406/2024060611264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2026-09-15T12:32:00Z</dcterms:created>
  <dcterms:modified xsi:type="dcterms:W3CDTF">2026-09-15T13:36:00Z</dcterms:modified>
</cp:coreProperties>
</file>