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042AE" w14:textId="77777777" w:rsidR="00356288" w:rsidRPr="00356288" w:rsidRDefault="00356288" w:rsidP="003562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288">
        <w:rPr>
          <w:rFonts w:ascii="Times New Roman" w:eastAsia="Times New Roman" w:hAnsi="Times New Roman" w:cs="Times New Roman"/>
          <w:b/>
          <w:bCs/>
          <w:kern w:val="0"/>
          <w:sz w:val="27"/>
          <w:szCs w:val="27"/>
          <w14:ligatures w14:val="none"/>
        </w:rPr>
        <w:t>Forward-Rate RPO Mapping Principle</w:t>
      </w:r>
    </w:p>
    <w:p w14:paraId="4A6ADCEF" w14:textId="0070BBFC"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For a forward-rate risk factor (F(T_</w:t>
      </w:r>
      <w:proofErr w:type="gramStart"/>
      <w:r w:rsidRPr="00356288">
        <w:rPr>
          <w:rFonts w:ascii="Times New Roman" w:eastAsia="Times New Roman" w:hAnsi="Times New Roman" w:cs="Times New Roman"/>
          <w:kern w:val="0"/>
          <w14:ligatures w14:val="none"/>
        </w:rPr>
        <w:t>1,T</w:t>
      </w:r>
      <w:proofErr w:type="gramEnd"/>
      <w:r w:rsidRPr="00356288">
        <w:rPr>
          <w:rFonts w:ascii="Times New Roman" w:eastAsia="Times New Roman" w:hAnsi="Times New Roman" w:cs="Times New Roman"/>
          <w:kern w:val="0"/>
          <w14:ligatures w14:val="none"/>
        </w:rPr>
        <w:t xml:space="preserve">_2)), </w:t>
      </w:r>
      <w:proofErr w:type="spellStart"/>
      <w:r w:rsidRPr="00356288">
        <w:rPr>
          <w:rFonts w:ascii="Times New Roman" w:eastAsia="Times New Roman" w:hAnsi="Times New Roman" w:cs="Times New Roman"/>
          <w:kern w:val="0"/>
          <w14:ligatures w14:val="none"/>
        </w:rPr>
        <w:t>t</w:t>
      </w:r>
      <w:r>
        <w:rPr>
          <w:rFonts w:ascii="Times New Roman" w:eastAsia="Times New Roman" w:hAnsi="Times New Roman" w:cs="Times New Roman"/>
          <w:kern w:val="0"/>
          <w14:ligatures w14:val="none"/>
        </w:rPr>
        <w:t>oru</w:t>
      </w:r>
      <w:proofErr w:type="spell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 xml:space="preserve">bank </w:t>
      </w:r>
      <w:r w:rsidRPr="00356288">
        <w:rPr>
          <w:rFonts w:ascii="Times New Roman" w:eastAsia="Times New Roman" w:hAnsi="Times New Roman" w:cs="Times New Roman"/>
          <w:kern w:val="0"/>
          <w14:ligatures w14:val="none"/>
        </w:rPr>
        <w:t xml:space="preserve"> will</w:t>
      </w:r>
      <w:proofErr w:type="gramEnd"/>
      <w:r w:rsidRPr="00356288">
        <w:rPr>
          <w:rFonts w:ascii="Times New Roman" w:eastAsia="Times New Roman" w:hAnsi="Times New Roman" w:cs="Times New Roman"/>
          <w:kern w:val="0"/>
          <w14:ligatures w14:val="none"/>
        </w:rPr>
        <w:t xml:space="preserve"> associate the risk factor with real price observations from market instruments corresponding to, or representative of, the </w:t>
      </w:r>
      <w:r w:rsidRPr="00356288">
        <w:rPr>
          <w:rFonts w:ascii="Times New Roman" w:eastAsia="Times New Roman" w:hAnsi="Times New Roman" w:cs="Times New Roman"/>
          <w:b/>
          <w:bCs/>
          <w:kern w:val="0"/>
          <w14:ligatures w14:val="none"/>
        </w:rPr>
        <w:t>forward interval endpoints (T_1) and (T_2)</w:t>
      </w:r>
      <w:r w:rsidRPr="00356288">
        <w:rPr>
          <w:rFonts w:ascii="Times New Roman" w:eastAsia="Times New Roman" w:hAnsi="Times New Roman" w:cs="Times New Roman"/>
          <w:kern w:val="0"/>
          <w14:ligatures w14:val="none"/>
        </w:rPr>
        <w:t>.</w:t>
      </w:r>
    </w:p>
    <w:p w14:paraId="5481767D" w14:textId="77777777" w:rsidR="00356288" w:rsidRDefault="00356288" w:rsidP="00356288">
      <w:pPr>
        <w:pStyle w:val="isselectedend"/>
      </w:pPr>
      <w:r>
        <w:t>This treatment reflects the economic definition of a forward rate. A forward rate over (</w:t>
      </w:r>
      <w:r>
        <w:rPr>
          <w:rStyle w:val="text-token-text-primary"/>
          <w:rFonts w:eastAsiaTheme="majorEastAsia"/>
        </w:rPr>
        <w:t>[T_</w:t>
      </w:r>
      <w:proofErr w:type="gramStart"/>
      <w:r>
        <w:rPr>
          <w:rStyle w:val="text-token-text-primary"/>
          <w:rFonts w:eastAsiaTheme="majorEastAsia"/>
        </w:rPr>
        <w:t>1,T</w:t>
      </w:r>
      <w:proofErr w:type="gramEnd"/>
      <w:r>
        <w:rPr>
          <w:rStyle w:val="text-token-text-primary"/>
          <w:rFonts w:eastAsiaTheme="majorEastAsia"/>
        </w:rPr>
        <w:t>_2]</w:t>
      </w:r>
      <w:r>
        <w:t>) represents the rate implied by the term structure between the start and end of the forward interval. Its value is determined by the curve at the two relevant maturity points, (T_1) and (T_2), rather than by the independent observability of every intermediate maturity between today and (T_2).</w:t>
      </w:r>
    </w:p>
    <w:p w14:paraId="05AB7593" w14:textId="77777777" w:rsidR="00356288" w:rsidRDefault="00356288" w:rsidP="00356288">
      <w:pPr>
        <w:pStyle w:val="NormalWeb"/>
      </w:pPr>
      <w:r>
        <w:t>Accordingly, market observations associated with the maturity regions around (T_1) and (T_2) provide the most direct information for establishing the value of the forward-rate risk factor.</w:t>
      </w:r>
    </w:p>
    <w:p w14:paraId="2CE9B7D8" w14:textId="733CEAC6"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 xml:space="preserve">The Bank does </w:t>
      </w:r>
      <w:r w:rsidRPr="00356288">
        <w:rPr>
          <w:rFonts w:ascii="Times New Roman" w:eastAsia="Times New Roman" w:hAnsi="Times New Roman" w:cs="Times New Roman"/>
          <w:b/>
          <w:bCs/>
          <w:kern w:val="0"/>
          <w14:ligatures w14:val="none"/>
        </w:rPr>
        <w:t>not</w:t>
      </w:r>
      <w:r w:rsidRPr="00356288">
        <w:rPr>
          <w:rFonts w:ascii="Times New Roman" w:eastAsia="Times New Roman" w:hAnsi="Times New Roman" w:cs="Times New Roman"/>
          <w:kern w:val="0"/>
          <w14:ligatures w14:val="none"/>
        </w:rPr>
        <w:t xml:space="preserve"> require real price observations at every maturity between </w:t>
      </w:r>
      <w:r>
        <w:rPr>
          <w:rFonts w:ascii="Times New Roman" w:eastAsia="Times New Roman" w:hAnsi="Times New Roman" w:cs="Times New Roman"/>
          <w:kern w:val="0"/>
          <w14:ligatures w14:val="none"/>
        </w:rPr>
        <w:t>0</w:t>
      </w:r>
      <w:r w:rsidRPr="00356288">
        <w:rPr>
          <w:rFonts w:ascii="Times New Roman" w:eastAsia="Times New Roman" w:hAnsi="Times New Roman" w:cs="Times New Roman"/>
          <w:kern w:val="0"/>
          <w14:ligatures w14:val="none"/>
        </w:rPr>
        <w:t xml:space="preserve"> and (T_2). Instruments at earlier maturities may contribute to a particular curve-construction methodology, but their use in constructing intermediate discount factors does not, by itself, establish that each such instrument is representative of every subsequent forward-rate risk factor for RFET purposes.</w:t>
      </w:r>
    </w:p>
    <w:p w14:paraId="1D3E9B7C"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 xml:space="preserve">The distinction is important because RFET is an </w:t>
      </w:r>
      <w:r w:rsidRPr="00356288">
        <w:rPr>
          <w:rFonts w:ascii="Times New Roman" w:eastAsia="Times New Roman" w:hAnsi="Times New Roman" w:cs="Times New Roman"/>
          <w:b/>
          <w:bCs/>
          <w:kern w:val="0"/>
          <w14:ligatures w14:val="none"/>
        </w:rPr>
        <w:t>observability and counting test</w:t>
      </w:r>
      <w:r w:rsidRPr="00356288">
        <w:rPr>
          <w:rFonts w:ascii="Times New Roman" w:eastAsia="Times New Roman" w:hAnsi="Times New Roman" w:cs="Times New Roman"/>
          <w:kern w:val="0"/>
          <w14:ligatures w14:val="none"/>
        </w:rPr>
        <w:t xml:space="preserve">, rather than a test of the mechanics of a particular curve-construction algorithm. The applicable regulatory standard is whether a real price can be used to </w:t>
      </w:r>
      <w:r w:rsidRPr="00356288">
        <w:rPr>
          <w:rFonts w:ascii="Times New Roman" w:eastAsia="Times New Roman" w:hAnsi="Times New Roman" w:cs="Times New Roman"/>
          <w:b/>
          <w:bCs/>
          <w:kern w:val="0"/>
          <w14:ligatures w14:val="none"/>
        </w:rPr>
        <w:t>inform the value of the risk factor</w:t>
      </w:r>
      <w:r w:rsidRPr="00356288">
        <w:rPr>
          <w:rFonts w:ascii="Times New Roman" w:eastAsia="Times New Roman" w:hAnsi="Times New Roman" w:cs="Times New Roman"/>
          <w:kern w:val="0"/>
          <w14:ligatures w14:val="none"/>
        </w:rPr>
        <w:t>. The Bank therefore defines RPO representativeness based on the economic maturity coordinates of the forward risk factor, rather than making RFET eligibility dependent on the full set of instruments used by a particular bootstrap, interpolation, or calibration methodology.</w:t>
      </w:r>
    </w:p>
    <w:p w14:paraId="05DFA401"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For a forward risk factor (F(T_</w:t>
      </w:r>
      <w:proofErr w:type="gramStart"/>
      <w:r w:rsidRPr="00356288">
        <w:rPr>
          <w:rFonts w:ascii="Times New Roman" w:eastAsia="Times New Roman" w:hAnsi="Times New Roman" w:cs="Times New Roman"/>
          <w:kern w:val="0"/>
          <w14:ligatures w14:val="none"/>
        </w:rPr>
        <w:t>1,T</w:t>
      </w:r>
      <w:proofErr w:type="gramEnd"/>
      <w:r w:rsidRPr="00356288">
        <w:rPr>
          <w:rFonts w:ascii="Times New Roman" w:eastAsia="Times New Roman" w:hAnsi="Times New Roman" w:cs="Times New Roman"/>
          <w:kern w:val="0"/>
          <w14:ligatures w14:val="none"/>
        </w:rPr>
        <w:t>_2)), RPOs associated with the relevant (T_1) and (T_2) maturity regions are therefore considered representative of that forward risk factor, subject to the Bank's approved bucket boundaries and representativeness rules.</w:t>
      </w:r>
    </w:p>
    <w:p w14:paraId="6FA35BD1" w14:textId="77777777" w:rsidR="00356288" w:rsidRPr="00356288" w:rsidRDefault="00356288" w:rsidP="003562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6288">
        <w:rPr>
          <w:rFonts w:ascii="Times New Roman" w:eastAsia="Times New Roman" w:hAnsi="Times New Roman" w:cs="Times New Roman"/>
          <w:b/>
          <w:bCs/>
          <w:kern w:val="0"/>
          <w:sz w:val="27"/>
          <w:szCs w:val="27"/>
          <w14:ligatures w14:val="none"/>
        </w:rPr>
        <w:t>Role of Jacobian Analysis</w:t>
      </w:r>
    </w:p>
    <w:p w14:paraId="690651E1"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 xml:space="preserve">Sensitivity or Jacobian analysis is used as </w:t>
      </w:r>
      <w:r w:rsidRPr="00356288">
        <w:rPr>
          <w:rFonts w:ascii="Times New Roman" w:eastAsia="Times New Roman" w:hAnsi="Times New Roman" w:cs="Times New Roman"/>
          <w:b/>
          <w:bCs/>
          <w:kern w:val="0"/>
          <w14:ligatures w14:val="none"/>
        </w:rPr>
        <w:t>supporting validation evidence</w:t>
      </w:r>
      <w:r w:rsidRPr="00356288">
        <w:rPr>
          <w:rFonts w:ascii="Times New Roman" w:eastAsia="Times New Roman" w:hAnsi="Times New Roman" w:cs="Times New Roman"/>
          <w:kern w:val="0"/>
          <w14:ligatures w14:val="none"/>
        </w:rPr>
        <w:t>, rather than as the rule that determines RFET bucket allocation.</w:t>
      </w:r>
    </w:p>
    <w:p w14:paraId="32800B04"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The Bank may periodically perturb calibration instrument quotes and measure the resulting change in each forward-rate risk factor. This analysis is expected to demonstrate that the economically defined endpoint mapping is reasonable and that the forward risk factor is principally informed by market instruments associated with its relevant maturity region.</w:t>
      </w:r>
    </w:p>
    <w:p w14:paraId="75336FF7"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 xml:space="preserve">The Jacobian does not determine the RPO population and no fixed sensitivity threshold is required for an observation to qualify. Consequently, changes to curve-construction methodology, interpolation, calibration instruments, or sensitivity concentration do not automatically change the RFET bucketing methodology. Material changes would instead trigger </w:t>
      </w:r>
      <w:r w:rsidRPr="00356288">
        <w:rPr>
          <w:rFonts w:ascii="Times New Roman" w:eastAsia="Times New Roman" w:hAnsi="Times New Roman" w:cs="Times New Roman"/>
          <w:kern w:val="0"/>
          <w14:ligatures w14:val="none"/>
        </w:rPr>
        <w:lastRenderedPageBreak/>
        <w:t>review of whether the established endpoint-based representativeness mapping remains appropriate.</w:t>
      </w:r>
    </w:p>
    <w:p w14:paraId="515B5CED"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This separation provides a stable RFET methodology while retaining quantitative evidence that the mapping remains economically and empirically supported.</w:t>
      </w:r>
    </w:p>
    <w:p w14:paraId="5E67479B" w14:textId="77777777" w:rsidR="00356288" w:rsidRDefault="00356288"/>
    <w:p w14:paraId="0FEF9941" w14:textId="77777777" w:rsidR="00356288" w:rsidRDefault="00356288"/>
    <w:p w14:paraId="083B1CCA"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Suppose the RF is:</w:t>
      </w:r>
    </w:p>
    <w:p w14:paraId="5ECC3351" w14:textId="77777777" w:rsidR="00356288" w:rsidRPr="00356288" w:rsidRDefault="00356288" w:rsidP="00356288">
      <w:pPr>
        <w:spacing w:after="0"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F(5Y,10</w:t>
      </w:r>
      <w:proofErr w:type="gramStart"/>
      <w:r w:rsidRPr="00356288">
        <w:rPr>
          <w:rFonts w:ascii="Times New Roman" w:eastAsia="Times New Roman" w:hAnsi="Times New Roman" w:cs="Times New Roman"/>
          <w:kern w:val="0"/>
          <w14:ligatures w14:val="none"/>
        </w:rPr>
        <w:t>Y)F</w:t>
      </w:r>
      <w:proofErr w:type="gramEnd"/>
      <w:r w:rsidRPr="00356288">
        <w:rPr>
          <w:rFonts w:ascii="Times New Roman" w:eastAsia="Times New Roman" w:hAnsi="Times New Roman" w:cs="Times New Roman"/>
          <w:kern w:val="0"/>
          <w14:ligatures w14:val="none"/>
        </w:rPr>
        <w:t xml:space="preserve">(5Y,10Y) </w:t>
      </w:r>
    </w:p>
    <w:p w14:paraId="5AD9A4A2"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and observable calibration instruments exist at:</w:t>
      </w:r>
    </w:p>
    <w:p w14:paraId="6A8DBE81"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b/>
          <w:bCs/>
          <w:kern w:val="0"/>
          <w14:ligatures w14:val="none"/>
        </w:rPr>
        <w:t>1Y, 2Y, 5Y, 10Y.</w:t>
      </w:r>
    </w:p>
    <w:p w14:paraId="5AD24B08"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There is no 3M, 6M or 9M RPO.</w:t>
      </w:r>
    </w:p>
    <w:p w14:paraId="50954886" w14:textId="77777777" w:rsidR="00356288" w:rsidRPr="00356288" w:rsidRDefault="00356288" w:rsidP="00356288">
      <w:pPr>
        <w:spacing w:before="100" w:beforeAutospacing="1" w:after="100" w:afterAutospacing="1" w:line="240" w:lineRule="auto"/>
        <w:rPr>
          <w:rFonts w:ascii="Times New Roman" w:eastAsia="Times New Roman" w:hAnsi="Times New Roman" w:cs="Times New Roman"/>
          <w:kern w:val="0"/>
          <w14:ligatures w14:val="none"/>
        </w:rPr>
      </w:pPr>
      <w:r w:rsidRPr="00356288">
        <w:rPr>
          <w:rFonts w:ascii="Times New Roman" w:eastAsia="Times New Roman" w:hAnsi="Times New Roman" w:cs="Times New Roman"/>
          <w:kern w:val="0"/>
          <w14:ligatures w14:val="none"/>
        </w:rPr>
        <w:t xml:space="preserve">The absence of those short-dated observations does </w:t>
      </w:r>
      <w:r w:rsidRPr="00356288">
        <w:rPr>
          <w:rFonts w:ascii="Times New Roman" w:eastAsia="Times New Roman" w:hAnsi="Times New Roman" w:cs="Times New Roman"/>
          <w:b/>
          <w:bCs/>
          <w:kern w:val="0"/>
          <w14:ligatures w14:val="none"/>
        </w:rPr>
        <w:t>not logically establish that the 5Y–10Y forward is unobservable</w:t>
      </w:r>
      <w:r w:rsidRPr="00356288">
        <w:rPr>
          <w:rFonts w:ascii="Times New Roman" w:eastAsia="Times New Roman" w:hAnsi="Times New Roman" w:cs="Times New Roman"/>
          <w:kern w:val="0"/>
          <w14:ligatures w14:val="none"/>
        </w:rPr>
        <w:t>. You can have highly relevant observable market information at 5Y and 10Y from which the 5Y–10Y term structure is informed.</w:t>
      </w:r>
    </w:p>
    <w:p w14:paraId="57619763" w14:textId="14265665" w:rsidR="00356288" w:rsidRDefault="00356288">
      <w:pPr>
        <w:rPr>
          <w:rStyle w:val="katex"/>
          <w:color w:val="EE0000"/>
        </w:rPr>
      </w:pPr>
      <w:r w:rsidRPr="00356288">
        <w:rPr>
          <w:color w:val="EE0000"/>
        </w:rPr>
        <w:t xml:space="preserve">RPOs corresponding to, or representative of, the maturity regions associated with </w:t>
      </w:r>
      <w:r w:rsidRPr="00356288">
        <w:rPr>
          <w:rStyle w:val="katex"/>
          <w:color w:val="EE0000"/>
        </w:rPr>
        <w:t>T1T_1</w:t>
      </w:r>
      <w:r w:rsidRPr="00356288">
        <w:rPr>
          <w:color w:val="EE0000"/>
        </w:rPr>
        <w:t xml:space="preserve"> and </w:t>
      </w:r>
      <w:r w:rsidRPr="00356288">
        <w:rPr>
          <w:rStyle w:val="katex"/>
          <w:color w:val="EE0000"/>
        </w:rPr>
        <w:t>T2T_2</w:t>
      </w:r>
    </w:p>
    <w:p w14:paraId="457235A2" w14:textId="77777777" w:rsidR="00356288" w:rsidRDefault="00356288">
      <w:pPr>
        <w:rPr>
          <w:rStyle w:val="katex"/>
          <w:color w:val="EE0000"/>
        </w:rPr>
      </w:pPr>
    </w:p>
    <w:p w14:paraId="2BDCECC5" w14:textId="77777777" w:rsidR="006853E4" w:rsidRDefault="006853E4">
      <w:pPr>
        <w:rPr>
          <w:rStyle w:val="katex"/>
          <w:color w:val="EE0000"/>
        </w:rPr>
      </w:pPr>
    </w:p>
    <w:p w14:paraId="61498217" w14:textId="77777777" w:rsidR="006853E4" w:rsidRDefault="006853E4">
      <w:pPr>
        <w:rPr>
          <w:rStyle w:val="katex"/>
          <w:color w:val="EE0000"/>
        </w:rPr>
      </w:pPr>
    </w:p>
    <w:p w14:paraId="083F54A3" w14:textId="77777777" w:rsidR="006853E4" w:rsidRPr="006853E4" w:rsidRDefault="006853E4" w:rsidP="006853E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853E4">
        <w:rPr>
          <w:rFonts w:ascii="Times New Roman" w:eastAsia="Times New Roman" w:hAnsi="Times New Roman" w:cs="Times New Roman"/>
          <w:b/>
          <w:bCs/>
          <w:kern w:val="0"/>
          <w:sz w:val="27"/>
          <w:szCs w:val="27"/>
          <w14:ligatures w14:val="none"/>
        </w:rPr>
        <w:t>Forward-Rate RPO Mapping Principle</w:t>
      </w:r>
    </w:p>
    <w:p w14:paraId="009EAEF6" w14:textId="77777777" w:rsidR="006853E4" w:rsidRPr="006853E4" w:rsidRDefault="006853E4" w:rsidP="006853E4">
      <w:pPr>
        <w:spacing w:before="100" w:beforeAutospacing="1" w:after="100" w:afterAutospacing="1" w:line="240" w:lineRule="auto"/>
        <w:rPr>
          <w:rFonts w:ascii="Times New Roman" w:eastAsia="Times New Roman" w:hAnsi="Times New Roman" w:cs="Times New Roman"/>
          <w:kern w:val="0"/>
          <w14:ligatures w14:val="none"/>
        </w:rPr>
      </w:pPr>
      <w:r w:rsidRPr="006853E4">
        <w:rPr>
          <w:rFonts w:ascii="Times New Roman" w:eastAsia="Times New Roman" w:hAnsi="Times New Roman" w:cs="Times New Roman"/>
          <w:kern w:val="0"/>
          <w14:ligatures w14:val="none"/>
        </w:rPr>
        <w:t>Forward-rate risk factors F(T</w:t>
      </w:r>
      <w:proofErr w:type="gramStart"/>
      <w:r w:rsidRPr="006853E4">
        <w:rPr>
          <w:rFonts w:ascii="Times New Roman" w:eastAsia="Times New Roman" w:hAnsi="Times New Roman" w:cs="Times New Roman"/>
          <w:kern w:val="0"/>
          <w14:ligatures w14:val="none"/>
        </w:rPr>
        <w:t>1,T2)F</w:t>
      </w:r>
      <w:proofErr w:type="gramEnd"/>
      <w:r w:rsidRPr="006853E4">
        <w:rPr>
          <w:rFonts w:ascii="Times New Roman" w:eastAsia="Times New Roman" w:hAnsi="Times New Roman" w:cs="Times New Roman"/>
          <w:kern w:val="0"/>
          <w14:ligatures w14:val="none"/>
        </w:rPr>
        <w:t>(T_</w:t>
      </w:r>
      <w:proofErr w:type="gramStart"/>
      <w:r w:rsidRPr="006853E4">
        <w:rPr>
          <w:rFonts w:ascii="Times New Roman" w:eastAsia="Times New Roman" w:hAnsi="Times New Roman" w:cs="Times New Roman"/>
          <w:kern w:val="0"/>
          <w14:ligatures w14:val="none"/>
        </w:rPr>
        <w:t>1,T</w:t>
      </w:r>
      <w:proofErr w:type="gramEnd"/>
      <w:r w:rsidRPr="006853E4">
        <w:rPr>
          <w:rFonts w:ascii="Times New Roman" w:eastAsia="Times New Roman" w:hAnsi="Times New Roman" w:cs="Times New Roman"/>
          <w:kern w:val="0"/>
          <w14:ligatures w14:val="none"/>
        </w:rPr>
        <w:t>_2) are mapped to Real Price Observations (RPOs) associated with market instruments at, or representative of, the maturity regions around the forward interval endpoints T1T_1 and T2T_2.</w:t>
      </w:r>
    </w:p>
    <w:p w14:paraId="62AABA41" w14:textId="77777777" w:rsidR="006853E4" w:rsidRPr="006853E4" w:rsidRDefault="006853E4" w:rsidP="006853E4">
      <w:pPr>
        <w:spacing w:before="100" w:beforeAutospacing="1" w:after="100" w:afterAutospacing="1" w:line="240" w:lineRule="auto"/>
        <w:rPr>
          <w:rFonts w:ascii="Times New Roman" w:eastAsia="Times New Roman" w:hAnsi="Times New Roman" w:cs="Times New Roman"/>
          <w:kern w:val="0"/>
          <w14:ligatures w14:val="none"/>
        </w:rPr>
      </w:pPr>
      <w:r w:rsidRPr="006853E4">
        <w:rPr>
          <w:rFonts w:ascii="Times New Roman" w:eastAsia="Times New Roman" w:hAnsi="Times New Roman" w:cs="Times New Roman"/>
          <w:kern w:val="0"/>
          <w14:ligatures w14:val="none"/>
        </w:rPr>
        <w:t>This endpoint-based mapping reflects the economic definition of a forward rate. A forward rate over [T</w:t>
      </w:r>
      <w:proofErr w:type="gramStart"/>
      <w:r w:rsidRPr="006853E4">
        <w:rPr>
          <w:rFonts w:ascii="Times New Roman" w:eastAsia="Times New Roman" w:hAnsi="Times New Roman" w:cs="Times New Roman"/>
          <w:kern w:val="0"/>
          <w14:ligatures w14:val="none"/>
        </w:rPr>
        <w:t>1,T2][</w:t>
      </w:r>
      <w:proofErr w:type="gramEnd"/>
      <w:r w:rsidRPr="006853E4">
        <w:rPr>
          <w:rFonts w:ascii="Times New Roman" w:eastAsia="Times New Roman" w:hAnsi="Times New Roman" w:cs="Times New Roman"/>
          <w:kern w:val="0"/>
          <w14:ligatures w14:val="none"/>
        </w:rPr>
        <w:t>T_</w:t>
      </w:r>
      <w:proofErr w:type="gramStart"/>
      <w:r w:rsidRPr="006853E4">
        <w:rPr>
          <w:rFonts w:ascii="Times New Roman" w:eastAsia="Times New Roman" w:hAnsi="Times New Roman" w:cs="Times New Roman"/>
          <w:kern w:val="0"/>
          <w14:ligatures w14:val="none"/>
        </w:rPr>
        <w:t>1,T</w:t>
      </w:r>
      <w:proofErr w:type="gramEnd"/>
      <w:r w:rsidRPr="006853E4">
        <w:rPr>
          <w:rFonts w:ascii="Times New Roman" w:eastAsia="Times New Roman" w:hAnsi="Times New Roman" w:cs="Times New Roman"/>
          <w:kern w:val="0"/>
          <w14:ligatures w14:val="none"/>
        </w:rPr>
        <w:t>_2] represents the rate implied by the term structure between the start and end of the forward interval. Its value is determined by the curve at the two relevant maturity points, T1T_1 and T2T_2, rather than by the independent observability of every intermediate maturity between today and T2T_2.</w:t>
      </w:r>
    </w:p>
    <w:p w14:paraId="4AB833DE" w14:textId="77777777" w:rsidR="006853E4" w:rsidRPr="006853E4" w:rsidRDefault="006853E4" w:rsidP="006853E4">
      <w:pPr>
        <w:spacing w:before="100" w:beforeAutospacing="1" w:after="100" w:afterAutospacing="1" w:line="240" w:lineRule="auto"/>
        <w:rPr>
          <w:rFonts w:ascii="Times New Roman" w:eastAsia="Times New Roman" w:hAnsi="Times New Roman" w:cs="Times New Roman"/>
          <w:kern w:val="0"/>
          <w14:ligatures w14:val="none"/>
        </w:rPr>
      </w:pPr>
      <w:r w:rsidRPr="006853E4">
        <w:rPr>
          <w:rFonts w:ascii="Times New Roman" w:eastAsia="Times New Roman" w:hAnsi="Times New Roman" w:cs="Times New Roman"/>
          <w:kern w:val="0"/>
          <w14:ligatures w14:val="none"/>
        </w:rPr>
        <w:lastRenderedPageBreak/>
        <w:t>Accordingly, market observations associated with the maturity regions around T1T_1 and T2T_2 provide the most direct information for establishing the value of the forward-rate risk factor. Observations at earlier or intermediate maturities may contribute to a particular curve-construction methodology, but such computational dependency does not, by itself, make those observations representative of every subsequent forward segment for RFET purposes.</w:t>
      </w:r>
    </w:p>
    <w:p w14:paraId="17AAB24E" w14:textId="77777777" w:rsidR="006853E4" w:rsidRPr="006853E4" w:rsidRDefault="006853E4" w:rsidP="006853E4">
      <w:pPr>
        <w:spacing w:before="100" w:beforeAutospacing="1" w:after="100" w:afterAutospacing="1" w:line="240" w:lineRule="auto"/>
        <w:rPr>
          <w:rFonts w:ascii="Times New Roman" w:eastAsia="Times New Roman" w:hAnsi="Times New Roman" w:cs="Times New Roman"/>
          <w:kern w:val="0"/>
          <w14:ligatures w14:val="none"/>
        </w:rPr>
      </w:pPr>
      <w:r w:rsidRPr="006853E4">
        <w:rPr>
          <w:rFonts w:ascii="Times New Roman" w:eastAsia="Times New Roman" w:hAnsi="Times New Roman" w:cs="Times New Roman"/>
          <w:kern w:val="0"/>
          <w14:ligatures w14:val="none"/>
        </w:rPr>
        <w:t>The Bank therefore bases RPO representativeness on the economic maturity coordinates of the forward risk factor, rather than on the complete set of instruments used by a particular bootstrap, interpolation, or curve-construction methodology.</w:t>
      </w:r>
    </w:p>
    <w:p w14:paraId="0A8707F9" w14:textId="77777777" w:rsidR="006853E4" w:rsidRPr="006853E4" w:rsidRDefault="006853E4" w:rsidP="006853E4">
      <w:pPr>
        <w:spacing w:before="100" w:beforeAutospacing="1" w:after="100" w:afterAutospacing="1" w:line="240" w:lineRule="auto"/>
        <w:rPr>
          <w:rFonts w:ascii="Times New Roman" w:eastAsia="Times New Roman" w:hAnsi="Times New Roman" w:cs="Times New Roman"/>
          <w:kern w:val="0"/>
          <w14:ligatures w14:val="none"/>
        </w:rPr>
      </w:pPr>
      <w:r w:rsidRPr="006853E4">
        <w:rPr>
          <w:rFonts w:ascii="Times New Roman" w:eastAsia="Times New Roman" w:hAnsi="Times New Roman" w:cs="Times New Roman"/>
          <w:kern w:val="0"/>
          <w14:ligatures w14:val="none"/>
        </w:rPr>
        <w:t>Jacobian or sensitivity analysis may be used as supporting empirical evidence to demonstrate that this endpoint-based mapping remains reasonable. It does not define the RFET mapping or determine which RPOs are counted.</w:t>
      </w:r>
    </w:p>
    <w:p w14:paraId="04BED263" w14:textId="77777777" w:rsidR="006853E4" w:rsidRDefault="006853E4">
      <w:pPr>
        <w:rPr>
          <w:rStyle w:val="katex"/>
          <w:color w:val="EE0000"/>
        </w:rPr>
      </w:pPr>
    </w:p>
    <w:p w14:paraId="5D27F55C" w14:textId="4096BAAD" w:rsidR="00356288" w:rsidRDefault="00356288">
      <w:pPr>
        <w:rPr>
          <w:color w:val="EE0000"/>
        </w:rPr>
      </w:pPr>
      <w:r>
        <w:rPr>
          <w:noProof/>
        </w:rPr>
        <w:drawing>
          <wp:inline distT="0" distB="0" distL="0" distR="0" wp14:anchorId="7184546A" wp14:editId="7CA750FA">
            <wp:extent cx="5295900" cy="3324225"/>
            <wp:effectExtent l="0" t="0" r="0" b="9525"/>
            <wp:docPr id="87400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2852" name=""/>
                    <pic:cNvPicPr/>
                  </pic:nvPicPr>
                  <pic:blipFill>
                    <a:blip r:embed="rId4"/>
                    <a:stretch>
                      <a:fillRect/>
                    </a:stretch>
                  </pic:blipFill>
                  <pic:spPr>
                    <a:xfrm>
                      <a:off x="0" y="0"/>
                      <a:ext cx="5295900" cy="3324225"/>
                    </a:xfrm>
                    <a:prstGeom prst="rect">
                      <a:avLst/>
                    </a:prstGeom>
                  </pic:spPr>
                </pic:pic>
              </a:graphicData>
            </a:graphic>
          </wp:inline>
        </w:drawing>
      </w:r>
    </w:p>
    <w:p w14:paraId="7071245E" w14:textId="77777777" w:rsidR="00356288" w:rsidRDefault="00356288">
      <w:pPr>
        <w:rPr>
          <w:color w:val="EE0000"/>
        </w:rPr>
      </w:pPr>
    </w:p>
    <w:p w14:paraId="21B63D73" w14:textId="77777777" w:rsidR="00356288" w:rsidRDefault="00356288">
      <w:pPr>
        <w:rPr>
          <w:color w:val="EE0000"/>
        </w:rPr>
      </w:pPr>
    </w:p>
    <w:p w14:paraId="0EF6CEF6" w14:textId="77777777" w:rsidR="00356288" w:rsidRDefault="00356288" w:rsidP="00356288">
      <w:pPr>
        <w:pStyle w:val="pdq2pgselectionanchorcontainer"/>
      </w:pPr>
      <w:r>
        <w:t xml:space="preserve">because otherwise every change from bootstrap to spline, interpolation method, calibration instrument set, or curve-building methodology potentially becomes an </w:t>
      </w:r>
      <w:r>
        <w:rPr>
          <w:rStyle w:val="Strong"/>
          <w:rFonts w:eastAsiaTheme="majorEastAsia"/>
        </w:rPr>
        <w:t>RFET methodology change</w:t>
      </w:r>
      <w:r>
        <w:t>.</w:t>
      </w:r>
    </w:p>
    <w:p w14:paraId="2D6E639F" w14:textId="77777777" w:rsidR="00356288" w:rsidRDefault="00356288" w:rsidP="00356288">
      <w:pPr>
        <w:pStyle w:val="NormalWeb"/>
      </w:pPr>
      <w:r>
        <w:t xml:space="preserve">The Fed's proposed rule deliberately focuses on whether the price </w:t>
      </w:r>
      <w:r>
        <w:rPr>
          <w:rStyle w:val="Strong"/>
          <w:rFonts w:eastAsiaTheme="majorEastAsia"/>
        </w:rPr>
        <w:t>informs the RF</w:t>
      </w:r>
      <w:r>
        <w:t>,</w:t>
      </w:r>
    </w:p>
    <w:p w14:paraId="6FBCC2AF" w14:textId="475C5D75" w:rsidR="00356288" w:rsidRDefault="00356288">
      <w:r>
        <w:lastRenderedPageBreak/>
        <w:t xml:space="preserve">I would also add one sentence to the BRD explicitly stating: </w:t>
      </w:r>
      <w:r>
        <w:rPr>
          <w:rStyle w:val="Strong"/>
        </w:rPr>
        <w:t>“Calibration lineage is evidence of representativeness; it is not the definition of representativeness.”</w:t>
      </w:r>
      <w:r>
        <w:t xml:space="preserve"> That sentence closes much of the ambiguity in the current draft</w:t>
      </w:r>
    </w:p>
    <w:p w14:paraId="468FCF20" w14:textId="77777777" w:rsidR="00D521CD" w:rsidRDefault="00D521CD"/>
    <w:p w14:paraId="12212626" w14:textId="77777777" w:rsidR="00D521CD" w:rsidRDefault="00D521CD"/>
    <w:p w14:paraId="3ADEE292" w14:textId="77777777" w:rsidR="00D521CD" w:rsidRDefault="00D521CD"/>
    <w:p w14:paraId="6FFD75F5" w14:textId="77777777" w:rsidR="00D521CD" w:rsidRDefault="00D521CD" w:rsidP="00D521CD">
      <w:pPr>
        <w:pStyle w:val="NormalWeb"/>
      </w:pPr>
      <w:r>
        <w:rPr>
          <w:rStyle w:val="Strong"/>
          <w:rFonts w:eastAsiaTheme="majorEastAsia"/>
        </w:rPr>
        <w:t>Methodology Statement — Mapping of Real Price Observations to Interest-Rate Forward Risk Factors for the Risk Factor Eligibility Test</w:t>
      </w:r>
    </w:p>
    <w:p w14:paraId="69A32FF6" w14:textId="77777777" w:rsidR="00D521CD" w:rsidRDefault="00D521CD" w:rsidP="00D521CD">
      <w:pPr>
        <w:pStyle w:val="NormalWeb"/>
      </w:pPr>
      <w:r>
        <w:rPr>
          <w:rStyle w:val="Strong"/>
          <w:rFonts w:eastAsiaTheme="majorEastAsia"/>
        </w:rPr>
        <w:t>1. Purpose and scope</w:t>
      </w:r>
      <w:r>
        <w:br/>
        <w:t xml:space="preserve">This statement </w:t>
      </w:r>
      <w:proofErr w:type="gramStart"/>
      <w:r>
        <w:t>sets</w:t>
      </w:r>
      <w:proofErr w:type="gramEnd"/>
      <w:r>
        <w:t xml:space="preserve"> out how [Bank] maps real price observations (RPOs) to interest-rate forward risk factors of the form F(T</w:t>
      </w:r>
      <w:proofErr w:type="gramStart"/>
      <w:r>
        <w:t>1,T</w:t>
      </w:r>
      <w:proofErr w:type="gramEnd"/>
      <w:r>
        <w:t xml:space="preserve">2), and how the </w:t>
      </w:r>
      <w:proofErr w:type="spellStart"/>
      <w:r>
        <w:t>modellability</w:t>
      </w:r>
      <w:proofErr w:type="spellEnd"/>
      <w:r>
        <w:t xml:space="preserve"> of those risk factors is determined for the Risk Factor Eligibility Test (RFET). It applies to the forward risk factors derived from [Bank]'s [SOFR OIS and related] interest-rate curves used in the internal </w:t>
      </w:r>
      <w:proofErr w:type="gramStart"/>
      <w:r>
        <w:t>models</w:t>
      </w:r>
      <w:proofErr w:type="gramEnd"/>
      <w:r>
        <w:t xml:space="preserve"> approach.</w:t>
      </w:r>
    </w:p>
    <w:p w14:paraId="3473E93A" w14:textId="77777777" w:rsidR="00D521CD" w:rsidRDefault="00D521CD" w:rsidP="00D521CD">
      <w:pPr>
        <w:pStyle w:val="NormalWeb"/>
      </w:pPr>
      <w:r>
        <w:rPr>
          <w:rStyle w:val="Strong"/>
          <w:rFonts w:eastAsiaTheme="majorEastAsia"/>
        </w:rPr>
        <w:t>2. Definition of the risk factor</w:t>
      </w:r>
      <w:r>
        <w:br/>
        <w:t>A forward risk factor F(T</w:t>
      </w:r>
      <w:proofErr w:type="gramStart"/>
      <w:r>
        <w:t>1,T</w:t>
      </w:r>
      <w:proofErr w:type="gramEnd"/>
      <w:r>
        <w:t>2) represents the interest rate for the period between a start date T1 and an end date T2. It is a deterministic function of the interest-rate curve at exactly two points — the curve at T1 and the curve at T2 (equivalently, the discount factors or zero rates at those two maturities). Once the curve is fixed at T1 and T2, the value of F(T</w:t>
      </w:r>
      <w:proofErr w:type="gramStart"/>
      <w:r>
        <w:t>1,T</w:t>
      </w:r>
      <w:proofErr w:type="gramEnd"/>
      <w:r>
        <w:t>2) is fully determined.</w:t>
      </w:r>
    </w:p>
    <w:p w14:paraId="5DC72F62" w14:textId="77777777" w:rsidR="00D521CD" w:rsidRDefault="00D521CD" w:rsidP="00D521CD">
      <w:pPr>
        <w:pStyle w:val="NormalWeb"/>
      </w:pPr>
      <w:r>
        <w:rPr>
          <w:rStyle w:val="Strong"/>
          <w:rFonts w:eastAsiaTheme="majorEastAsia"/>
        </w:rPr>
        <w:t>3. Mapping rule</w:t>
      </w:r>
      <w:r>
        <w:br/>
        <w:t>[Bank] maps each forward risk factor F(T</w:t>
      </w:r>
      <w:proofErr w:type="gramStart"/>
      <w:r>
        <w:t>1,T</w:t>
      </w:r>
      <w:proofErr w:type="gramEnd"/>
      <w:r>
        <w:t>2) to the calibration instruments that fix the curve at its two endpoints: the instrument maturing at T1 and the instrument maturing at T2. Where no instrument matures exactly at an endpoint, the representative instruments are those in the tenor bucket straddling that endpoint. RPOs are allocated to non-overlapping tenor buckets, and the RPOs representative of F(T</w:t>
      </w:r>
      <w:proofErr w:type="gramStart"/>
      <w:r>
        <w:t>1,T</w:t>
      </w:r>
      <w:proofErr w:type="gramEnd"/>
      <w:r>
        <w:t>2) are those in the two endpoint buckets, bucket(T1) and bucket(T2).</w:t>
      </w:r>
    </w:p>
    <w:p w14:paraId="3D71B039" w14:textId="77777777" w:rsidR="00D521CD" w:rsidRDefault="00D521CD" w:rsidP="00D521CD">
      <w:pPr>
        <w:pStyle w:val="NormalWeb"/>
      </w:pPr>
      <w:r>
        <w:rPr>
          <w:rStyle w:val="Strong"/>
          <w:rFonts w:eastAsiaTheme="majorEastAsia"/>
        </w:rPr>
        <w:t>4. Basis for the mapping</w:t>
      </w:r>
      <w:r>
        <w:br/>
        <w:t>The mapping follows directly from the representativeness requirement of the applicable RFET provisions [insert citation]: an observation is representative of a risk factor when the value of that risk factor can be extracted from the observation. The value of F(T</w:t>
      </w:r>
      <w:proofErr w:type="gramStart"/>
      <w:r>
        <w:t>1,T</w:t>
      </w:r>
      <w:proofErr w:type="gramEnd"/>
      <w:r>
        <w:t>2) is extractable from the curve at T1 and T2, and those curve points are fixed by the calibration instruments maturing at those maturities. The endpoint instruments are therefore the observations representative of the forward. Consistent with the established principle that a risk factor derived solely from a combination of modellable risk factors is itself modellable, F(T</w:t>
      </w:r>
      <w:proofErr w:type="gramStart"/>
      <w:r>
        <w:t>1,T</w:t>
      </w:r>
      <w:proofErr w:type="gramEnd"/>
      <w:r>
        <w:t>2) — being a combination of exactly two curve points — is modellable when, and only when, both endpoint curve points are modellable.</w:t>
      </w:r>
    </w:p>
    <w:p w14:paraId="4D824A95" w14:textId="77777777" w:rsidR="00D521CD" w:rsidRDefault="00D521CD" w:rsidP="00D521CD">
      <w:pPr>
        <w:pStyle w:val="NormalWeb"/>
      </w:pPr>
      <w:r>
        <w:rPr>
          <w:rStyle w:val="Strong"/>
          <w:rFonts w:eastAsiaTheme="majorEastAsia"/>
        </w:rPr>
        <w:t xml:space="preserve">5. Determination of </w:t>
      </w:r>
      <w:proofErr w:type="spellStart"/>
      <w:r>
        <w:rPr>
          <w:rStyle w:val="Strong"/>
          <w:rFonts w:eastAsiaTheme="majorEastAsia"/>
        </w:rPr>
        <w:t>modellability</w:t>
      </w:r>
      <w:proofErr w:type="spellEnd"/>
      <w:r>
        <w:br/>
        <w:t>For each forward risk factor F(T1,T2), [Bank]:</w:t>
      </w:r>
      <w:r>
        <w:br/>
      </w:r>
      <w:r>
        <w:lastRenderedPageBreak/>
        <w:t>(</w:t>
      </w:r>
      <w:proofErr w:type="spellStart"/>
      <w:r>
        <w:t>i</w:t>
      </w:r>
      <w:proofErr w:type="spellEnd"/>
      <w:r>
        <w:t>) allocates RPOs to non-overlapping tenor buckets;</w:t>
      </w:r>
      <w:r>
        <w:br/>
        <w:t>(ii) assesses each endpoint bucket against the applicable RFET count criteria [insert criteria per applicable rule — e.g. at least 24 RPOs over the preceding 12 months with no 90-day period containing fewer than four, or at least 100 RPOs over the preceding 12 months, counting no more than one RPO per day];</w:t>
      </w:r>
      <w:r>
        <w:br/>
        <w:t xml:space="preserve">(iii) classifies F(T1,T2) as modellable if both endpoint buckets satisfy the criteria, and as a non-modellable risk factor (NMRF) otherwise, in which case it is </w:t>
      </w:r>
      <w:proofErr w:type="spellStart"/>
      <w:r>
        <w:t>capitalised</w:t>
      </w:r>
      <w:proofErr w:type="spellEnd"/>
      <w:r>
        <w:t xml:space="preserve"> under the stress-scenario risk measure.</w:t>
      </w:r>
      <w:r>
        <w:br/>
        <w:t>The assessment is performed at the required frequency and the results are documented.</w:t>
      </w:r>
    </w:p>
    <w:p w14:paraId="1A7401BC" w14:textId="77777777" w:rsidR="00D521CD" w:rsidRDefault="00D521CD" w:rsidP="00D521CD">
      <w:pPr>
        <w:pStyle w:val="NormalWeb"/>
      </w:pPr>
      <w:r>
        <w:rPr>
          <w:rStyle w:val="Strong"/>
          <w:rFonts w:eastAsiaTheme="majorEastAsia"/>
        </w:rPr>
        <w:t>6. Design rationale</w:t>
      </w:r>
      <w:r>
        <w:br/>
        <w:t xml:space="preserve">A forward is defined by its two endpoints, and it is at those endpoints that its value can be extracted from observed prices. Assessing </w:t>
      </w:r>
      <w:proofErr w:type="spellStart"/>
      <w:r>
        <w:t>modellability</w:t>
      </w:r>
      <w:proofErr w:type="spellEnd"/>
      <w:r>
        <w:t xml:space="preserve"> on the endpoint buckets therefore aligns the classification of each forward with the liquidity of the maturities that actually define it. It also ensures that the observability of an unrelated maturity elsewhere on the curve does not, by itself, cause a forward whose own endpoints are well observed to be classified as non-modellable — an outcome that would overstate the non-modellable risk-factor population without economic justification.</w:t>
      </w:r>
    </w:p>
    <w:p w14:paraId="6F734756" w14:textId="77777777" w:rsidR="00D521CD" w:rsidRDefault="00D521CD" w:rsidP="00D521CD">
      <w:pPr>
        <w:pStyle w:val="NormalWeb"/>
      </w:pPr>
      <w:r>
        <w:rPr>
          <w:rStyle w:val="Strong"/>
          <w:rFonts w:eastAsiaTheme="majorEastAsia"/>
        </w:rPr>
        <w:t>7. Stability of the approach</w:t>
      </w:r>
      <w:r>
        <w:br/>
        <w:t>The mapping is determined solely by the endpoints of each forward risk factor and the observation counts in the corresponding endpoint buckets. It is a function of the definition of the risk factor and the availability of representative observations, and does not depend on the numerical methods used to construct or interpolate the curve. The RFET classification is accordingly stable across curve-construction methodologies and reproducible across assessment periods.</w:t>
      </w:r>
    </w:p>
    <w:p w14:paraId="3484975E" w14:textId="77777777" w:rsidR="00D521CD" w:rsidRDefault="00D521CD" w:rsidP="00D521CD">
      <w:pPr>
        <w:pStyle w:val="NormalWeb"/>
      </w:pPr>
      <w:r>
        <w:rPr>
          <w:rStyle w:val="Strong"/>
          <w:rFonts w:eastAsiaTheme="majorEastAsia"/>
        </w:rPr>
        <w:t>8. Governance</w:t>
      </w:r>
      <w:r>
        <w:br/>
        <w:t xml:space="preserve">Tenor bucket definitions are non-overlapping and documented. The mapping, the bucket allocations, and the resulting </w:t>
      </w:r>
      <w:proofErr w:type="spellStart"/>
      <w:r>
        <w:t>modellability</w:t>
      </w:r>
      <w:proofErr w:type="spellEnd"/>
      <w:r>
        <w:t xml:space="preserve"> classifications are subject to independent review by Model Risk Management and are retained for supervisory inspection.</w:t>
      </w:r>
    </w:p>
    <w:p w14:paraId="00F41C6B" w14:textId="77777777" w:rsidR="00D521CD" w:rsidRDefault="00D521CD">
      <w:pPr>
        <w:rPr>
          <w:color w:val="EE0000"/>
        </w:rPr>
      </w:pPr>
    </w:p>
    <w:p w14:paraId="0EB8F68F" w14:textId="77777777" w:rsidR="00BC5570" w:rsidRDefault="00BC5570">
      <w:pPr>
        <w:rPr>
          <w:color w:val="EE0000"/>
        </w:rPr>
      </w:pPr>
    </w:p>
    <w:p w14:paraId="0B704F62" w14:textId="77777777" w:rsidR="00BC5570" w:rsidRPr="00BC5570" w:rsidRDefault="00BC5570" w:rsidP="00BC557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5570">
        <w:rPr>
          <w:rFonts w:ascii="Times New Roman" w:eastAsia="Times New Roman" w:hAnsi="Times New Roman" w:cs="Times New Roman"/>
          <w:b/>
          <w:bCs/>
          <w:kern w:val="0"/>
          <w:sz w:val="27"/>
          <w:szCs w:val="27"/>
          <w14:ligatures w14:val="none"/>
        </w:rPr>
        <w:t>Forward-Rate RPO Mapping Methodology</w:t>
      </w:r>
    </w:p>
    <w:p w14:paraId="6EA21F4A" w14:textId="77777777" w:rsidR="00BC5570" w:rsidRPr="00BC5570" w:rsidRDefault="00BC5570" w:rsidP="00BC5570">
      <w:pPr>
        <w:spacing w:before="100" w:beforeAutospacing="1" w:after="100" w:afterAutospacing="1" w:line="240" w:lineRule="auto"/>
        <w:rPr>
          <w:rFonts w:ascii="Times New Roman" w:eastAsia="Times New Roman" w:hAnsi="Times New Roman" w:cs="Times New Roman"/>
          <w:kern w:val="0"/>
          <w14:ligatures w14:val="none"/>
        </w:rPr>
      </w:pPr>
      <w:r w:rsidRPr="00BC5570">
        <w:rPr>
          <w:rFonts w:ascii="Times New Roman" w:eastAsia="Times New Roman" w:hAnsi="Times New Roman" w:cs="Times New Roman"/>
          <w:kern w:val="0"/>
          <w14:ligatures w14:val="none"/>
        </w:rPr>
        <w:t>For forward-rate risk factors F(T</w:t>
      </w:r>
      <w:proofErr w:type="gramStart"/>
      <w:r w:rsidRPr="00BC5570">
        <w:rPr>
          <w:rFonts w:ascii="Times New Roman" w:eastAsia="Times New Roman" w:hAnsi="Times New Roman" w:cs="Times New Roman"/>
          <w:kern w:val="0"/>
          <w14:ligatures w14:val="none"/>
        </w:rPr>
        <w:t>1,T2)F</w:t>
      </w:r>
      <w:proofErr w:type="gramEnd"/>
      <w:r w:rsidRPr="00BC5570">
        <w:rPr>
          <w:rFonts w:ascii="Times New Roman" w:eastAsia="Times New Roman" w:hAnsi="Times New Roman" w:cs="Times New Roman"/>
          <w:kern w:val="0"/>
          <w14:ligatures w14:val="none"/>
        </w:rPr>
        <w:t>(T_</w:t>
      </w:r>
      <w:proofErr w:type="gramStart"/>
      <w:r w:rsidRPr="00BC5570">
        <w:rPr>
          <w:rFonts w:ascii="Times New Roman" w:eastAsia="Times New Roman" w:hAnsi="Times New Roman" w:cs="Times New Roman"/>
          <w:kern w:val="0"/>
          <w14:ligatures w14:val="none"/>
        </w:rPr>
        <w:t>1,T</w:t>
      </w:r>
      <w:proofErr w:type="gramEnd"/>
      <w:r w:rsidRPr="00BC5570">
        <w:rPr>
          <w:rFonts w:ascii="Times New Roman" w:eastAsia="Times New Roman" w:hAnsi="Times New Roman" w:cs="Times New Roman"/>
          <w:kern w:val="0"/>
          <w14:ligatures w14:val="none"/>
        </w:rPr>
        <w:t>_2), the Bank maps Real Price Observations (RPOs) to the market instruments that are at, near, or otherwise representative of the forward interval endpoints T1T_1 and T2T_2.</w:t>
      </w:r>
    </w:p>
    <w:p w14:paraId="5C975F07" w14:textId="77777777" w:rsidR="00BC5570" w:rsidRPr="00BC5570" w:rsidRDefault="00BC5570" w:rsidP="00BC5570">
      <w:pPr>
        <w:spacing w:before="100" w:beforeAutospacing="1" w:after="100" w:afterAutospacing="1" w:line="240" w:lineRule="auto"/>
        <w:rPr>
          <w:rFonts w:ascii="Times New Roman" w:eastAsia="Times New Roman" w:hAnsi="Times New Roman" w:cs="Times New Roman"/>
          <w:kern w:val="0"/>
          <w14:ligatures w14:val="none"/>
        </w:rPr>
      </w:pPr>
      <w:r w:rsidRPr="00BC5570">
        <w:rPr>
          <w:rFonts w:ascii="Times New Roman" w:eastAsia="Times New Roman" w:hAnsi="Times New Roman" w:cs="Times New Roman"/>
          <w:kern w:val="0"/>
          <w14:ligatures w14:val="none"/>
        </w:rPr>
        <w:t>This approach reflects the economic definition of a forward rate. A forward rate over [T</w:t>
      </w:r>
      <w:proofErr w:type="gramStart"/>
      <w:r w:rsidRPr="00BC5570">
        <w:rPr>
          <w:rFonts w:ascii="Times New Roman" w:eastAsia="Times New Roman" w:hAnsi="Times New Roman" w:cs="Times New Roman"/>
          <w:kern w:val="0"/>
          <w14:ligatures w14:val="none"/>
        </w:rPr>
        <w:t>1,T2][</w:t>
      </w:r>
      <w:proofErr w:type="gramEnd"/>
      <w:r w:rsidRPr="00BC5570">
        <w:rPr>
          <w:rFonts w:ascii="Times New Roman" w:eastAsia="Times New Roman" w:hAnsi="Times New Roman" w:cs="Times New Roman"/>
          <w:kern w:val="0"/>
          <w14:ligatures w14:val="none"/>
        </w:rPr>
        <w:t>T_</w:t>
      </w:r>
      <w:proofErr w:type="gramStart"/>
      <w:r w:rsidRPr="00BC5570">
        <w:rPr>
          <w:rFonts w:ascii="Times New Roman" w:eastAsia="Times New Roman" w:hAnsi="Times New Roman" w:cs="Times New Roman"/>
          <w:kern w:val="0"/>
          <w14:ligatures w14:val="none"/>
        </w:rPr>
        <w:t>1,T</w:t>
      </w:r>
      <w:proofErr w:type="gramEnd"/>
      <w:r w:rsidRPr="00BC5570">
        <w:rPr>
          <w:rFonts w:ascii="Times New Roman" w:eastAsia="Times New Roman" w:hAnsi="Times New Roman" w:cs="Times New Roman"/>
          <w:kern w:val="0"/>
          <w14:ligatures w14:val="none"/>
        </w:rPr>
        <w:t xml:space="preserve">_2] represents the rate implied by the term structure between the start and end of the forward interval. Its value is established from the curve at the two relevant maturity points, </w:t>
      </w:r>
      <w:r w:rsidRPr="00BC5570">
        <w:rPr>
          <w:rFonts w:ascii="Times New Roman" w:eastAsia="Times New Roman" w:hAnsi="Times New Roman" w:cs="Times New Roman"/>
          <w:kern w:val="0"/>
          <w14:ligatures w14:val="none"/>
        </w:rPr>
        <w:lastRenderedPageBreak/>
        <w:t>T1T_1 and T2T_2, rather than from the independent observability of every maturity between today and T2T_2.</w:t>
      </w:r>
    </w:p>
    <w:p w14:paraId="36258734" w14:textId="77777777" w:rsidR="00BC5570" w:rsidRPr="00BC5570" w:rsidRDefault="00BC5570" w:rsidP="00BC5570">
      <w:pPr>
        <w:spacing w:before="100" w:beforeAutospacing="1" w:after="100" w:afterAutospacing="1" w:line="240" w:lineRule="auto"/>
        <w:rPr>
          <w:rFonts w:ascii="Times New Roman" w:eastAsia="Times New Roman" w:hAnsi="Times New Roman" w:cs="Times New Roman"/>
          <w:kern w:val="0"/>
          <w14:ligatures w14:val="none"/>
        </w:rPr>
      </w:pPr>
      <w:r w:rsidRPr="00BC5570">
        <w:rPr>
          <w:rFonts w:ascii="Times New Roman" w:eastAsia="Times New Roman" w:hAnsi="Times New Roman" w:cs="Times New Roman"/>
          <w:kern w:val="0"/>
          <w14:ligatures w14:val="none"/>
        </w:rPr>
        <w:t>Accordingly, the Bank considers RPOs associated with the T1T_1 and T2T_2 maturity regions to provide the most direct market evidence for the forward-rate risk factor. Earlier-dated or intermediate instruments may be used in a particular curve-construction process, but that construction dependency does not, by itself, make every prior instrument representative of every later forward segment for RFET purposes.</w:t>
      </w:r>
    </w:p>
    <w:p w14:paraId="58C0B2CD" w14:textId="77777777" w:rsidR="00BC5570" w:rsidRPr="00BC5570" w:rsidRDefault="00BC5570" w:rsidP="00BC5570">
      <w:pPr>
        <w:spacing w:before="100" w:beforeAutospacing="1" w:after="100" w:afterAutospacing="1" w:line="240" w:lineRule="auto"/>
        <w:rPr>
          <w:rFonts w:ascii="Times New Roman" w:eastAsia="Times New Roman" w:hAnsi="Times New Roman" w:cs="Times New Roman"/>
          <w:kern w:val="0"/>
          <w14:ligatures w14:val="none"/>
        </w:rPr>
      </w:pPr>
      <w:r w:rsidRPr="00BC5570">
        <w:rPr>
          <w:rFonts w:ascii="Times New Roman" w:eastAsia="Times New Roman" w:hAnsi="Times New Roman" w:cs="Times New Roman"/>
          <w:kern w:val="0"/>
          <w14:ligatures w14:val="none"/>
        </w:rPr>
        <w:t>The Bank therefore applies an endpoint-based representativeness methodology. Under this methodology, an RPO is mapped to a forward-rate risk factor when the observed instrument provides market information for one of the forward interval’s relevant maturity endpoints, or for the approved maturity region around those endpoints.</w:t>
      </w:r>
    </w:p>
    <w:p w14:paraId="7398454D" w14:textId="77777777" w:rsidR="00BC5570" w:rsidRPr="00BC5570" w:rsidRDefault="00BC5570" w:rsidP="00BC5570">
      <w:pPr>
        <w:spacing w:before="100" w:beforeAutospacing="1" w:after="100" w:afterAutospacing="1" w:line="240" w:lineRule="auto"/>
        <w:rPr>
          <w:rFonts w:ascii="Times New Roman" w:eastAsia="Times New Roman" w:hAnsi="Times New Roman" w:cs="Times New Roman"/>
          <w:kern w:val="0"/>
          <w14:ligatures w14:val="none"/>
        </w:rPr>
      </w:pPr>
      <w:r w:rsidRPr="00BC5570">
        <w:rPr>
          <w:rFonts w:ascii="Times New Roman" w:eastAsia="Times New Roman" w:hAnsi="Times New Roman" w:cs="Times New Roman"/>
          <w:kern w:val="0"/>
          <w14:ligatures w14:val="none"/>
        </w:rPr>
        <w:t>The Bank does not apply a cumulative 0→T20 \</w:t>
      </w:r>
      <w:proofErr w:type="spellStart"/>
      <w:r w:rsidRPr="00BC5570">
        <w:rPr>
          <w:rFonts w:ascii="Times New Roman" w:eastAsia="Times New Roman" w:hAnsi="Times New Roman" w:cs="Times New Roman"/>
          <w:kern w:val="0"/>
          <w14:ligatures w14:val="none"/>
        </w:rPr>
        <w:t>rightarrow</w:t>
      </w:r>
      <w:proofErr w:type="spellEnd"/>
      <w:r w:rsidRPr="00BC5570">
        <w:rPr>
          <w:rFonts w:ascii="Times New Roman" w:eastAsia="Times New Roman" w:hAnsi="Times New Roman" w:cs="Times New Roman"/>
          <w:kern w:val="0"/>
          <w14:ligatures w14:val="none"/>
        </w:rPr>
        <w:t xml:space="preserve"> T_2 mapping approach. Requiring RPOs across the full curve from today to T2T_2 would treat forward-rate </w:t>
      </w:r>
      <w:proofErr w:type="spellStart"/>
      <w:r w:rsidRPr="00BC5570">
        <w:rPr>
          <w:rFonts w:ascii="Times New Roman" w:eastAsia="Times New Roman" w:hAnsi="Times New Roman" w:cs="Times New Roman"/>
          <w:kern w:val="0"/>
          <w14:ligatures w14:val="none"/>
        </w:rPr>
        <w:t>modellability</w:t>
      </w:r>
      <w:proofErr w:type="spellEnd"/>
      <w:r w:rsidRPr="00BC5570">
        <w:rPr>
          <w:rFonts w:ascii="Times New Roman" w:eastAsia="Times New Roman" w:hAnsi="Times New Roman" w:cs="Times New Roman"/>
          <w:kern w:val="0"/>
          <w14:ligatures w14:val="none"/>
        </w:rPr>
        <w:t xml:space="preserve"> as dependent on the complete input set of a specific curve-construction methodology. That would be inconsistent with the Bank’s view that RFET is an observability and representativeness test for the risk factor, not a test of every input used by a particular bootstrap, interpolation, or curve-construction implementation.</w:t>
      </w:r>
    </w:p>
    <w:p w14:paraId="33A78B37" w14:textId="77777777" w:rsidR="00BC5570" w:rsidRPr="00BC5570" w:rsidRDefault="00BC5570" w:rsidP="00BC5570">
      <w:pPr>
        <w:spacing w:before="100" w:beforeAutospacing="1" w:after="100" w:afterAutospacing="1" w:line="240" w:lineRule="auto"/>
        <w:rPr>
          <w:rFonts w:ascii="Times New Roman" w:eastAsia="Times New Roman" w:hAnsi="Times New Roman" w:cs="Times New Roman"/>
          <w:kern w:val="0"/>
          <w14:ligatures w14:val="none"/>
        </w:rPr>
      </w:pPr>
      <w:r w:rsidRPr="00BC5570">
        <w:rPr>
          <w:rFonts w:ascii="Times New Roman" w:eastAsia="Times New Roman" w:hAnsi="Times New Roman" w:cs="Times New Roman"/>
          <w:kern w:val="0"/>
          <w14:ligatures w14:val="none"/>
        </w:rPr>
        <w:t>Sensitivity or Jacobian analysis may be used as supporting evidence to validate that the endpoint-based mapping remains economically reasonable. However, the Jacobian does not define the RPO mapping rule and does not determine which RPOs are counted. This avoids making RFET outcomes dependent on implementation choices such as bootstrap methodology, interpolation approach, or changes in the selected calibration instrument set.</w:t>
      </w:r>
    </w:p>
    <w:p w14:paraId="3D949AB7" w14:textId="77777777" w:rsidR="00BC5570" w:rsidRPr="00BC5570" w:rsidRDefault="00BC5570" w:rsidP="00BC5570">
      <w:pPr>
        <w:spacing w:before="100" w:beforeAutospacing="1" w:after="100" w:afterAutospacing="1" w:line="240" w:lineRule="auto"/>
        <w:rPr>
          <w:rFonts w:ascii="Times New Roman" w:eastAsia="Times New Roman" w:hAnsi="Times New Roman" w:cs="Times New Roman"/>
          <w:kern w:val="0"/>
          <w14:ligatures w14:val="none"/>
        </w:rPr>
      </w:pPr>
      <w:r w:rsidRPr="00BC5570">
        <w:rPr>
          <w:rFonts w:ascii="Times New Roman" w:eastAsia="Times New Roman" w:hAnsi="Times New Roman" w:cs="Times New Roman"/>
          <w:kern w:val="0"/>
          <w14:ligatures w14:val="none"/>
        </w:rPr>
        <w:t>The Bank will maintain documented, version-controlled mapping rules that identify the approved maturity regions and eligible instrument types for each forward-rate risk factor. These rules will be applied consistently for RFET counting, monitored over time, and reviewed when there are material changes to the curve definition, risk-factor representation, market convention, or RPO source population.</w:t>
      </w:r>
    </w:p>
    <w:p w14:paraId="2DBC2739" w14:textId="77777777" w:rsidR="00BC5570" w:rsidRPr="00356288" w:rsidRDefault="00BC5570">
      <w:pPr>
        <w:rPr>
          <w:color w:val="EE0000"/>
        </w:rPr>
      </w:pPr>
    </w:p>
    <w:sectPr w:rsidR="00BC5570" w:rsidRPr="00356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288"/>
    <w:rsid w:val="002D3308"/>
    <w:rsid w:val="00356288"/>
    <w:rsid w:val="006853E4"/>
    <w:rsid w:val="00BC5570"/>
    <w:rsid w:val="00D52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62624"/>
  <w15:chartTrackingRefBased/>
  <w15:docId w15:val="{6AA02378-6E80-44F1-AC26-60EB447F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6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6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288"/>
    <w:rPr>
      <w:rFonts w:eastAsiaTheme="majorEastAsia" w:cstheme="majorBidi"/>
      <w:color w:val="272727" w:themeColor="text1" w:themeTint="D8"/>
    </w:rPr>
  </w:style>
  <w:style w:type="paragraph" w:styleId="Title">
    <w:name w:val="Title"/>
    <w:basedOn w:val="Normal"/>
    <w:next w:val="Normal"/>
    <w:link w:val="TitleChar"/>
    <w:uiPriority w:val="10"/>
    <w:qFormat/>
    <w:rsid w:val="00356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288"/>
    <w:pPr>
      <w:spacing w:before="160"/>
      <w:jc w:val="center"/>
    </w:pPr>
    <w:rPr>
      <w:i/>
      <w:iCs/>
      <w:color w:val="404040" w:themeColor="text1" w:themeTint="BF"/>
    </w:rPr>
  </w:style>
  <w:style w:type="character" w:customStyle="1" w:styleId="QuoteChar">
    <w:name w:val="Quote Char"/>
    <w:basedOn w:val="DefaultParagraphFont"/>
    <w:link w:val="Quote"/>
    <w:uiPriority w:val="29"/>
    <w:rsid w:val="00356288"/>
    <w:rPr>
      <w:i/>
      <w:iCs/>
      <w:color w:val="404040" w:themeColor="text1" w:themeTint="BF"/>
    </w:rPr>
  </w:style>
  <w:style w:type="paragraph" w:styleId="ListParagraph">
    <w:name w:val="List Paragraph"/>
    <w:basedOn w:val="Normal"/>
    <w:uiPriority w:val="34"/>
    <w:qFormat/>
    <w:rsid w:val="00356288"/>
    <w:pPr>
      <w:ind w:left="720"/>
      <w:contextualSpacing/>
    </w:pPr>
  </w:style>
  <w:style w:type="character" w:styleId="IntenseEmphasis">
    <w:name w:val="Intense Emphasis"/>
    <w:basedOn w:val="DefaultParagraphFont"/>
    <w:uiPriority w:val="21"/>
    <w:qFormat/>
    <w:rsid w:val="00356288"/>
    <w:rPr>
      <w:i/>
      <w:iCs/>
      <w:color w:val="2F5496" w:themeColor="accent1" w:themeShade="BF"/>
    </w:rPr>
  </w:style>
  <w:style w:type="paragraph" w:styleId="IntenseQuote">
    <w:name w:val="Intense Quote"/>
    <w:basedOn w:val="Normal"/>
    <w:next w:val="Normal"/>
    <w:link w:val="IntenseQuoteChar"/>
    <w:uiPriority w:val="30"/>
    <w:qFormat/>
    <w:rsid w:val="00356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288"/>
    <w:rPr>
      <w:i/>
      <w:iCs/>
      <w:color w:val="2F5496" w:themeColor="accent1" w:themeShade="BF"/>
    </w:rPr>
  </w:style>
  <w:style w:type="character" w:styleId="IntenseReference">
    <w:name w:val="Intense Reference"/>
    <w:basedOn w:val="DefaultParagraphFont"/>
    <w:uiPriority w:val="32"/>
    <w:qFormat/>
    <w:rsid w:val="00356288"/>
    <w:rPr>
      <w:b/>
      <w:bCs/>
      <w:smallCaps/>
      <w:color w:val="2F5496" w:themeColor="accent1" w:themeShade="BF"/>
      <w:spacing w:val="5"/>
    </w:rPr>
  </w:style>
  <w:style w:type="paragraph" w:customStyle="1" w:styleId="isselectedend">
    <w:name w:val="isselectedend"/>
    <w:basedOn w:val="Normal"/>
    <w:rsid w:val="003562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6288"/>
    <w:rPr>
      <w:b/>
      <w:bCs/>
    </w:rPr>
  </w:style>
  <w:style w:type="character" w:customStyle="1" w:styleId="text-token-text-primary">
    <w:name w:val="text-token-text-primary"/>
    <w:basedOn w:val="DefaultParagraphFont"/>
    <w:rsid w:val="00356288"/>
  </w:style>
  <w:style w:type="paragraph" w:styleId="NormalWeb">
    <w:name w:val="Normal (Web)"/>
    <w:basedOn w:val="Normal"/>
    <w:uiPriority w:val="99"/>
    <w:semiHidden/>
    <w:unhideWhenUsed/>
    <w:rsid w:val="003562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3562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
    <w:name w:val="katex"/>
    <w:basedOn w:val="DefaultParagraphFont"/>
    <w:rsid w:val="003562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1913</Words>
  <Characters>10907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2</cp:revision>
  <dcterms:created xsi:type="dcterms:W3CDTF">2026-09-08T14:39:00Z</dcterms:created>
  <dcterms:modified xsi:type="dcterms:W3CDTF">2026-09-08T15:06:00Z</dcterms:modified>
</cp:coreProperties>
</file>