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E6E40" w14:textId="77777777" w:rsidR="00424760" w:rsidRDefault="00424760" w:rsidP="00424760">
      <w:pPr>
        <w:pStyle w:val="font-claude-response-body"/>
      </w:pPr>
      <w:r>
        <w:t>Both mechanisms solve the same problem — you don't have 2007-onward history for every modellable risk factor — but they solve it at different levels, and proxies are not free.</w:t>
      </w:r>
    </w:p>
    <w:p w14:paraId="39486C09" w14:textId="77777777" w:rsidR="00424760" w:rsidRDefault="00424760" w:rsidP="00424760">
      <w:pPr>
        <w:pStyle w:val="font-claude-response-body"/>
      </w:pPr>
      <w:r>
        <w:rPr>
          <w:rStyle w:val="Strong"/>
          <w:rFonts w:eastAsiaTheme="majorEastAsia"/>
        </w:rPr>
        <w:t>What a proxy actually costs you</w:t>
      </w:r>
    </w:p>
    <w:p w14:paraId="2A65667E" w14:textId="77777777" w:rsidR="00424760" w:rsidRDefault="00424760" w:rsidP="00424760">
      <w:pPr>
        <w:pStyle w:val="font-claude-response-body"/>
      </w:pPr>
      <w:r>
        <w:t>The permission in §214(b)(2)(vi) comes with conditions, and those conditions are where the economics live:</w:t>
      </w:r>
    </w:p>
    <w:p w14:paraId="0F19C5B8" w14:textId="77777777" w:rsidR="00424760" w:rsidRDefault="00424760" w:rsidP="00424760">
      <w:pPr>
        <w:pStyle w:val="font-claude-response-body"/>
        <w:numPr>
          <w:ilvl w:val="0"/>
          <w:numId w:val="1"/>
        </w:numPr>
      </w:pPr>
      <w:r>
        <w:rPr>
          <w:rStyle w:val="Strong"/>
          <w:rFonts w:eastAsiaTheme="majorEastAsia"/>
        </w:rPr>
        <w:t>Per-factor evidentiary burden.</w:t>
      </w:r>
      <w:r>
        <w:t xml:space="preserve"> Every proxy needs a documented methodology, a demonstration that it's appropriate for </w:t>
      </w:r>
      <w:r>
        <w:rPr>
          <w:rStyle w:val="Emphasis"/>
          <w:rFonts w:eastAsiaTheme="majorEastAsia"/>
        </w:rPr>
        <w:t>that</w:t>
      </w:r>
      <w:r>
        <w:t xml:space="preserve"> risk factor, validation, and ongoing monitoring. One proxy is easy. Two thousand proxies is a </w:t>
      </w:r>
      <w:proofErr w:type="spellStart"/>
      <w:r>
        <w:t>programme</w:t>
      </w:r>
      <w:proofErr w:type="spellEnd"/>
      <w:r>
        <w:t>.</w:t>
      </w:r>
    </w:p>
    <w:p w14:paraId="6AC2E46E" w14:textId="77777777" w:rsidR="00424760" w:rsidRDefault="00424760" w:rsidP="00424760">
      <w:pPr>
        <w:pStyle w:val="font-claude-response-body"/>
        <w:numPr>
          <w:ilvl w:val="0"/>
          <w:numId w:val="1"/>
        </w:numPr>
      </w:pPr>
      <w:r>
        <w:rPr>
          <w:rStyle w:val="Strong"/>
          <w:rFonts w:eastAsiaTheme="majorEastAsia"/>
        </w:rPr>
        <w:t>Basis has to be captured.</w:t>
      </w:r>
      <w:r>
        <w:t xml:space="preserve"> Where the proxy and the actual risk factor differ, the residual basis has to go somewhere — and in practice it lands as an NMRF feeding SES unless you have RPOs to support it. </w:t>
      </w:r>
      <w:proofErr w:type="gramStart"/>
      <w:r>
        <w:t>So</w:t>
      </w:r>
      <w:proofErr w:type="gramEnd"/>
      <w:r>
        <w:t xml:space="preserve"> proxying a gap can </w:t>
      </w:r>
      <w:r>
        <w:rPr>
          <w:rStyle w:val="Emphasis"/>
          <w:rFonts w:eastAsiaTheme="majorEastAsia"/>
        </w:rPr>
        <w:t>create</w:t>
      </w:r>
      <w:r>
        <w:t xml:space="preserve"> capital rather than avoid it, at SES's punitive ρ=0.6 aggregation with no meaningful diversification.</w:t>
      </w:r>
    </w:p>
    <w:p w14:paraId="51C23FD4" w14:textId="77777777" w:rsidR="00424760" w:rsidRDefault="00424760" w:rsidP="00424760">
      <w:pPr>
        <w:pStyle w:val="font-claude-response-body"/>
        <w:numPr>
          <w:ilvl w:val="0"/>
          <w:numId w:val="1"/>
        </w:numPr>
      </w:pPr>
      <w:r>
        <w:rPr>
          <w:rStyle w:val="Strong"/>
          <w:rFonts w:eastAsiaTheme="majorEastAsia"/>
        </w:rPr>
        <w:t>The appropriateness claim has to hold in the stress window specifically.</w:t>
      </w:r>
      <w:r>
        <w:t xml:space="preserve"> This is the hard one. You're asserting that a proxy relationship — typically calibrated on recent, observable co-movement — survives 2008 conditions. That's precisely the regime where proxy relationships break. Validation and your supervisor will both push on it, and you have little evidence to offer because the missing data </w:t>
      </w:r>
      <w:r>
        <w:rPr>
          <w:rStyle w:val="Emphasis"/>
          <w:rFonts w:eastAsiaTheme="majorEastAsia"/>
        </w:rPr>
        <w:t>is</w:t>
      </w:r>
      <w:r>
        <w:t xml:space="preserve"> the problem.</w:t>
      </w:r>
    </w:p>
    <w:p w14:paraId="24178920" w14:textId="77777777" w:rsidR="00424760" w:rsidRDefault="00424760" w:rsidP="00424760">
      <w:pPr>
        <w:pStyle w:val="font-claude-response-body"/>
      </w:pPr>
      <w:r>
        <w:rPr>
          <w:rStyle w:val="Strong"/>
          <w:rFonts w:eastAsiaTheme="majorEastAsia"/>
        </w:rPr>
        <w:t>What the reduced set buys you structurally</w:t>
      </w:r>
    </w:p>
    <w:p w14:paraId="35F453B0" w14:textId="77777777" w:rsidR="00424760" w:rsidRDefault="00424760" w:rsidP="00424760">
      <w:pPr>
        <w:pStyle w:val="font-claude-response-body"/>
        <w:numPr>
          <w:ilvl w:val="0"/>
          <w:numId w:val="2"/>
        </w:numPr>
      </w:pPr>
      <w:r>
        <w:rPr>
          <w:rStyle w:val="Strong"/>
          <w:rFonts w:eastAsiaTheme="majorEastAsia"/>
        </w:rPr>
        <w:t>One statistical test instead of N justifications.</w:t>
      </w:r>
      <w:r>
        <w:t xml:space="preserve"> You evidence that the reduced set explains ≥75% of the variation of the full ES. That's a portfolio-level calibration you maintain, not thousands of factor-level appropriateness arguments.</w:t>
      </w:r>
    </w:p>
    <w:p w14:paraId="793B5037" w14:textId="77777777" w:rsidR="00424760" w:rsidRDefault="00424760" w:rsidP="00424760">
      <w:pPr>
        <w:pStyle w:val="font-claude-response-body"/>
        <w:numPr>
          <w:ilvl w:val="0"/>
          <w:numId w:val="2"/>
        </w:numPr>
      </w:pPr>
      <w:r>
        <w:rPr>
          <w:rStyle w:val="Strong"/>
          <w:rFonts w:eastAsiaTheme="majorEastAsia"/>
        </w:rPr>
        <w:t>New risk factors are free.</w:t>
      </w:r>
      <w:r>
        <w:t xml:space="preserve"> Add a product, add a curve node, add a vol pillar — under the reduced set it enters ES_</w:t>
      </w:r>
      <w:proofErr w:type="gramStart"/>
      <w:r>
        <w:t>F,C</w:t>
      </w:r>
      <w:proofErr w:type="gramEnd"/>
      <w:r>
        <w:t xml:space="preserve"> only. No stress-period history required, ever. Under the direct approach, every new modellable factor immediately needs 19 years of history or a new defensible proxy before it can enter capital. This is the single biggest operational argument, and it compounds.</w:t>
      </w:r>
    </w:p>
    <w:p w14:paraId="7381408B" w14:textId="77777777" w:rsidR="00424760" w:rsidRDefault="00424760" w:rsidP="00424760">
      <w:pPr>
        <w:pStyle w:val="font-claude-response-body"/>
        <w:numPr>
          <w:ilvl w:val="0"/>
          <w:numId w:val="2"/>
        </w:numPr>
      </w:pPr>
      <w:r>
        <w:rPr>
          <w:rStyle w:val="Strong"/>
          <w:rFonts w:eastAsiaTheme="majorEastAsia"/>
        </w:rPr>
        <w:t>Stress period search is tractable and stable.</w:t>
      </w:r>
      <w:r>
        <w:t xml:space="preserve"> Identifying the max-ES 12-month window over a 2007-onward lookback across the full factor set is both computationally brutal and unstable — the window can migrate every time the factor universe changes. The reduced set gives you a stable, defensible window.</w:t>
      </w:r>
    </w:p>
    <w:p w14:paraId="40960A5C" w14:textId="77777777" w:rsidR="00424760" w:rsidRDefault="00424760" w:rsidP="00424760">
      <w:pPr>
        <w:pStyle w:val="font-claude-response-body"/>
        <w:numPr>
          <w:ilvl w:val="0"/>
          <w:numId w:val="2"/>
        </w:numPr>
      </w:pPr>
      <w:r>
        <w:rPr>
          <w:rStyle w:val="Strong"/>
          <w:rFonts w:eastAsiaTheme="majorEastAsia"/>
        </w:rPr>
        <w:t>The approximation is transparent and conservative.</w:t>
      </w:r>
      <w:r>
        <w:t xml:space="preserve"> The ratio is floored at 1, so the correction can only scale you up. Compare that to a proxy, where the approximation error is buried inside a specific factor's stress-period series and is essentially </w:t>
      </w:r>
      <w:proofErr w:type="spellStart"/>
      <w:r>
        <w:t>unauditable</w:t>
      </w:r>
      <w:proofErr w:type="spellEnd"/>
      <w:r>
        <w:t>.</w:t>
      </w:r>
    </w:p>
    <w:p w14:paraId="57183A9F" w14:textId="77777777" w:rsidR="00424760" w:rsidRDefault="00424760" w:rsidP="00424760">
      <w:pPr>
        <w:pStyle w:val="font-claude-response-body"/>
      </w:pPr>
      <w:r>
        <w:rPr>
          <w:rStyle w:val="Strong"/>
          <w:rFonts w:eastAsiaTheme="majorEastAsia"/>
        </w:rPr>
        <w:t>Where direct genuinely wins</w:t>
      </w:r>
    </w:p>
    <w:p w14:paraId="578DBF60" w14:textId="77777777" w:rsidR="00424760" w:rsidRDefault="00424760" w:rsidP="00424760">
      <w:pPr>
        <w:pStyle w:val="font-claude-response-body"/>
        <w:numPr>
          <w:ilvl w:val="0"/>
          <w:numId w:val="3"/>
        </w:numPr>
      </w:pPr>
      <w:r>
        <w:t>No 75% test to evidence and re-evidence as the portfolio drifts.</w:t>
      </w:r>
    </w:p>
    <w:p w14:paraId="73F3A901" w14:textId="77777777" w:rsidR="00424760" w:rsidRDefault="00424760" w:rsidP="00424760">
      <w:pPr>
        <w:pStyle w:val="font-claude-response-body"/>
        <w:numPr>
          <w:ilvl w:val="0"/>
          <w:numId w:val="3"/>
        </w:numPr>
      </w:pPr>
      <w:r>
        <w:t>No ratio instability — a quiet current period compresses ES_</w:t>
      </w:r>
      <w:proofErr w:type="gramStart"/>
      <w:r>
        <w:t>F,C</w:t>
      </w:r>
      <w:proofErr w:type="gramEnd"/>
      <w:r>
        <w:t>/ES_</w:t>
      </w:r>
      <w:proofErr w:type="gramStart"/>
      <w:r>
        <w:t>R,C</w:t>
      </w:r>
      <w:proofErr w:type="gramEnd"/>
      <w:r>
        <w:t xml:space="preserve"> in ways that have nothing to do with your actual stress exposure, and you're stuck with a uniform portfolio-level uplift applied to positions that may not deserve it.</w:t>
      </w:r>
    </w:p>
    <w:p w14:paraId="65A7711D" w14:textId="77777777" w:rsidR="00424760" w:rsidRDefault="00424760" w:rsidP="00424760">
      <w:pPr>
        <w:pStyle w:val="font-claude-response-body"/>
        <w:numPr>
          <w:ilvl w:val="0"/>
          <w:numId w:val="3"/>
        </w:numPr>
      </w:pPr>
      <w:r>
        <w:lastRenderedPageBreak/>
        <w:t>Conceptually cleaner and closer to what the model is supposed to represent, which matters for model approval narrative.</w:t>
      </w:r>
    </w:p>
    <w:p w14:paraId="63AB5926" w14:textId="77777777" w:rsidR="00424760" w:rsidRDefault="00424760" w:rsidP="00424760">
      <w:pPr>
        <w:pStyle w:val="font-claude-response-body"/>
        <w:numPr>
          <w:ilvl w:val="0"/>
          <w:numId w:val="3"/>
        </w:numPr>
      </w:pPr>
      <w:r>
        <w:t>Fewer moving parts: one ES computation on the stress window rather than three.</w:t>
      </w:r>
    </w:p>
    <w:p w14:paraId="3F87EB0F" w14:textId="77777777" w:rsidR="00424760" w:rsidRDefault="00424760" w:rsidP="00424760">
      <w:pPr>
        <w:pStyle w:val="font-claude-response-body"/>
      </w:pPr>
      <w:r>
        <w:rPr>
          <w:rStyle w:val="Strong"/>
          <w:rFonts w:eastAsiaTheme="majorEastAsia"/>
        </w:rPr>
        <w:t>The framing that matters</w:t>
      </w:r>
    </w:p>
    <w:p w14:paraId="5C5179A3" w14:textId="77777777" w:rsidR="00424760" w:rsidRDefault="00424760" w:rsidP="00424760">
      <w:pPr>
        <w:pStyle w:val="font-claude-response-body"/>
      </w:pPr>
      <w:r>
        <w:t xml:space="preserve">They're not substitutes at the same level. The real question is: </w:t>
      </w:r>
      <w:r>
        <w:rPr>
          <w:rStyle w:val="Emphasis"/>
          <w:rFonts w:eastAsiaTheme="majorEastAsia"/>
        </w:rPr>
        <w:t>how many proxies do you have to defend, and in what regime?</w:t>
      </w:r>
      <w:r>
        <w:t xml:space="preserve"> Direct is viable when your stress-period data gaps are few, concentrated, and the proxy relationships are economically obvious. Reduced set is the answer when the gaps are structural and open-ended.</w:t>
      </w:r>
    </w:p>
    <w:p w14:paraId="3CB43E3A" w14:textId="77777777" w:rsidR="00424760" w:rsidRDefault="00424760" w:rsidP="00424760">
      <w:pPr>
        <w:pStyle w:val="font-claude-response-body"/>
      </w:pPr>
      <w:r>
        <w:t>Your IR vol situation is a clean illustration — reconstructing a stress-period P&amp;L vector from unavailable SABR calibration inputs is exactly the case where a proxy needs an appropriateness argument you can't currently evidence, and where the reduced set sidesteps the question entirely by never asking the vol surface what it did in 2008.</w:t>
      </w:r>
    </w:p>
    <w:p w14:paraId="69C41301" w14:textId="77777777" w:rsidR="00424760" w:rsidRDefault="00424760" w:rsidP="00424760">
      <w:pPr>
        <w:pStyle w:val="font-claude-response-body"/>
      </w:pPr>
      <w:r>
        <w:t>Worth noting the two aren't mutually exclusive: reduced-set banks still proxy within the reduced set. The reduced set just makes that population small enough to defend.</w:t>
      </w:r>
    </w:p>
    <w:p w14:paraId="673B5A01" w14:textId="77777777" w:rsidR="00424760" w:rsidRDefault="00424760"/>
    <w:sectPr w:rsidR="004247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3138B"/>
    <w:multiLevelType w:val="multilevel"/>
    <w:tmpl w:val="D556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3E61A6"/>
    <w:multiLevelType w:val="multilevel"/>
    <w:tmpl w:val="B3BA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A6241E"/>
    <w:multiLevelType w:val="multilevel"/>
    <w:tmpl w:val="9C50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261274">
    <w:abstractNumId w:val="0"/>
  </w:num>
  <w:num w:numId="2" w16cid:durableId="1157188979">
    <w:abstractNumId w:val="1"/>
  </w:num>
  <w:num w:numId="3" w16cid:durableId="587075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760"/>
    <w:rsid w:val="00424760"/>
    <w:rsid w:val="00460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D410D"/>
  <w15:chartTrackingRefBased/>
  <w15:docId w15:val="{B9006CFB-FB8E-4A1F-8314-0F8462844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7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47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7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47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47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4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7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7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7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47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47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4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760"/>
    <w:rPr>
      <w:rFonts w:eastAsiaTheme="majorEastAsia" w:cstheme="majorBidi"/>
      <w:color w:val="272727" w:themeColor="text1" w:themeTint="D8"/>
    </w:rPr>
  </w:style>
  <w:style w:type="paragraph" w:styleId="Title">
    <w:name w:val="Title"/>
    <w:basedOn w:val="Normal"/>
    <w:next w:val="Normal"/>
    <w:link w:val="TitleChar"/>
    <w:uiPriority w:val="10"/>
    <w:qFormat/>
    <w:rsid w:val="00424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760"/>
    <w:pPr>
      <w:spacing w:before="160"/>
      <w:jc w:val="center"/>
    </w:pPr>
    <w:rPr>
      <w:i/>
      <w:iCs/>
      <w:color w:val="404040" w:themeColor="text1" w:themeTint="BF"/>
    </w:rPr>
  </w:style>
  <w:style w:type="character" w:customStyle="1" w:styleId="QuoteChar">
    <w:name w:val="Quote Char"/>
    <w:basedOn w:val="DefaultParagraphFont"/>
    <w:link w:val="Quote"/>
    <w:uiPriority w:val="29"/>
    <w:rsid w:val="00424760"/>
    <w:rPr>
      <w:i/>
      <w:iCs/>
      <w:color w:val="404040" w:themeColor="text1" w:themeTint="BF"/>
    </w:rPr>
  </w:style>
  <w:style w:type="paragraph" w:styleId="ListParagraph">
    <w:name w:val="List Paragraph"/>
    <w:basedOn w:val="Normal"/>
    <w:uiPriority w:val="34"/>
    <w:qFormat/>
    <w:rsid w:val="00424760"/>
    <w:pPr>
      <w:ind w:left="720"/>
      <w:contextualSpacing/>
    </w:pPr>
  </w:style>
  <w:style w:type="character" w:styleId="IntenseEmphasis">
    <w:name w:val="Intense Emphasis"/>
    <w:basedOn w:val="DefaultParagraphFont"/>
    <w:uiPriority w:val="21"/>
    <w:qFormat/>
    <w:rsid w:val="00424760"/>
    <w:rPr>
      <w:i/>
      <w:iCs/>
      <w:color w:val="2F5496" w:themeColor="accent1" w:themeShade="BF"/>
    </w:rPr>
  </w:style>
  <w:style w:type="paragraph" w:styleId="IntenseQuote">
    <w:name w:val="Intense Quote"/>
    <w:basedOn w:val="Normal"/>
    <w:next w:val="Normal"/>
    <w:link w:val="IntenseQuoteChar"/>
    <w:uiPriority w:val="30"/>
    <w:qFormat/>
    <w:rsid w:val="004247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760"/>
    <w:rPr>
      <w:i/>
      <w:iCs/>
      <w:color w:val="2F5496" w:themeColor="accent1" w:themeShade="BF"/>
    </w:rPr>
  </w:style>
  <w:style w:type="character" w:styleId="IntenseReference">
    <w:name w:val="Intense Reference"/>
    <w:basedOn w:val="DefaultParagraphFont"/>
    <w:uiPriority w:val="32"/>
    <w:qFormat/>
    <w:rsid w:val="00424760"/>
    <w:rPr>
      <w:b/>
      <w:bCs/>
      <w:smallCaps/>
      <w:color w:val="2F5496" w:themeColor="accent1" w:themeShade="BF"/>
      <w:spacing w:val="5"/>
    </w:rPr>
  </w:style>
  <w:style w:type="paragraph" w:customStyle="1" w:styleId="font-claude-response-body">
    <w:name w:val="font-claude-response-body"/>
    <w:basedOn w:val="Normal"/>
    <w:rsid w:val="004247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24760"/>
    <w:rPr>
      <w:b/>
      <w:bCs/>
    </w:rPr>
  </w:style>
  <w:style w:type="character" w:styleId="Emphasis">
    <w:name w:val="Emphasis"/>
    <w:basedOn w:val="DefaultParagraphFont"/>
    <w:uiPriority w:val="20"/>
    <w:qFormat/>
    <w:rsid w:val="004247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583</Words>
  <Characters>3327</Characters>
  <Application>Microsoft Office Word</Application>
  <DocSecurity>0</DocSecurity>
  <Lines>27</Lines>
  <Paragraphs>7</Paragraphs>
  <ScaleCrop>false</ScaleCrop>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CHOUKRI ABDELILAH</dc:creator>
  <cp:keywords/>
  <dc:description/>
  <cp:lastModifiedBy>CHOUKRI ABDELILAH</cp:lastModifiedBy>
  <cp:revision>1</cp:revision>
  <dcterms:created xsi:type="dcterms:W3CDTF">2026-08-13T11:57:00Z</dcterms:created>
  <dcterms:modified xsi:type="dcterms:W3CDTF">2026-08-13T11:58:00Z</dcterms:modified>
</cp:coreProperties>
</file>