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2F4B9" w14:textId="3FE013F5" w:rsid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IMA IMCC/ES – Increase in Full-Reval </w:t>
      </w:r>
      <w:proofErr w:type="spellStart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Vectors</w:t>
      </w:r>
    </w:p>
    <w:p w14:paraId="1EA1A026" w14:textId="084623AA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Quick heads-up for the IMA build: </w:t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IMCC/ES will significantly increase the number of full-</w:t>
      </w:r>
      <w:proofErr w:type="spellStart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reval</w:t>
      </w:r>
      <w:proofErr w:type="spellEnd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PnL</w:t>
      </w:r>
      <w:proofErr w:type="spellEnd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vectors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, so we should factor this into the Tech design and capacity planning early.</w:t>
      </w:r>
    </w:p>
    <w:p w14:paraId="398983DC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For Macro, the extreme case is </w:t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up to 60 </w:t>
      </w:r>
      <w:proofErr w:type="spellStart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PnL</w:t>
      </w:r>
      <w:proofErr w:type="spellEnd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vectors per trade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B944F48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Risk Views × 5 Liquidity Horizons × 3 ES Sets = 60</w:t>
      </w:r>
    </w:p>
    <w:p w14:paraId="33B27E7C" w14:textId="77777777" w:rsidR="007C7CB4" w:rsidRPr="007C7CB4" w:rsidRDefault="007C7CB4" w:rsidP="007C7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Views (4):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Cross / All Risk Classes + IR + FX + Credit</w:t>
      </w:r>
    </w:p>
    <w:p w14:paraId="61AB224D" w14:textId="77777777" w:rsidR="007C7CB4" w:rsidRPr="007C7CB4" w:rsidRDefault="007C7CB4" w:rsidP="007C7C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Treasury, Agency/FNMA and government curves are treated under Credit</w:t>
      </w:r>
    </w:p>
    <w:p w14:paraId="7D4FDA35" w14:textId="77777777" w:rsidR="007C7CB4" w:rsidRPr="007C7CB4" w:rsidRDefault="007C7CB4" w:rsidP="007C7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Liquidity Horizons (5):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10D / 20D / 40D / 60D / 120D</w:t>
      </w:r>
    </w:p>
    <w:p w14:paraId="7B731537" w14:textId="77777777" w:rsidR="007C7CB4" w:rsidRPr="007C7CB4" w:rsidRDefault="007C7CB4" w:rsidP="007C7C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Instrument-level maturity can shorten the assigned LH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through the short-maturity override</w:t>
      </w:r>
    </w:p>
    <w:p w14:paraId="0901E9D4" w14:textId="77777777" w:rsidR="007C7CB4" w:rsidRPr="007C7CB4" w:rsidRDefault="007C7CB4" w:rsidP="007C7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 Sets (3):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Current Full + Current Reduced + Stress Reduced</w:t>
      </w:r>
    </w:p>
    <w:p w14:paraId="29740D75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Unlike </w:t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, which is calculated at the NMRF/risk-factor level, </w:t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IMCC/ES requires trade/portfolio full revaluation across these different configurations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35181E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For example, consider a derivative that depends on seven MDOs:</w:t>
      </w:r>
    </w:p>
    <w:p w14:paraId="63EB3633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SOFR, ESTRN, Treasury, </w:t>
      </w:r>
      <w:proofErr w:type="spellStart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Agency_FNMA</w:t>
      </w:r>
      <w:proofErr w:type="spellEnd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Eur_Govt</w:t>
      </w:r>
      <w:proofErr w:type="spellEnd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EURUSD and </w:t>
      </w:r>
      <w:proofErr w:type="spellStart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SABR_Swaption</w:t>
      </w:r>
      <w:proofErr w:type="spellEnd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518B33AB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For each required </w:t>
      </w:r>
      <w:proofErr w:type="spellStart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vector, we keep the </w:t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NPV and base MDOs unchanged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, then generate a stressed NPV by shocking only the applicable MDOs based on:</w:t>
      </w:r>
    </w:p>
    <w:p w14:paraId="644A0B99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View → Liquidity Horizon → Full/Reduced Set</w:t>
      </w:r>
    </w:p>
    <w:p w14:paraId="07ABDCAE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At the </w:t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instrument level, the effective LH can be shorter than the risk factor's assigned LH based on the instrument's remaining maturity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. As a result, the actual number of required LH vectors can decrease for shorter-dated trades.</w:t>
      </w:r>
    </w:p>
    <w:p w14:paraId="673DA87F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375ED33" w14:textId="77777777" w:rsidR="007C7CB4" w:rsidRPr="007C7CB4" w:rsidRDefault="007C7CB4" w:rsidP="007C7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 / 60D / Current Full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→ shock applicable MDOs across </w:t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risk classes with LH ≥ 60D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; everything else remains at base.</w:t>
      </w:r>
    </w:p>
    <w:p w14:paraId="1E1987EF" w14:textId="77777777" w:rsidR="007C7CB4" w:rsidRPr="007C7CB4" w:rsidRDefault="007C7CB4" w:rsidP="007C7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 / 60D / Current Full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→ shock applicable </w:t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SOFR / ESTRN / SABR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factors with </w:t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LH ≥ 60D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; everything else remains at base.</w:t>
      </w:r>
    </w:p>
    <w:p w14:paraId="54809D76" w14:textId="77777777" w:rsidR="007C7CB4" w:rsidRPr="007C7CB4" w:rsidRDefault="007C7CB4" w:rsidP="007C7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/ 40D / Current Full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→ shock applicable </w:t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Treasury / </w:t>
      </w:r>
      <w:proofErr w:type="spellStart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Agency_FNMA</w:t>
      </w:r>
      <w:proofErr w:type="spellEnd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proofErr w:type="spellStart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Eur_Govt</w:t>
      </w:r>
      <w:proofErr w:type="spellEnd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factors with </w:t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LH ≥ 40D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; everything else remains at base.</w:t>
      </w:r>
    </w:p>
    <w:p w14:paraId="65259633" w14:textId="77777777" w:rsidR="007C7CB4" w:rsidRPr="007C7CB4" w:rsidRDefault="007C7CB4" w:rsidP="007C7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FX / 10D / Current Full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→ shock applicable </w:t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EURUSD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factors; everything else remains at base.</w:t>
      </w:r>
    </w:p>
    <w:p w14:paraId="6E0016AA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For each configuration:</w:t>
      </w:r>
    </w:p>
    <w:p w14:paraId="1472666E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PnL</w:t>
      </w:r>
      <w:proofErr w:type="spellEnd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Stressed NPV − Base NPV</w:t>
      </w:r>
    </w:p>
    <w:p w14:paraId="03D04861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same process is repeated across the applicable liquidity horizons and three ES sets, ultimately feeding the </w:t>
      </w:r>
      <w:proofErr w:type="spellStart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LH_PnL_Summary</w:t>
      </w:r>
      <w:proofErr w:type="spellEnd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Adjusted ES → IMCC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calculation.</w:t>
      </w:r>
    </w:p>
    <w:p w14:paraId="6875707A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The key Tech implication is that this is no longer a single full-</w:t>
      </w:r>
      <w:proofErr w:type="spellStart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>reval</w:t>
      </w:r>
      <w:proofErr w:type="spellEnd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vector. </w:t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same trade may require many </w:t>
      </w:r>
      <w:proofErr w:type="spellStart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PnL</w:t>
      </w:r>
      <w:proofErr w:type="spellEnd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vectors differentiated by Risk View × LH × ES Set, with the instrument maturity determining which LH vectors are actually required.</w:t>
      </w:r>
    </w:p>
    <w:p w14:paraId="05DD6D71" w14:textId="77777777" w:rsidR="007C7CB4" w:rsidRDefault="007C7CB4"/>
    <w:p w14:paraId="183CB9E3" w14:textId="77777777" w:rsidR="007C7CB4" w:rsidRDefault="007C7CB4"/>
    <w:p w14:paraId="16F624C3" w14:textId="77777777" w:rsidR="007C7CB4" w:rsidRPr="007C7CB4" w:rsidRDefault="007C7CB4" w:rsidP="007C7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Talking Points — What </w:t>
      </w:r>
      <w:proofErr w:type="spellStart"/>
      <w:r w:rsidRPr="007C7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PnL</w:t>
      </w:r>
      <w:proofErr w:type="spellEnd"/>
      <w:r w:rsidRPr="007C7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Vectors Vasara Needs for IMA ES</w:t>
      </w:r>
    </w:p>
    <w:p w14:paraId="7BED0FE6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Let me walk through one trade, because this makes the Tech requirement much easier to understand.</w:t>
      </w:r>
    </w:p>
    <w:p w14:paraId="5087DA32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Today, think about Vasara doing a full revaluation for a trade.</w:t>
      </w:r>
    </w:p>
    <w:p w14:paraId="06CAA2E2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We have </w:t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Trade 123456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, a derivative that depends on seven MDOs:</w:t>
      </w:r>
    </w:p>
    <w:p w14:paraId="26D76F1A" w14:textId="77777777" w:rsidR="007C7CB4" w:rsidRPr="007C7CB4" w:rsidRDefault="007C7CB4" w:rsidP="007C7C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SOFR</w:t>
      </w:r>
    </w:p>
    <w:p w14:paraId="31CDF85C" w14:textId="77777777" w:rsidR="007C7CB4" w:rsidRPr="007C7CB4" w:rsidRDefault="007C7CB4" w:rsidP="007C7C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ESTRN</w:t>
      </w:r>
    </w:p>
    <w:p w14:paraId="45BDB8F0" w14:textId="77777777" w:rsidR="007C7CB4" w:rsidRPr="007C7CB4" w:rsidRDefault="007C7CB4" w:rsidP="007C7C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SABR Swaption</w:t>
      </w:r>
    </w:p>
    <w:p w14:paraId="1A6CAF06" w14:textId="77777777" w:rsidR="007C7CB4" w:rsidRPr="007C7CB4" w:rsidRDefault="007C7CB4" w:rsidP="007C7C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Treasury</w:t>
      </w:r>
    </w:p>
    <w:p w14:paraId="568338DE" w14:textId="77777777" w:rsidR="007C7CB4" w:rsidRPr="007C7CB4" w:rsidRDefault="007C7CB4" w:rsidP="007C7C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>Agency_FNMA</w:t>
      </w:r>
      <w:proofErr w:type="spellEnd"/>
    </w:p>
    <w:p w14:paraId="032985A1" w14:textId="77777777" w:rsidR="007C7CB4" w:rsidRPr="007C7CB4" w:rsidRDefault="007C7CB4" w:rsidP="007C7C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>Eur_Govt</w:t>
      </w:r>
      <w:proofErr w:type="spellEnd"/>
    </w:p>
    <w:p w14:paraId="6AF810F5" w14:textId="77777777" w:rsidR="007C7CB4" w:rsidRPr="007C7CB4" w:rsidRDefault="007C7CB4" w:rsidP="007C7C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EURUSD</w:t>
      </w:r>
    </w:p>
    <w:p w14:paraId="49AF6BEF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Those MDOs span three risk classes:</w:t>
      </w:r>
    </w:p>
    <w:p w14:paraId="69CC9400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IR: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SOFR, ESTRN, SABR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Credit: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Treasury, </w:t>
      </w:r>
      <w:proofErr w:type="spellStart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>Agency_FNMA</w:t>
      </w:r>
      <w:proofErr w:type="spellEnd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>Eur_Govt</w:t>
      </w:r>
      <w:proofErr w:type="spellEnd"/>
      <w:r w:rsidRPr="007C7C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FX: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EURUSD</w:t>
      </w:r>
    </w:p>
    <w:p w14:paraId="6856BE95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We start with one Base NPV.</w:t>
      </w:r>
    </w:p>
    <w:p w14:paraId="62DA3A43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For every historical scenario:</w:t>
      </w:r>
    </w:p>
    <w:p w14:paraId="68F9F7E6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PnL</w:t>
      </w:r>
      <w:proofErr w:type="spellEnd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Stressed NPV − Base NPV</w:t>
      </w:r>
    </w:p>
    <w:p w14:paraId="58A83168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The important change for IMA is that we cannot produce just </w:t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one shocked NPV / one </w:t>
      </w:r>
      <w:proofErr w:type="spellStart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PnL</w:t>
      </w:r>
      <w:proofErr w:type="spellEnd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vector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7C507A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We need to reprice the same trade multiple ways.</w:t>
      </w:r>
    </w:p>
    <w:p w14:paraId="07282F2A" w14:textId="77777777" w:rsidR="007C7CB4" w:rsidRPr="007C7CB4" w:rsidRDefault="007C7CB4" w:rsidP="007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384DC25">
          <v:rect id="_x0000_i1025" style="width:0;height:1.5pt" o:hralign="center" o:hrstd="t" o:hr="t" fillcolor="#a0a0a0" stroked="f"/>
        </w:pict>
      </w:r>
    </w:p>
    <w:p w14:paraId="2BA625BE" w14:textId="77777777" w:rsidR="007C7CB4" w:rsidRPr="007C7CB4" w:rsidRDefault="007C7CB4" w:rsidP="007C7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First dimension: Risk Class</w:t>
      </w:r>
    </w:p>
    <w:p w14:paraId="2002A871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Start with the </w:t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calculation.</w:t>
      </w:r>
    </w:p>
    <w:p w14:paraId="2104B64B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For Cross, we shock all applicable risk classes together.</w:t>
      </w:r>
    </w:p>
    <w:p w14:paraId="4CD21A69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Then we need isolated calculations:</w:t>
      </w:r>
    </w:p>
    <w:p w14:paraId="334C0CB5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 only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→ shock SOFR, ESTRN and SABR; Credit and FX stay at base.</w:t>
      </w:r>
    </w:p>
    <w:p w14:paraId="07903813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only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→ shock Treasury, </w:t>
      </w:r>
      <w:proofErr w:type="spellStart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>Agency_FNMA</w:t>
      </w:r>
      <w:proofErr w:type="spellEnd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>Eur_Govt</w:t>
      </w:r>
      <w:proofErr w:type="spellEnd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>; IR and FX stay at base.</w:t>
      </w:r>
    </w:p>
    <w:p w14:paraId="42C3ECD8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FX only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→ shock EURUSD; everything else stays at base.</w:t>
      </w:r>
    </w:p>
    <w:p w14:paraId="7162004B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So already, the same trade needs different </w:t>
      </w:r>
      <w:proofErr w:type="spellStart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vectors depending on the </w:t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View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B237AE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 + IR + Credit + FX</w:t>
      </w:r>
    </w:p>
    <w:p w14:paraId="6B0EE08E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The key point is that we are not repricing one risk factor at a time. We are creating full-revaluation </w:t>
      </w:r>
      <w:proofErr w:type="spellStart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>PnLs</w:t>
      </w:r>
      <w:proofErr w:type="spellEnd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for the applicable </w:t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of MDOs belonging to each risk-class view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C99954" w14:textId="77777777" w:rsidR="007C7CB4" w:rsidRPr="007C7CB4" w:rsidRDefault="007C7CB4" w:rsidP="007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pict w14:anchorId="4AFE7A57">
          <v:rect id="_x0000_i1026" style="width:0;height:1.5pt" o:hralign="center" o:hrstd="t" o:hr="t" fillcolor="#a0a0a0" stroked="f"/>
        </w:pict>
      </w:r>
    </w:p>
    <w:p w14:paraId="350BFB2A" w14:textId="77777777" w:rsidR="007C7CB4" w:rsidRPr="007C7CB4" w:rsidRDefault="007C7CB4" w:rsidP="007C7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Second dimension: Liquidity Horizon</w:t>
      </w:r>
    </w:p>
    <w:p w14:paraId="27AF5752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Now add liquidity horizon.</w:t>
      </w:r>
    </w:p>
    <w:p w14:paraId="0CB5AF32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Our example has different LH assignments:</w:t>
      </w:r>
    </w:p>
    <w:p w14:paraId="310ED2CD" w14:textId="77777777" w:rsidR="007C7CB4" w:rsidRPr="007C7CB4" w:rsidRDefault="007C7CB4" w:rsidP="007C7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SOFR → 10D</w:t>
      </w:r>
    </w:p>
    <w:p w14:paraId="20B9E0CF" w14:textId="77777777" w:rsidR="007C7CB4" w:rsidRPr="007C7CB4" w:rsidRDefault="007C7CB4" w:rsidP="007C7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ESTRN → 10D</w:t>
      </w:r>
    </w:p>
    <w:p w14:paraId="15F232FA" w14:textId="77777777" w:rsidR="007C7CB4" w:rsidRPr="007C7CB4" w:rsidRDefault="007C7CB4" w:rsidP="007C7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EURUSD → 10D</w:t>
      </w:r>
    </w:p>
    <w:p w14:paraId="079A6921" w14:textId="77777777" w:rsidR="007C7CB4" w:rsidRPr="007C7CB4" w:rsidRDefault="007C7CB4" w:rsidP="007C7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Treasury → 20D</w:t>
      </w:r>
    </w:p>
    <w:p w14:paraId="49BFD554" w14:textId="77777777" w:rsidR="007C7CB4" w:rsidRPr="007C7CB4" w:rsidRDefault="007C7CB4" w:rsidP="007C7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>Eur_Govt</w:t>
      </w:r>
      <w:proofErr w:type="spellEnd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→ 20D</w:t>
      </w:r>
    </w:p>
    <w:p w14:paraId="5F67D626" w14:textId="77777777" w:rsidR="007C7CB4" w:rsidRPr="007C7CB4" w:rsidRDefault="007C7CB4" w:rsidP="007C7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>Agency_FNMA</w:t>
      </w:r>
      <w:proofErr w:type="spellEnd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→ 40D</w:t>
      </w:r>
    </w:p>
    <w:p w14:paraId="2D8F5974" w14:textId="77777777" w:rsidR="007C7CB4" w:rsidRPr="007C7CB4" w:rsidRDefault="007C7CB4" w:rsidP="007C7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SABR Swaption → 60D</w:t>
      </w:r>
    </w:p>
    <w:p w14:paraId="6F679553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At each LH, Vasara changes </w:t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MDOs receive the historical shock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D8775A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Take the Cross calculation.</w:t>
      </w:r>
    </w:p>
    <w:p w14:paraId="5267AE9B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 LH10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, all seven MDOs are eligible, so we shock everything.</w:t>
      </w:r>
    </w:p>
    <w:p w14:paraId="6EA25456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At </w:t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 LH20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, SOFR, ESTRN and EURUSD drop out. They remain at base. We shock Treasury, </w:t>
      </w:r>
      <w:proofErr w:type="spellStart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>Eur_Govt</w:t>
      </w:r>
      <w:proofErr w:type="spellEnd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>Agency_FNMA</w:t>
      </w:r>
      <w:proofErr w:type="spellEnd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and SABR.</w:t>
      </w:r>
    </w:p>
    <w:p w14:paraId="648A53E3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 LH40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, only </w:t>
      </w:r>
      <w:proofErr w:type="spellStart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>Agency_FNMA</w:t>
      </w:r>
      <w:proofErr w:type="spellEnd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and SABR remain shocked.</w:t>
      </w:r>
    </w:p>
    <w:p w14:paraId="29C113FE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 LH60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, only SABR remains shocked.</w:t>
      </w:r>
    </w:p>
    <w:p w14:paraId="6F28B9A8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for exactly the same trade and exactly the same historical scenario, Vasara may need four different Cross NPVs:</w:t>
      </w:r>
    </w:p>
    <w:p w14:paraId="08675FB1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 LH10 → all applicable MDOs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 LH20 → Credit 20D/40D + SABR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Cross LH40 → </w:t>
      </w:r>
      <w:proofErr w:type="spellStart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Agency_FNMA</w:t>
      </w:r>
      <w:proofErr w:type="spellEnd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SABR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 LH60 → SABR only</w:t>
      </w:r>
    </w:p>
    <w:p w14:paraId="00CEADF2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Everything that is not part of that particular LH configuration stays at its </w:t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market-data value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F3C993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That is what generates the LH </w:t>
      </w:r>
      <w:proofErr w:type="spellStart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vectors that ultimately feed Adjusted ES.</w:t>
      </w:r>
    </w:p>
    <w:p w14:paraId="0A88C9C6" w14:textId="77777777" w:rsidR="007C7CB4" w:rsidRPr="007C7CB4" w:rsidRDefault="007C7CB4" w:rsidP="007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pict w14:anchorId="1FA84209">
          <v:rect id="_x0000_i1027" style="width:0;height:1.5pt" o:hralign="center" o:hrstd="t" o:hr="t" fillcolor="#a0a0a0" stroked="f"/>
        </w:pict>
      </w:r>
    </w:p>
    <w:p w14:paraId="3CB166D7" w14:textId="77777777" w:rsidR="007C7CB4" w:rsidRPr="007C7CB4" w:rsidRDefault="007C7CB4" w:rsidP="007C7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 can see this directly in Scenario 1</w:t>
      </w:r>
    </w:p>
    <w:p w14:paraId="7CC3273F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For Scenario 1 in the workbook, we get different Cross </w:t>
      </w:r>
      <w:proofErr w:type="spellStart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>PnLs</w:t>
      </w:r>
      <w:proofErr w:type="spellEnd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depending on the LH:</w:t>
      </w:r>
    </w:p>
    <w:p w14:paraId="65C59C03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 LH10: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-$36.9K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 LH20: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-$5.5K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 LH40: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+$13.8K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 LH60: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+$32.4K</w:t>
      </w:r>
    </w:p>
    <w:p w14:paraId="68FF104E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trade and same historical scenario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216BC9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The only thing we changed was </w:t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MDOs were shocked versus held at base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30C3A1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That is the important Vasara requirement.</w:t>
      </w:r>
    </w:p>
    <w:p w14:paraId="6ECDC782" w14:textId="77777777" w:rsidR="007C7CB4" w:rsidRPr="007C7CB4" w:rsidRDefault="007C7CB4" w:rsidP="007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pict w14:anchorId="14FA125D">
          <v:rect id="_x0000_i1028" style="width:0;height:1.5pt" o:hralign="center" o:hrstd="t" o:hr="t" fillcolor="#a0a0a0" stroked="f"/>
        </w:pict>
      </w:r>
    </w:p>
    <w:p w14:paraId="676BC621" w14:textId="77777777" w:rsidR="007C7CB4" w:rsidRPr="007C7CB4" w:rsidRDefault="007C7CB4" w:rsidP="007C7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Third dimension: Full Set versus Reduced Set</w:t>
      </w:r>
    </w:p>
    <w:p w14:paraId="2C9CBC3A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Then IMA adds another dimension.</w:t>
      </w:r>
    </w:p>
    <w:p w14:paraId="13EDC78D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We need the calculation under:</w:t>
      </w:r>
    </w:p>
    <w:p w14:paraId="240D34D5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Current Full Set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Reduced Set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Stress Reduced Set</w:t>
      </w:r>
    </w:p>
    <w:p w14:paraId="29B0833B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take something like:</w:t>
      </w:r>
    </w:p>
    <w:p w14:paraId="73A73C95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 / LH40</w:t>
      </w:r>
    </w:p>
    <w:p w14:paraId="71CC0B46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Vasara doesn't produce this just once.</w:t>
      </w:r>
    </w:p>
    <w:p w14:paraId="3BD9730B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It needs:</w:t>
      </w:r>
    </w:p>
    <w:p w14:paraId="201F3528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Full / Cross / LH40</w:t>
      </w:r>
    </w:p>
    <w:p w14:paraId="6846EFEF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046F8AB4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Reduced / Cross / LH40</w:t>
      </w:r>
    </w:p>
    <w:p w14:paraId="4628DDED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and:</w:t>
      </w:r>
    </w:p>
    <w:p w14:paraId="28D6B254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Stress Reduced / Cross / LH40</w:t>
      </w:r>
    </w:p>
    <w:p w14:paraId="4F840334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The Full Set can use all eligible modellable factors.</w:t>
      </w:r>
    </w:p>
    <w:p w14:paraId="167BAEB2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For the Reduced Set, only the MDOs selected for the reduced set receive shocks; anything excluded from the reduced set remains at base.</w:t>
      </w:r>
    </w:p>
    <w:p w14:paraId="21E99D1C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The Stress Reduced calculation uses that same reduced-set structure, but with the stress-period shocks.</w:t>
      </w:r>
    </w:p>
    <w:p w14:paraId="1A3D08BA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So conceptually our </w:t>
      </w:r>
      <w:proofErr w:type="spellStart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>-vector key starts looking like:</w:t>
      </w:r>
    </w:p>
    <w:p w14:paraId="32847AF9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Trade × Scenario × Risk View × Liquidity Horizon × ES Set</w:t>
      </w:r>
    </w:p>
    <w:p w14:paraId="1F6E6D2A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That is the major increase in dimensionality.</w:t>
      </w:r>
    </w:p>
    <w:p w14:paraId="6A5E9B67" w14:textId="77777777" w:rsidR="007C7CB4" w:rsidRPr="007C7CB4" w:rsidRDefault="007C7CB4" w:rsidP="007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pict w14:anchorId="589F2B03">
          <v:rect id="_x0000_i1029" style="width:0;height:1.5pt" o:hralign="center" o:hrstd="t" o:hr="t" fillcolor="#a0a0a0" stroked="f"/>
        </w:pict>
      </w:r>
    </w:p>
    <w:p w14:paraId="4A7CB2A2" w14:textId="77777777" w:rsidR="007C7CB4" w:rsidRPr="007C7CB4" w:rsidRDefault="007C7CB4" w:rsidP="007C7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Then there is one more instrument-level nuance: maturity</w:t>
      </w:r>
    </w:p>
    <w:p w14:paraId="2CDDC021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Liquidity horizon isn't necessarily determined only by the risk factor.</w:t>
      </w:r>
    </w:p>
    <w:p w14:paraId="52206C35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remaining maturity of the instrument can shorten the effective LH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E40C43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The workbook illustrates this using SABR, which normally has a 60-day LH.</w:t>
      </w:r>
    </w:p>
    <w:p w14:paraId="07B74C79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the option has only 8 days remaining, its effective horizon becomes 10D.</w:t>
      </w:r>
    </w:p>
    <w:p w14:paraId="1DFD612D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If it has 17 days remaining, it becomes 20D.</w:t>
      </w:r>
    </w:p>
    <w:p w14:paraId="1C85BD10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If it has 30 days remaining, it becomes 40D.</w:t>
      </w:r>
    </w:p>
    <w:p w14:paraId="51B2CDC0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If it has 50 days remaining, it remains 60D.</w:t>
      </w:r>
    </w:p>
    <w:p w14:paraId="538C2EC4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the LH configuration Vasara needs can also depend on the </w:t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instrument itself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, not just the MDO.</w:t>
      </w:r>
    </w:p>
    <w:p w14:paraId="43EB043F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For example, for the 8-day trade, SABR no longer contributes to LH20, LH40 or LH60.</w:t>
      </w:r>
    </w:p>
    <w:p w14:paraId="2A0EC612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Those vectors can therefore disappear or become zero where no applicable MDO remains to be shocked.</w:t>
      </w:r>
    </w:p>
    <w:p w14:paraId="13D16A92" w14:textId="77777777" w:rsidR="007C7CB4" w:rsidRPr="007C7CB4" w:rsidRDefault="007C7CB4" w:rsidP="007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pict w14:anchorId="6D41F8E4">
          <v:rect id="_x0000_i1030" style="width:0;height:1.5pt" o:hralign="center" o:hrstd="t" o:hr="t" fillcolor="#a0a0a0" stroked="f"/>
        </w:pict>
      </w:r>
    </w:p>
    <w:p w14:paraId="63F22832" w14:textId="77777777" w:rsidR="007C7CB4" w:rsidRPr="007C7CB4" w:rsidRDefault="007C7CB4" w:rsidP="007C7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 want Tech to take away</w:t>
      </w:r>
    </w:p>
    <w:p w14:paraId="5BFCF91A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The important point isn't that Vasara suddenly needs 60 different pricing models.</w:t>
      </w:r>
    </w:p>
    <w:p w14:paraId="12ED4CB7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pricing model is the same.</w:t>
      </w:r>
    </w:p>
    <w:p w14:paraId="34A4BC08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What changes is the </w:t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market-data configuration supplied to that pricing model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CE578C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For every required vector:</w:t>
      </w:r>
    </w:p>
    <w:p w14:paraId="3D016B21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Start from the same Base NPV.</w:t>
      </w:r>
    </w:p>
    <w:p w14:paraId="7A779F96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Determine the Risk View: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Cross, IR, Credit or FX.</w:t>
      </w:r>
    </w:p>
    <w:p w14:paraId="5A322C16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Determine the applicable Liquidity Horizon: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10D, 20D, 40D, 60D or potentially 120D.</w:t>
      </w:r>
    </w:p>
    <w:p w14:paraId="51D225BA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Apply the instrument-maturity override where required.</w:t>
      </w:r>
    </w:p>
    <w:p w14:paraId="05FE3354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Determine the ES Set:</w:t>
      </w: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Current Full, Current Reduced or Stress Reduced.</w:t>
      </w:r>
    </w:p>
    <w:p w14:paraId="0403E06E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Shock only the MDOs that belong to that configuration.</w:t>
      </w:r>
    </w:p>
    <w:p w14:paraId="23C5974E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Keep every other MDO at Base.</w:t>
      </w:r>
    </w:p>
    <w:p w14:paraId="6E4A5FC7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Full reprice the trade.</w:t>
      </w:r>
    </w:p>
    <w:p w14:paraId="36494A55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34B56E3B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PnL</w:t>
      </w:r>
      <w:proofErr w:type="spellEnd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Stressed NPV − Base NPV</w:t>
      </w:r>
    </w:p>
    <w:p w14:paraId="2F528E9F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And those </w:t>
      </w:r>
      <w:proofErr w:type="spellStart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vectors ultimately populate the equivalent of our:</w:t>
      </w:r>
    </w:p>
    <w:p w14:paraId="0D3644A7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LH_PnL_Summary</w:t>
      </w:r>
      <w:proofErr w:type="spellEnd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Adjusted ES → IMCC</w:t>
      </w:r>
    </w:p>
    <w:p w14:paraId="75F47ACE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 from a Vasara design perspective, I would think about this less as:</w:t>
      </w:r>
    </w:p>
    <w:p w14:paraId="3F181D42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"How do we calculate ES?"</w:t>
      </w:r>
    </w:p>
    <w:p w14:paraId="1B274086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and more as:</w:t>
      </w:r>
    </w:p>
    <w:p w14:paraId="4BE31C76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"How do we efficiently generate and store the required full-revaluation </w:t>
      </w:r>
      <w:proofErr w:type="spellStart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PnL</w:t>
      </w:r>
      <w:proofErr w:type="spellEnd"/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cube?"</w:t>
      </w:r>
    </w:p>
    <w:p w14:paraId="62C7B527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The dimensions of that cube are essentially:</w:t>
      </w:r>
    </w:p>
    <w:p w14:paraId="227D94A7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Trade × Scenario × Risk View × LH × ES Set</w:t>
      </w:r>
    </w:p>
    <w:p w14:paraId="46BC8B55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w:r w:rsidRPr="007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instrument maturity potentially reducing the applicable LH combinations.</w:t>
      </w:r>
    </w:p>
    <w:p w14:paraId="4A3A0C5A" w14:textId="77777777" w:rsidR="007C7CB4" w:rsidRPr="007C7CB4" w:rsidRDefault="007C7CB4" w:rsidP="007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7CB4">
        <w:rPr>
          <w:rFonts w:ascii="Times New Roman" w:eastAsia="Times New Roman" w:hAnsi="Times New Roman" w:cs="Times New Roman"/>
          <w:kern w:val="0"/>
          <w14:ligatures w14:val="none"/>
        </w:rPr>
        <w:t>That is the piece I want us to account for early in the Vasara architecture and capacity design.</w:t>
      </w:r>
    </w:p>
    <w:p w14:paraId="4EEE9BB4" w14:textId="77777777" w:rsidR="007C7CB4" w:rsidRDefault="007C7CB4"/>
    <w:p w14:paraId="7BE0976C" w14:textId="77777777" w:rsidR="007C7CB4" w:rsidRDefault="007C7CB4"/>
    <w:p w14:paraId="0213A403" w14:textId="77777777" w:rsidR="007C7CB4" w:rsidRDefault="007C7CB4"/>
    <w:p w14:paraId="604C5B81" w14:textId="77777777" w:rsidR="007C7CB4" w:rsidRDefault="007C7CB4"/>
    <w:p w14:paraId="1E198531" w14:textId="77777777" w:rsidR="007C7CB4" w:rsidRDefault="007C7CB4"/>
    <w:p w14:paraId="22E4F74F" w14:textId="77777777" w:rsidR="007C7CB4" w:rsidRDefault="007C7CB4"/>
    <w:p w14:paraId="0FA35DB5" w14:textId="77777777" w:rsidR="007C7CB4" w:rsidRDefault="007C7CB4" w:rsidP="007C7CB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Reduced Set exists largely because you may </w:t>
      </w:r>
      <w:r>
        <w:rPr>
          <w:rFonts w:ascii="Calibri" w:hAnsi="Calibri" w:cs="Calibri"/>
          <w:b/>
          <w:bCs/>
          <w:sz w:val="22"/>
          <w:szCs w:val="22"/>
        </w:rPr>
        <w:t>not have 15–20 years of good historical data for every risk factor in today's Full Set</w:t>
      </w:r>
      <w:r>
        <w:rPr>
          <w:rFonts w:ascii="Calibri" w:hAnsi="Calibri" w:cs="Calibri"/>
          <w:sz w:val="22"/>
          <w:szCs w:val="22"/>
        </w:rPr>
        <w:t>.</w:t>
      </w:r>
    </w:p>
    <w:p w14:paraId="094E9B8F" w14:textId="77777777" w:rsidR="007C7CB4" w:rsidRDefault="007C7CB4" w:rsidP="007C7CB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7B27645" w14:textId="77777777" w:rsidR="007C7CB4" w:rsidRDefault="007C7CB4" w:rsidP="007C7CB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Full Set = everything modellable that you need to properly represent today's portfolio risk.</w:t>
      </w:r>
    </w:p>
    <w:p w14:paraId="04700D30" w14:textId="77777777" w:rsidR="007C7CB4" w:rsidRDefault="007C7CB4" w:rsidP="007C7CB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Reduced Set = a carefully selected subset of those modellable risk factors for which you have enough historical data to go far back and find the stress period.</w:t>
      </w:r>
    </w:p>
    <w:p w14:paraId="59B68EED" w14:textId="77777777" w:rsidR="007C7CB4" w:rsidRDefault="007C7CB4" w:rsidP="007C7CB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96058B" w14:textId="77777777" w:rsidR="007C7CB4" w:rsidRDefault="007C7CB4" w:rsidP="007C7CB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55F9177" w14:textId="77777777" w:rsidR="007C7CB4" w:rsidRDefault="007C7CB4" w:rsidP="007C7CB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Basel explicitly describes this as an </w:t>
      </w:r>
      <w:r>
        <w:rPr>
          <w:rFonts w:ascii="Calibri" w:hAnsi="Calibri" w:cs="Calibri"/>
          <w:i/>
          <w:iCs/>
          <w:sz w:val="22"/>
          <w:szCs w:val="22"/>
        </w:rPr>
        <w:t>indirect approach</w:t>
      </w:r>
      <w:r>
        <w:rPr>
          <w:rFonts w:ascii="Calibri" w:hAnsi="Calibri" w:cs="Calibri"/>
          <w:sz w:val="22"/>
          <w:szCs w:val="22"/>
        </w:rPr>
        <w:t>: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the reduced set is used to identify/calibrate the stress period</w:t>
      </w:r>
      <w:r>
        <w:rPr>
          <w:rFonts w:ascii="Calibri" w:hAnsi="Calibri" w:cs="Calibri"/>
          <w:sz w:val="22"/>
          <w:szCs w:val="22"/>
        </w:rPr>
        <w:t>, then the result is scaled using the relationship between Full and Reduced ES in the current period.</w:t>
      </w:r>
    </w:p>
    <w:p w14:paraId="4E5C789E" w14:textId="77777777" w:rsidR="007C7CB4" w:rsidRDefault="007C7CB4" w:rsidP="007C7CB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C8C1EF0" w14:textId="77777777" w:rsidR="007C7CB4" w:rsidRDefault="007C7CB4" w:rsidP="007C7CB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But remember: </w:t>
      </w:r>
      <w:r>
        <w:rPr>
          <w:rFonts w:ascii="Calibri" w:hAnsi="Calibri" w:cs="Calibri"/>
          <w:b/>
          <w:bCs/>
          <w:sz w:val="22"/>
          <w:szCs w:val="22"/>
        </w:rPr>
        <w:t>Full/Reduced is really defined at the risk-factor level, not simply the curve/MDO level.</w:t>
      </w:r>
    </w:p>
    <w:p w14:paraId="368BB95A" w14:textId="77777777" w:rsidR="007C7CB4" w:rsidRDefault="007C7CB4" w:rsidP="007C7CB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9527535" w14:textId="77777777" w:rsidR="007C7CB4" w:rsidRDefault="007C7CB4" w:rsidP="007C7CB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Reduced Set is not a different portfolio.</w:t>
      </w:r>
    </w:p>
    <w:p w14:paraId="5B673EFB" w14:textId="77777777" w:rsidR="007C7CB4" w:rsidRDefault="007C7CB4" w:rsidP="007C7CB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Same trades. Same valuation date. Same pricing model.</w:t>
      </w:r>
    </w:p>
    <w:p w14:paraId="22E7FD06" w14:textId="77777777" w:rsidR="007C7CB4" w:rsidRDefault="007C7CB4" w:rsidP="007C7CB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yellow"/>
        </w:rPr>
        <w:t xml:space="preserve">You are changing </w:t>
      </w:r>
      <w:r>
        <w:rPr>
          <w:rFonts w:ascii="Calibri" w:hAnsi="Calibri" w:cs="Calibri"/>
          <w:b/>
          <w:bCs/>
          <w:sz w:val="22"/>
          <w:szCs w:val="22"/>
          <w:highlight w:val="yellow"/>
        </w:rPr>
        <w:t>which RF shocks are allowed to move</w:t>
      </w:r>
      <w:r>
        <w:rPr>
          <w:rFonts w:ascii="Calibri" w:hAnsi="Calibri" w:cs="Calibri"/>
          <w:sz w:val="22"/>
          <w:szCs w:val="22"/>
          <w:highlight w:val="yellow"/>
        </w:rPr>
        <w:t xml:space="preserve"> in that ES calculation.</w:t>
      </w:r>
    </w:p>
    <w:p w14:paraId="38E2A0DA" w14:textId="77777777" w:rsidR="007C7CB4" w:rsidRDefault="007C7CB4" w:rsidP="007C7CB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941A495" w14:textId="77777777" w:rsidR="007C7CB4" w:rsidRDefault="007C7CB4" w:rsidP="007C7CB4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32"/>
          <w:szCs w:val="32"/>
        </w:rPr>
      </w:pPr>
      <w:r>
        <w:rPr>
          <w:rFonts w:ascii="Calibri" w:hAnsi="Calibri" w:cs="Calibri"/>
          <w:b/>
          <w:bCs/>
          <w:color w:val="0000FF"/>
          <w:sz w:val="32"/>
          <w:szCs w:val="32"/>
        </w:rPr>
        <w:t>For Reduced-Set full revaluation, you hold those excluded RFs constant at the base/current state.</w:t>
      </w:r>
    </w:p>
    <w:p w14:paraId="506CA317" w14:textId="77777777" w:rsidR="007C7CB4" w:rsidRDefault="007C7CB4"/>
    <w:sectPr w:rsidR="007C7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F4F30"/>
    <w:multiLevelType w:val="multilevel"/>
    <w:tmpl w:val="598E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3C0D25"/>
    <w:multiLevelType w:val="multilevel"/>
    <w:tmpl w:val="0A52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191C76"/>
    <w:multiLevelType w:val="multilevel"/>
    <w:tmpl w:val="1738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E8726C"/>
    <w:multiLevelType w:val="multilevel"/>
    <w:tmpl w:val="AF66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5753211">
    <w:abstractNumId w:val="0"/>
  </w:num>
  <w:num w:numId="2" w16cid:durableId="894394164">
    <w:abstractNumId w:val="3"/>
  </w:num>
  <w:num w:numId="3" w16cid:durableId="1127966311">
    <w:abstractNumId w:val="2"/>
  </w:num>
  <w:num w:numId="4" w16cid:durableId="194924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CB4"/>
    <w:rsid w:val="002321A3"/>
    <w:rsid w:val="004600A0"/>
    <w:rsid w:val="007C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B78D1"/>
  <w15:chartTrackingRefBased/>
  <w15:docId w15:val="{74B8DF40-295E-4917-958E-F4CB222D9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C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C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C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C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CB4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7C7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C7C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7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1328</Words>
  <Characters>7575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CHOUKRI ABDELILAH</dc:creator>
  <cp:keywords/>
  <dc:description/>
  <cp:lastModifiedBy>CHOUKRI ABDELILAH</cp:lastModifiedBy>
  <cp:revision>1</cp:revision>
  <dcterms:created xsi:type="dcterms:W3CDTF">2026-08-10T12:12:00Z</dcterms:created>
  <dcterms:modified xsi:type="dcterms:W3CDTF">2026-08-10T12:27:00Z</dcterms:modified>
</cp:coreProperties>
</file>