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F701" w14:textId="77777777" w:rsidR="00526D89" w:rsidRDefault="00526D89" w:rsidP="00526D8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000000"/>
          <w:sz w:val="26"/>
          <w:szCs w:val="26"/>
        </w:rPr>
      </w:pPr>
      <w:r>
        <w:rPr>
          <w:rFonts w:ascii="Open Sans" w:hAnsi="Open Sans" w:cs="Open Sans"/>
          <w:color w:val="000000"/>
          <w:sz w:val="26"/>
          <w:szCs w:val="26"/>
        </w:rPr>
        <w:t>Institutions may count all real price observations allocated to a bucket to assess whether it passes the RFET for any risk factors that belong to the bucket. A real price observation must be allocated to a bucket for which it is representative of any risk factors that belong to the bucket. [Basel Framework, MAR31.17]</w:t>
      </w:r>
    </w:p>
    <w:p w14:paraId="2056D375" w14:textId="77777777" w:rsidR="00526D89" w:rsidRDefault="00526D89"/>
    <w:p w14:paraId="65B26D27" w14:textId="47347D65" w:rsidR="000F56DE" w:rsidRDefault="000F56DE">
      <w:r w:rsidRPr="000F56DE">
        <w:t>https://www.bis.org/basel_framework/chapter/MAR/31.htm</w:t>
      </w:r>
    </w:p>
    <w:p w14:paraId="2F17FF07" w14:textId="493CE845" w:rsidR="00526D89" w:rsidRDefault="00526D89">
      <w:hyperlink r:id="rId5" w:history="1">
        <w:r w:rsidRPr="00B85310">
          <w:rPr>
            <w:rStyle w:val="Hyperlink"/>
          </w:rPr>
          <w:t>https://www.osfi-bsif.gc.ca/en/guidance/guidance-library/capital-adequacy-requirements-car-2026-chapter-9-market-risk?</w:t>
        </w:r>
      </w:hyperlink>
      <w:r w:rsidR="00420821">
        <w:t xml:space="preserve"> </w:t>
      </w:r>
    </w:p>
    <w:p w14:paraId="70168558" w14:textId="77777777" w:rsidR="00526D89" w:rsidRDefault="00526D89"/>
    <w:p w14:paraId="138CE007" w14:textId="43BB60BC" w:rsidR="00B17839" w:rsidRPr="00B17839" w:rsidRDefault="00B17839" w:rsidP="00B17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839">
        <w:rPr>
          <w:rFonts w:ascii="Times New Roman" w:eastAsia="Times New Roman" w:hAnsi="Times New Roman" w:cs="Times New Roman"/>
          <w:kern w:val="0"/>
          <w14:ligatures w14:val="none"/>
        </w:rPr>
        <w:t>that there is a distinction between:</w:t>
      </w:r>
    </w:p>
    <w:p w14:paraId="1E7B31EE" w14:textId="77777777" w:rsidR="00B17839" w:rsidRPr="00B17839" w:rsidRDefault="00B17839" w:rsidP="00B17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839">
        <w:rPr>
          <w:rFonts w:ascii="Times New Roman" w:eastAsia="Times New Roman" w:hAnsi="Times New Roman" w:cs="Times New Roman"/>
          <w:kern w:val="0"/>
          <w14:ligatures w14:val="none"/>
        </w:rPr>
        <w:t>Our internal risk-factor and RTPL granularity; and</w:t>
      </w:r>
    </w:p>
    <w:p w14:paraId="6DEBDB6C" w14:textId="31786E59" w:rsidR="000F56DE" w:rsidRPr="000F56DE" w:rsidRDefault="00B17839" w:rsidP="000F5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839">
        <w:rPr>
          <w:rFonts w:ascii="Times New Roman" w:eastAsia="Times New Roman" w:hAnsi="Times New Roman" w:cs="Times New Roman"/>
          <w:kern w:val="0"/>
          <w14:ligatures w14:val="none"/>
        </w:rPr>
        <w:t xml:space="preserve">The regulatory RFET bucket used for RPO allocation, counting and </w:t>
      </w:r>
      <w:proofErr w:type="spellStart"/>
      <w:r w:rsidRPr="00B17839">
        <w:rPr>
          <w:rFonts w:ascii="Times New Roman" w:eastAsia="Times New Roman" w:hAnsi="Times New Roman" w:cs="Times New Roman"/>
          <w:kern w:val="0"/>
          <w14:ligatures w14:val="none"/>
        </w:rPr>
        <w:t>modellability</w:t>
      </w:r>
      <w:proofErr w:type="spellEnd"/>
      <w:r w:rsidRPr="00B17839">
        <w:rPr>
          <w:rFonts w:ascii="Times New Roman" w:eastAsia="Times New Roman" w:hAnsi="Times New Roman" w:cs="Times New Roman"/>
          <w:kern w:val="0"/>
          <w14:ligatures w14:val="none"/>
        </w:rPr>
        <w:t xml:space="preserve"> assessment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quantitative tests. </w:t>
      </w:r>
    </w:p>
    <w:p w14:paraId="5EF6131D" w14:textId="742E2A37" w:rsidR="000F56DE" w:rsidRPr="000F56DE" w:rsidRDefault="000F56DE" w:rsidP="000F56DE">
      <w:pPr>
        <w:rPr>
          <w:b/>
          <w:bCs/>
        </w:rPr>
      </w:pPr>
      <w:r>
        <w:t xml:space="preserve">For the </w:t>
      </w:r>
      <w:r>
        <w:rPr>
          <w:rStyle w:val="Strong"/>
        </w:rPr>
        <w:t>RFET quantitative test</w:t>
      </w:r>
      <w:r>
        <w:t xml:space="preserve">, the rule offers two alternatives: </w:t>
      </w:r>
      <w:r>
        <w:rPr>
          <w:rStyle w:val="Strong"/>
        </w:rPr>
        <w:t xml:space="preserve">own bucketing (not recommended) </w:t>
      </w:r>
      <w:r>
        <w:t xml:space="preserve">and </w:t>
      </w:r>
      <w:r>
        <w:rPr>
          <w:rStyle w:val="Strong"/>
        </w:rPr>
        <w:t xml:space="preserve">standard bucketing. </w:t>
      </w:r>
    </w:p>
    <w:p w14:paraId="2F8A5120" w14:textId="322060E2" w:rsidR="00B17839" w:rsidRDefault="00B17839" w:rsidP="00B17839">
      <w:pPr>
        <w:spacing w:before="100" w:beforeAutospacing="1" w:after="100" w:afterAutospacing="1" w:line="240" w:lineRule="auto"/>
      </w:pPr>
      <w:r>
        <w:t>Under the standard bucketing approach, one regulatory RFET bucket may contain multiple, more granular internal risk factors.</w:t>
      </w:r>
    </w:p>
    <w:p w14:paraId="0BF460BA" w14:textId="77777777" w:rsidR="000F56DE" w:rsidRDefault="000F56DE" w:rsidP="000F56DE">
      <w:pPr>
        <w:pStyle w:val="ListParagraph"/>
        <w:numPr>
          <w:ilvl w:val="0"/>
          <w:numId w:val="4"/>
        </w:numPr>
      </w:pPr>
      <w:r>
        <w:t>If we choose the standard bucketing for RFET/RPOs, we don’t have to necessarily test every risk factor using only observations located exactly at that risk-factor point/bucket</w:t>
      </w:r>
    </w:p>
    <w:p w14:paraId="61434568" w14:textId="44AC40F5" w:rsidR="000F56DE" w:rsidRPr="000F56DE" w:rsidRDefault="000F56DE" w:rsidP="000F56D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It does not necessarily redefine internal risk factors or RTPL granularity.</w:t>
      </w:r>
      <w:r>
        <w:br/>
      </w:r>
    </w:p>
    <w:p w14:paraId="566B111E" w14:textId="77777777" w:rsidR="000F56DE" w:rsidRDefault="00B17839">
      <w:r>
        <w:t>Under the own bucketing approach, each RFET bucket contains only one RTPL risk factor.</w:t>
      </w:r>
    </w:p>
    <w:p w14:paraId="070698FF" w14:textId="30201F72" w:rsidR="00526D89" w:rsidRDefault="00B17839" w:rsidP="000F56DE">
      <w:pPr>
        <w:pStyle w:val="ListParagraph"/>
        <w:numPr>
          <w:ilvl w:val="0"/>
          <w:numId w:val="6"/>
        </w:numPr>
      </w:pPr>
      <w:r>
        <w:t>Therefore, if our SOFR risk factors are 0–3M, 3–6M and 6–9M, each risk factor would require its own bucket and sufficient representative RPOs to pass independently.</w:t>
      </w:r>
    </w:p>
    <w:p w14:paraId="34C865A7" w14:textId="77777777" w:rsidR="00526D89" w:rsidRPr="00526D89" w:rsidRDefault="00526D89" w:rsidP="00526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6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Own bucketing approach</w:t>
      </w:r>
    </w:p>
    <w:p w14:paraId="472D3CA9" w14:textId="17E1FE22" w:rsidR="00526D89" w:rsidRPr="00526D89" w:rsidRDefault="00526D89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One </w:t>
      </w:r>
      <w:r w:rsidR="00B17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RFET </w:t>
      </w:r>
      <w:r w:rsidRPr="00526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 = one RTPL risk factor.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082"/>
      </w:tblGrid>
      <w:tr w:rsidR="00526D89" w:rsidRPr="00526D89" w14:paraId="26654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38D3B" w14:textId="77777777" w:rsidR="00526D89" w:rsidRPr="00526D89" w:rsidRDefault="00526D89" w:rsidP="00526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risk factor</w:t>
            </w:r>
          </w:p>
        </w:tc>
        <w:tc>
          <w:tcPr>
            <w:tcW w:w="0" w:type="auto"/>
            <w:vAlign w:val="center"/>
            <w:hideMark/>
          </w:tcPr>
          <w:p w14:paraId="062DCEDA" w14:textId="18AD7A04" w:rsidR="00526D89" w:rsidRPr="00526D89" w:rsidRDefault="00526D89" w:rsidP="00526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26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 RFET bucket</w:t>
            </w:r>
          </w:p>
        </w:tc>
      </w:tr>
      <w:tr w:rsidR="00526D89" w:rsidRPr="00526D89" w14:paraId="4700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D63A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0–3M SOFR</w:t>
            </w:r>
          </w:p>
        </w:tc>
        <w:tc>
          <w:tcPr>
            <w:tcW w:w="0" w:type="auto"/>
            <w:vAlign w:val="center"/>
            <w:hideMark/>
          </w:tcPr>
          <w:p w14:paraId="7ED831F1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0–3M</w:t>
            </w:r>
          </w:p>
        </w:tc>
      </w:tr>
      <w:tr w:rsidR="00526D89" w:rsidRPr="00526D89" w14:paraId="656EE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095E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3–6M SOFR</w:t>
            </w:r>
          </w:p>
        </w:tc>
        <w:tc>
          <w:tcPr>
            <w:tcW w:w="0" w:type="auto"/>
            <w:vAlign w:val="center"/>
            <w:hideMark/>
          </w:tcPr>
          <w:p w14:paraId="1A8B19F1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3–6M</w:t>
            </w:r>
          </w:p>
        </w:tc>
      </w:tr>
      <w:tr w:rsidR="00526D89" w:rsidRPr="00526D89" w14:paraId="4B9C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9DFD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6–9M SOFR</w:t>
            </w:r>
          </w:p>
        </w:tc>
        <w:tc>
          <w:tcPr>
            <w:tcW w:w="0" w:type="auto"/>
            <w:vAlign w:val="center"/>
            <w:hideMark/>
          </w:tcPr>
          <w:p w14:paraId="7E34D357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6–9M</w:t>
            </w:r>
          </w:p>
        </w:tc>
      </w:tr>
    </w:tbl>
    <w:p w14:paraId="062DDA26" w14:textId="77777777" w:rsidR="00526D89" w:rsidRDefault="00526D89"/>
    <w:p w14:paraId="3FF12E58" w14:textId="2505E396" w:rsidR="00526D89" w:rsidRDefault="00420821" w:rsidP="00526D89">
      <w:pPr>
        <w:pStyle w:val="NormalWeb"/>
      </w:pPr>
      <w:proofErr w:type="gramStart"/>
      <w:r>
        <w:t xml:space="preserve">We </w:t>
      </w:r>
      <w:r w:rsidR="00526D89">
        <w:t xml:space="preserve"> must</w:t>
      </w:r>
      <w:proofErr w:type="gramEnd"/>
      <w:r w:rsidR="00526D89">
        <w:t xml:space="preserve"> demonstrate sufficient representative RPOs for each separate risk-factor bucket.</w:t>
      </w:r>
    </w:p>
    <w:p w14:paraId="63402EDD" w14:textId="77777777" w:rsidR="00526D89" w:rsidRDefault="00526D89"/>
    <w:p w14:paraId="08D740EE" w14:textId="77777777" w:rsidR="00526D89" w:rsidRPr="00526D89" w:rsidRDefault="00526D89" w:rsidP="00526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6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Standard bucketing approach</w:t>
      </w:r>
    </w:p>
    <w:p w14:paraId="447E759C" w14:textId="77777777" w:rsidR="00526D89" w:rsidRPr="00526D89" w:rsidRDefault="00526D89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regulatory bucket may contain multiple internal risk factors.</w:t>
      </w:r>
    </w:p>
    <w:p w14:paraId="4272BF7B" w14:textId="77777777" w:rsidR="00526D89" w:rsidRPr="00526D89" w:rsidRDefault="00526D89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kern w:val="0"/>
          <w14:ligatures w14:val="none"/>
        </w:rPr>
        <w:t xml:space="preserve">Assume the applicable regulatory bucket is </w:t>
      </w:r>
      <w:r w:rsidRPr="00526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0–9M</w:t>
      </w:r>
      <w:r w:rsidRPr="00526D89">
        <w:rPr>
          <w:rFonts w:ascii="Times New Roman" w:eastAsia="Times New Roman" w:hAnsi="Times New Roman" w:cs="Times New Roman"/>
          <w:kern w:val="0"/>
          <w14:ligatures w14:val="none"/>
        </w:rPr>
        <w:t>, while the internal risk model remains more granular: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675"/>
      </w:tblGrid>
      <w:tr w:rsidR="00526D89" w:rsidRPr="00526D89" w14:paraId="1E39C9EC" w14:textId="77777777" w:rsidTr="00526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3930E" w14:textId="77777777" w:rsidR="00526D89" w:rsidRPr="00526D89" w:rsidRDefault="00526D89" w:rsidP="00526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risk factors</w:t>
            </w:r>
          </w:p>
        </w:tc>
        <w:tc>
          <w:tcPr>
            <w:tcW w:w="0" w:type="auto"/>
            <w:vAlign w:val="center"/>
            <w:hideMark/>
          </w:tcPr>
          <w:p w14:paraId="3EAD6CF5" w14:textId="77777777" w:rsidR="00526D89" w:rsidRPr="00526D89" w:rsidRDefault="00526D89" w:rsidP="00526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Regulatory RFET bucket</w:t>
            </w:r>
          </w:p>
        </w:tc>
      </w:tr>
      <w:tr w:rsidR="00526D89" w:rsidRPr="00526D89" w14:paraId="0ABEC3EA" w14:textId="77777777" w:rsidTr="0052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3130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0–3M</w:t>
            </w:r>
          </w:p>
        </w:tc>
        <w:tc>
          <w:tcPr>
            <w:tcW w:w="0" w:type="auto"/>
            <w:vAlign w:val="center"/>
            <w:hideMark/>
          </w:tcPr>
          <w:p w14:paraId="7DDFB8BA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0–9M</w:t>
            </w:r>
          </w:p>
        </w:tc>
      </w:tr>
      <w:tr w:rsidR="00526D89" w:rsidRPr="00526D89" w14:paraId="503CAD35" w14:textId="77777777" w:rsidTr="0052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A3BA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3–6M</w:t>
            </w:r>
          </w:p>
        </w:tc>
        <w:tc>
          <w:tcPr>
            <w:tcW w:w="0" w:type="auto"/>
            <w:vAlign w:val="center"/>
            <w:hideMark/>
          </w:tcPr>
          <w:p w14:paraId="568BE77E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0–9M</w:t>
            </w:r>
          </w:p>
        </w:tc>
      </w:tr>
      <w:tr w:rsidR="00526D89" w:rsidRPr="00526D89" w14:paraId="1B29B683" w14:textId="77777777" w:rsidTr="00526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9B54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6–9M</w:t>
            </w:r>
          </w:p>
        </w:tc>
        <w:tc>
          <w:tcPr>
            <w:tcW w:w="0" w:type="auto"/>
            <w:vAlign w:val="center"/>
            <w:hideMark/>
          </w:tcPr>
          <w:p w14:paraId="64CCAD85" w14:textId="77777777" w:rsidR="00526D89" w:rsidRPr="00526D89" w:rsidRDefault="00526D89" w:rsidP="00526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6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0–9M</w:t>
            </w:r>
          </w:p>
        </w:tc>
      </w:tr>
    </w:tbl>
    <w:p w14:paraId="6AD38088" w14:textId="338EE514" w:rsidR="00526D89" w:rsidRDefault="00526D89">
      <w:r>
        <w:br w:type="textWrapping" w:clear="all"/>
      </w:r>
    </w:p>
    <w:p w14:paraId="49DD5D8E" w14:textId="77777777" w:rsidR="00526D89" w:rsidRDefault="00526D89" w:rsidP="00526D89">
      <w:pPr>
        <w:pStyle w:val="NormalWeb"/>
      </w:pPr>
      <w:r>
        <w:t>All representative RPOs allocated to the 0–9M regulatory bucket may be counted together.</w:t>
      </w:r>
    </w:p>
    <w:p w14:paraId="4C5ADDFD" w14:textId="77777777" w:rsidR="00526D89" w:rsidRDefault="00526D89" w:rsidP="00526D89">
      <w:pPr>
        <w:pStyle w:val="NormalWeb"/>
      </w:pPr>
      <w:r>
        <w:t xml:space="preserve">If the </w:t>
      </w:r>
      <w:r>
        <w:rPr>
          <w:rStyle w:val="Strong"/>
          <w:rFonts w:eastAsiaTheme="majorEastAsia"/>
        </w:rPr>
        <w:t>0–9M bucket passes the quantitative test</w:t>
      </w:r>
      <w:r>
        <w:t>, all three risk factors belonging to that bucket pass the RFET quantitative test.</w:t>
      </w:r>
    </w:p>
    <w:p w14:paraId="48620C62" w14:textId="77777777" w:rsidR="00B17839" w:rsidRDefault="00B17839" w:rsidP="00526D89">
      <w:pPr>
        <w:pStyle w:val="NormalWeb"/>
      </w:pPr>
    </w:p>
    <w:p w14:paraId="34FE80BA" w14:textId="77777777" w:rsidR="00B17839" w:rsidRDefault="00B17839" w:rsidP="00526D89">
      <w:pPr>
        <w:pStyle w:val="NormalWeb"/>
      </w:pPr>
    </w:p>
    <w:p w14:paraId="7D035B43" w14:textId="77777777" w:rsidR="004A4C3E" w:rsidRDefault="004A4C3E" w:rsidP="00526D89">
      <w:pPr>
        <w:pStyle w:val="NormalWeb"/>
      </w:pPr>
    </w:p>
    <w:p w14:paraId="651B57D3" w14:textId="77777777" w:rsidR="004A4C3E" w:rsidRDefault="004A4C3E" w:rsidP="00526D89">
      <w:pPr>
        <w:pStyle w:val="NormalWeb"/>
      </w:pPr>
    </w:p>
    <w:p w14:paraId="11619C93" w14:textId="77777777" w:rsidR="004A4C3E" w:rsidRDefault="004A4C3E" w:rsidP="00526D89">
      <w:pPr>
        <w:pStyle w:val="NormalWeb"/>
      </w:pPr>
    </w:p>
    <w:p w14:paraId="39376BE7" w14:textId="77777777" w:rsidR="004A4C3E" w:rsidRDefault="004A4C3E" w:rsidP="00526D89">
      <w:pPr>
        <w:pStyle w:val="NormalWeb"/>
      </w:pPr>
    </w:p>
    <w:p w14:paraId="2F49E80B" w14:textId="77777777" w:rsidR="004A4C3E" w:rsidRDefault="004A4C3E" w:rsidP="00526D89">
      <w:pPr>
        <w:pStyle w:val="NormalWeb"/>
      </w:pPr>
    </w:p>
    <w:p w14:paraId="5C83B1FA" w14:textId="77777777" w:rsidR="004A4C3E" w:rsidRDefault="004A4C3E" w:rsidP="00526D89">
      <w:pPr>
        <w:pStyle w:val="NormalWeb"/>
      </w:pPr>
    </w:p>
    <w:p w14:paraId="636B2B04" w14:textId="77777777" w:rsidR="004A4C3E" w:rsidRDefault="004A4C3E" w:rsidP="00526D89">
      <w:pPr>
        <w:pStyle w:val="NormalWeb"/>
      </w:pPr>
    </w:p>
    <w:p w14:paraId="35FB3EDA" w14:textId="77777777" w:rsidR="004A4C3E" w:rsidRDefault="004A4C3E" w:rsidP="00526D89">
      <w:pPr>
        <w:pStyle w:val="NormalWeb"/>
      </w:pPr>
    </w:p>
    <w:p w14:paraId="0FD19DE9" w14:textId="77777777" w:rsidR="00526D89" w:rsidRPr="00526D89" w:rsidRDefault="00526D89" w:rsidP="00526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6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77A3A758" w14:textId="77777777" w:rsidR="00526D89" w:rsidRPr="00526D89" w:rsidRDefault="00526D89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526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26D89">
        <w:rPr>
          <w:rFonts w:ascii="Times New Roman" w:eastAsia="Times New Roman" w:hAnsi="Times New Roman" w:cs="Times New Roman"/>
          <w:kern w:val="0"/>
          <w14:ligatures w14:val="none"/>
        </w:rPr>
        <w:t xml:space="preserve"> have to change the internal risk-factor representation from:</w:t>
      </w:r>
    </w:p>
    <w:p w14:paraId="5C57C18B" w14:textId="77777777" w:rsidR="00526D89" w:rsidRPr="00526D89" w:rsidRDefault="00526D89" w:rsidP="00526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kern w:val="0"/>
          <w14:ligatures w14:val="none"/>
        </w:rPr>
        <w:t xml:space="preserve">0–3M </w:t>
      </w:r>
    </w:p>
    <w:p w14:paraId="2DA8E4F6" w14:textId="77777777" w:rsidR="00526D89" w:rsidRPr="00526D89" w:rsidRDefault="00526D89" w:rsidP="00526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kern w:val="0"/>
          <w14:ligatures w14:val="none"/>
        </w:rPr>
        <w:t xml:space="preserve">3–6M </w:t>
      </w:r>
    </w:p>
    <w:p w14:paraId="436487AF" w14:textId="77777777" w:rsidR="00526D89" w:rsidRPr="00526D89" w:rsidRDefault="00526D89" w:rsidP="00526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kern w:val="0"/>
          <w14:ligatures w14:val="none"/>
        </w:rPr>
        <w:t xml:space="preserve">6–9M </w:t>
      </w:r>
    </w:p>
    <w:p w14:paraId="02B62802" w14:textId="77777777" w:rsidR="00526D89" w:rsidRDefault="00526D89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6D89">
        <w:rPr>
          <w:rFonts w:ascii="Times New Roman" w:eastAsia="Times New Roman" w:hAnsi="Times New Roman" w:cs="Times New Roman"/>
          <w:kern w:val="0"/>
          <w14:ligatures w14:val="none"/>
        </w:rPr>
        <w:t>to one 0–9M model risk factor.</w:t>
      </w:r>
    </w:p>
    <w:p w14:paraId="225E09A3" w14:textId="77777777" w:rsidR="004A4C3E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EEB07" w14:textId="77777777" w:rsidR="004A4C3E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2912F" w14:textId="77777777" w:rsidR="004A4C3E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1460D" w14:textId="77777777" w:rsidR="004A4C3E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A2B218" w14:textId="77777777" w:rsidR="004A4C3E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3ABD3" w14:textId="77777777" w:rsidR="004A4C3E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855"/>
        <w:gridCol w:w="3987"/>
        <w:gridCol w:w="1976"/>
      </w:tblGrid>
      <w:tr w:rsidR="004A4C3E" w:rsidRPr="004A4C3E" w14:paraId="72307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26398" w14:textId="77777777" w:rsidR="004A4C3E" w:rsidRPr="004A4C3E" w:rsidRDefault="004A4C3E" w:rsidP="004A4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60439223" w14:textId="77777777" w:rsidR="004A4C3E" w:rsidRPr="004A4C3E" w:rsidRDefault="004A4C3E" w:rsidP="004A4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buckets</w:t>
            </w:r>
          </w:p>
        </w:tc>
        <w:tc>
          <w:tcPr>
            <w:tcW w:w="0" w:type="auto"/>
            <w:vAlign w:val="center"/>
            <w:hideMark/>
          </w:tcPr>
          <w:p w14:paraId="1B4A3ECE" w14:textId="77777777" w:rsidR="004A4C3E" w:rsidRPr="004A4C3E" w:rsidRDefault="004A4C3E" w:rsidP="004A4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14:paraId="0A582281" w14:textId="77777777" w:rsidR="004A4C3E" w:rsidRPr="004A4C3E" w:rsidRDefault="004A4C3E" w:rsidP="004A4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for swaption vol?</w:t>
            </w:r>
          </w:p>
        </w:tc>
      </w:tr>
      <w:tr w:rsidR="004A4C3E" w:rsidRPr="004A4C3E" w14:paraId="0A10C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F4D1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5ED0D0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0–0.75Y; 0.75–1.5Y; 1.5–4Y; 4–7Y; 7–12Y; 12–18Y; 18–25Y; 25–35Y; 35Y+</w:t>
            </w:r>
          </w:p>
        </w:tc>
        <w:tc>
          <w:tcPr>
            <w:tcW w:w="0" w:type="auto"/>
            <w:vAlign w:val="center"/>
            <w:hideMark/>
          </w:tcPr>
          <w:p w14:paraId="3B7DA211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IR, FX and commodity risk factors with one maturity dimension, excluding implied volatility</w:t>
            </w:r>
          </w:p>
        </w:tc>
        <w:tc>
          <w:tcPr>
            <w:tcW w:w="0" w:type="auto"/>
            <w:vAlign w:val="center"/>
            <w:hideMark/>
          </w:tcPr>
          <w:p w14:paraId="5DBF2C3B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</w:tr>
      <w:tr w:rsidR="004A4C3E" w:rsidRPr="004A4C3E" w14:paraId="3C31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90E1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85E626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0–0.75Y; 0.75–4Y; 4–10Y; 10–18Y; 18–30Y; 30Y+</w:t>
            </w:r>
          </w:p>
        </w:tc>
        <w:tc>
          <w:tcPr>
            <w:tcW w:w="0" w:type="auto"/>
            <w:vAlign w:val="center"/>
            <w:hideMark/>
          </w:tcPr>
          <w:p w14:paraId="28DB148D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Multiple-maturity IR/FX/commodity risk and the </w:t>
            </w: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underlying maturity dimension of swaption vol</w:t>
            </w:r>
          </w:p>
        </w:tc>
        <w:tc>
          <w:tcPr>
            <w:tcW w:w="0" w:type="auto"/>
            <w:vAlign w:val="center"/>
            <w:hideMark/>
          </w:tcPr>
          <w:p w14:paraId="77B02968" w14:textId="408D5436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swap tenor</w:t>
            </w:r>
          </w:p>
        </w:tc>
      </w:tr>
      <w:tr w:rsidR="004A4C3E" w:rsidRPr="004A4C3E" w14:paraId="26CA1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7561C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EF4C2F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0–1.5Y; 1.5–3.5Y; 3.5–7.5Y; 7.5–15Y; 15Y+</w:t>
            </w:r>
          </w:p>
        </w:tc>
        <w:tc>
          <w:tcPr>
            <w:tcW w:w="0" w:type="auto"/>
            <w:vAlign w:val="center"/>
            <w:hideMark/>
          </w:tcPr>
          <w:p w14:paraId="1D4A8304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Credit/equity maturity and the </w:t>
            </w: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expiry dimension of implied volatility</w:t>
            </w:r>
          </w:p>
        </w:tc>
        <w:tc>
          <w:tcPr>
            <w:tcW w:w="0" w:type="auto"/>
            <w:vAlign w:val="center"/>
            <w:hideMark/>
          </w:tcPr>
          <w:p w14:paraId="4E90DF0F" w14:textId="4A9F3A7F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Yes: </w:t>
            </w: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 expiry</w:t>
            </w:r>
          </w:p>
        </w:tc>
      </w:tr>
      <w:tr w:rsidR="004A4C3E" w:rsidRPr="004A4C3E" w14:paraId="638BE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55D9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FDD4212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0–5%; 5–30%; 30–70%; 70–95%; 95–100%</w:t>
            </w:r>
          </w:p>
        </w:tc>
        <w:tc>
          <w:tcPr>
            <w:tcW w:w="0" w:type="auto"/>
            <w:vAlign w:val="center"/>
            <w:hideMark/>
          </w:tcPr>
          <w:p w14:paraId="263C7705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 that the option is in the money at maturity</w:t>
            </w:r>
          </w:p>
        </w:tc>
        <w:tc>
          <w:tcPr>
            <w:tcW w:w="0" w:type="auto"/>
            <w:vAlign w:val="center"/>
            <w:hideMark/>
          </w:tcPr>
          <w:p w14:paraId="78AEC36B" w14:textId="77777777" w:rsidR="004A4C3E" w:rsidRPr="004A4C3E" w:rsidRDefault="004A4C3E" w:rsidP="004A4C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A4C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Yes: strike/moneyness</w:t>
            </w:r>
          </w:p>
        </w:tc>
      </w:tr>
    </w:tbl>
    <w:p w14:paraId="3E165FC6" w14:textId="77777777" w:rsidR="004A4C3E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56DAF" w14:textId="77777777" w:rsidR="004A4C3E" w:rsidRPr="00526D89" w:rsidRDefault="004A4C3E" w:rsidP="00526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AAB0D" w14:textId="77777777" w:rsidR="00526D89" w:rsidRDefault="00526D89" w:rsidP="00526D89">
      <w:pPr>
        <w:pStyle w:val="NormalWeb"/>
      </w:pPr>
    </w:p>
    <w:p w14:paraId="6737BC84" w14:textId="77777777" w:rsidR="00526D89" w:rsidRDefault="00526D89"/>
    <w:sectPr w:rsidR="00526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83"/>
    <w:multiLevelType w:val="multilevel"/>
    <w:tmpl w:val="0E228200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453CA"/>
    <w:multiLevelType w:val="hybridMultilevel"/>
    <w:tmpl w:val="73D08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90239"/>
    <w:multiLevelType w:val="multilevel"/>
    <w:tmpl w:val="C338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E415B"/>
    <w:multiLevelType w:val="hybridMultilevel"/>
    <w:tmpl w:val="FBE29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7E5FB5"/>
    <w:multiLevelType w:val="multilevel"/>
    <w:tmpl w:val="D05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27DE4"/>
    <w:multiLevelType w:val="hybridMultilevel"/>
    <w:tmpl w:val="B2F02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965140">
    <w:abstractNumId w:val="4"/>
  </w:num>
  <w:num w:numId="2" w16cid:durableId="1312564369">
    <w:abstractNumId w:val="0"/>
  </w:num>
  <w:num w:numId="3" w16cid:durableId="1539777551">
    <w:abstractNumId w:val="2"/>
  </w:num>
  <w:num w:numId="4" w16cid:durableId="885095916">
    <w:abstractNumId w:val="1"/>
  </w:num>
  <w:num w:numId="5" w16cid:durableId="1348485196">
    <w:abstractNumId w:val="3"/>
  </w:num>
  <w:num w:numId="6" w16cid:durableId="1478306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89"/>
    <w:rsid w:val="000F56DE"/>
    <w:rsid w:val="00420821"/>
    <w:rsid w:val="004A4C3E"/>
    <w:rsid w:val="00526D89"/>
    <w:rsid w:val="00732894"/>
    <w:rsid w:val="00B1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541A0"/>
  <w15:chartTrackingRefBased/>
  <w15:docId w15:val="{FA1860D9-7F06-49FB-9190-BFB5B1DD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6DE"/>
  </w:style>
  <w:style w:type="paragraph" w:styleId="Heading1">
    <w:name w:val="heading 1"/>
    <w:basedOn w:val="Normal"/>
    <w:next w:val="Normal"/>
    <w:link w:val="Heading1Char"/>
    <w:uiPriority w:val="9"/>
    <w:qFormat/>
    <w:rsid w:val="0052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D8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6D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26D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D8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B1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sfi-bsif.gc.ca/en/guidance/guidance-library/capital-adequacy-requirements-car-2026-chapter-9-market-risk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2026-06-17T11:15:00Z</dcterms:created>
  <dcterms:modified xsi:type="dcterms:W3CDTF">2026-06-17T12:07:00Z</dcterms:modified>
</cp:coreProperties>
</file>