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D5C4" w14:textId="77777777" w:rsidR="00F627F4" w:rsidRDefault="00F627F4" w:rsidP="00F627F4">
      <w:pPr>
        <w:pStyle w:val="NormalWeb"/>
      </w:pPr>
      <w:r>
        <w:rPr>
          <w:rStyle w:val="Strong"/>
          <w:rFonts w:eastAsiaTheme="majorEastAsia"/>
        </w:rPr>
        <w:t>Subject: RFET Delta Conversion – Model Consideration</w:t>
      </w:r>
    </w:p>
    <w:p w14:paraId="78C69971" w14:textId="77777777" w:rsidR="00F627F4" w:rsidRDefault="00F627F4" w:rsidP="00F627F4">
      <w:pPr>
        <w:pStyle w:val="NormalWeb"/>
      </w:pPr>
      <w:r>
        <w:t xml:space="preserve">One point we should take into account from yesterday’s discussion: there seemed to be consensus that </w:t>
      </w:r>
      <w:r>
        <w:rPr>
          <w:rStyle w:val="Strong"/>
          <w:rFonts w:eastAsiaTheme="majorEastAsia"/>
        </w:rPr>
        <w:t>RFET, including delta conversion, may constitute a model</w:t>
      </w:r>
      <w:r>
        <w:t>—whether converting RPOs to delta or using our SABR calibration to derive bucketed delta.</w:t>
      </w:r>
    </w:p>
    <w:p w14:paraId="75F96AB3" w14:textId="77777777" w:rsidR="00F627F4" w:rsidRDefault="00F627F4" w:rsidP="00F627F4">
      <w:pPr>
        <w:pStyle w:val="NormalWeb"/>
      </w:pPr>
      <w:r>
        <w:t xml:space="preserve">If so, this does not mean any approach becomes acceptable; rather, the selected methodology needs an appropriate </w:t>
      </w:r>
      <w:r>
        <w:rPr>
          <w:rStyle w:val="Strong"/>
          <w:rFonts w:eastAsiaTheme="majorEastAsia"/>
        </w:rPr>
        <w:t>model rationale, validation, assumptions and limitations</w:t>
      </w:r>
      <w:r>
        <w:t>.</w:t>
      </w:r>
    </w:p>
    <w:p w14:paraId="7C7F4F88" w14:textId="77777777" w:rsidR="00F627F4" w:rsidRDefault="00F627F4" w:rsidP="00F627F4">
      <w:pPr>
        <w:pStyle w:val="NormalWeb"/>
      </w:pPr>
      <w:r>
        <w:t xml:space="preserve">For example, the proposed </w:t>
      </w:r>
      <w:r>
        <w:rPr>
          <w:rStyle w:val="Strong"/>
          <w:rFonts w:eastAsiaTheme="majorEastAsia"/>
        </w:rPr>
        <w:t>terminal-caplet approach</w:t>
      </w:r>
      <w:r>
        <w:t xml:space="preserve"> is low complexity:</w:t>
      </w:r>
    </w:p>
    <w:p w14:paraId="3B1B1402" w14:textId="77777777" w:rsidR="00F627F4" w:rsidRDefault="00F627F4" w:rsidP="00F627F4">
      <w:pPr>
        <w:pStyle w:val="NormalWeb"/>
      </w:pPr>
      <w:r>
        <w:t>5Y SOFR cap with ~60 monthly caplets → Transaction Delta = Delta of terminal caplet.</w:t>
      </w:r>
    </w:p>
    <w:p w14:paraId="18DB7775" w14:textId="77777777" w:rsidR="00F627F4" w:rsidRDefault="00F627F4" w:rsidP="00F627F4">
      <w:pPr>
        <w:pStyle w:val="NormalWeb"/>
      </w:pPr>
      <w:r>
        <w:t xml:space="preserve">From a Model Validation perspective, the key question is </w:t>
      </w:r>
      <w:r>
        <w:rPr>
          <w:rStyle w:val="Strong"/>
          <w:rFonts w:eastAsiaTheme="majorEastAsia"/>
        </w:rPr>
        <w:t>how much justification is required for this approximation?</w:t>
      </w:r>
      <w:r>
        <w:t xml:space="preserve"> If, for example, the terminal caplet represents only 10% of the cap’s total </w:t>
      </w:r>
      <w:proofErr w:type="spellStart"/>
      <w:r>
        <w:t>vega</w:t>
      </w:r>
      <w:proofErr w:type="spellEnd"/>
      <w:r>
        <w:t>, why should that caplet alone determine the moneyness/delta bucket of the entire transaction?</w:t>
      </w:r>
    </w:p>
    <w:p w14:paraId="3682781B" w14:textId="77777777" w:rsidR="00F627F4" w:rsidRDefault="00F627F4" w:rsidP="00F627F4">
      <w:pPr>
        <w:pStyle w:val="NormalWeb"/>
      </w:pPr>
      <w:r>
        <w:t>I suggest we empirically test the terminal-caplet approximation against a more representative benchmark and determine whether the differences actually result in different RFET delta buckets.</w:t>
      </w:r>
    </w:p>
    <w:p w14:paraId="5938DD39" w14:textId="77777777" w:rsidR="00F627F4" w:rsidRDefault="00F627F4"/>
    <w:sectPr w:rsidR="00F62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F4"/>
    <w:rsid w:val="00CB0815"/>
    <w:rsid w:val="00F6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BE02"/>
  <w15:chartTrackingRefBased/>
  <w15:docId w15:val="{51E341DC-C409-4C05-B4A2-6E8A9736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7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2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627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2026-10-10T00:23:00Z</dcterms:created>
  <dcterms:modified xsi:type="dcterms:W3CDTF">2026-10-10T00:25:00Z</dcterms:modified>
</cp:coreProperties>
</file>