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44C67" w14:textId="77777777" w:rsidR="007A07F5" w:rsidRPr="007A07F5" w:rsidRDefault="007A07F5" w:rsidP="007A07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07F5">
        <w:rPr>
          <w:rFonts w:ascii="Times New Roman" w:eastAsia="Times New Roman" w:hAnsi="Times New Roman" w:cs="Times New Roman"/>
          <w:b/>
          <w:bCs/>
          <w:kern w:val="36"/>
          <w:sz w:val="48"/>
          <w:szCs w:val="48"/>
          <w14:ligatures w14:val="none"/>
        </w:rPr>
        <w:t>1. Success and Achievements</w:t>
      </w:r>
    </w:p>
    <w:p w14:paraId="1A9923AB" w14:textId="0E02A2F6" w:rsidR="007A07F5" w:rsidRDefault="007A07F5" w:rsidP="007A07F5">
      <w:pPr>
        <w:pStyle w:val="NormalWeb"/>
      </w:pPr>
      <w:r>
        <w:t xml:space="preserve">2026 was defined by FRTB IMA. My focus shifted materially from leading individual </w:t>
      </w:r>
      <w:r>
        <w:t xml:space="preserve">risk factor </w:t>
      </w:r>
      <w:r>
        <w:t xml:space="preserve">data and </w:t>
      </w:r>
      <w:r>
        <w:t>RFDM/EMR</w:t>
      </w:r>
      <w:r>
        <w:t xml:space="preserve"> initiatives to helping solve one of the firm’s most complex regulatory transformations. I increasingly operated across regulatory interpretation, </w:t>
      </w:r>
      <w:r w:rsidR="00960699">
        <w:t>RFET</w:t>
      </w:r>
      <w:r>
        <w:t xml:space="preserve"> methodology, RPOs, data, architecture, validation readiness, and </w:t>
      </w:r>
      <w:r>
        <w:t>implementation, connecting</w:t>
      </w:r>
      <w:r>
        <w:t xml:space="preserve"> these areas rather than treating them as independent workstreams.</w:t>
      </w:r>
    </w:p>
    <w:p w14:paraId="45125C44" w14:textId="77777777" w:rsidR="007A07F5" w:rsidRDefault="007A07F5" w:rsidP="007A07F5">
      <w:pPr>
        <w:pStyle w:val="NormalWeb"/>
      </w:pPr>
      <w:r>
        <w:t xml:space="preserve">A significant part of my contribution was creating clarity where the regulation, methodology, or implementation path was still evolving. I invested deeply in understanding the IMA rules and then translating them into practical questions the organization had to answer: what constitutes the Risk Factor, what data must support it, how </w:t>
      </w:r>
      <w:proofErr w:type="spellStart"/>
      <w:r>
        <w:t>modellability</w:t>
      </w:r>
      <w:proofErr w:type="spellEnd"/>
      <w:r>
        <w:t xml:space="preserve"> should be demonstrated, how RPOs should be represented and counted, where qualitative requirements apply, what historical data is required, and ultimately what capabilities need to exist for the firm to operate IMA successfully.</w:t>
      </w:r>
    </w:p>
    <w:p w14:paraId="3DB0DFF6" w14:textId="77777777" w:rsidR="007A07F5" w:rsidRDefault="007A07F5" w:rsidP="007A07F5">
      <w:pPr>
        <w:pStyle w:val="NormalWeb"/>
      </w:pPr>
      <w:r>
        <w:rPr>
          <w:rStyle w:val="Strong"/>
          <w:rFonts w:eastAsiaTheme="majorEastAsia"/>
        </w:rPr>
        <w:t>Regulatory interpretation translated into executable requirements.</w:t>
      </w:r>
      <w:r>
        <w:br/>
        <w:t>I went beyond reading the rules as a compliance exercise. I repeatedly worked from the regulatory text and first principles to distinguish explicit requirements from assumptions or implementation choices. This was especially important in areas where different interpretations could lead to materially different architecture, data requirements, development effort, or capital outcomes.</w:t>
      </w:r>
    </w:p>
    <w:p w14:paraId="5FE2C292" w14:textId="77777777" w:rsidR="007A07F5" w:rsidRDefault="007A07F5" w:rsidP="007A07F5">
      <w:pPr>
        <w:pStyle w:val="NormalWeb"/>
      </w:pPr>
      <w:r>
        <w:t>Examples included RFET treatment for forward rates and parametric Risk Factors, RPO representativeness and bucketing, liquidity-horizon mapping, Full versus Reduced Set concepts, Qualitative Test expectations, fallback treatment, historical data requirements, proxy methodology, and the relationship between pricing inputs, Risk Factors, RTPL, and IMA calculations.</w:t>
      </w:r>
    </w:p>
    <w:p w14:paraId="194F4D15" w14:textId="0FEE0410" w:rsidR="007A07F5" w:rsidRPr="00346AFB" w:rsidRDefault="007A07F5" w:rsidP="007A07F5">
      <w:pPr>
        <w:pStyle w:val="NormalWeb"/>
        <w:rPr>
          <w:b/>
          <w:bCs/>
        </w:rPr>
      </w:pPr>
      <w:r w:rsidRPr="00346AFB">
        <w:rPr>
          <w:b/>
          <w:bCs/>
        </w:rPr>
        <w:t xml:space="preserve">My objective in these discussions was consistently to move from </w:t>
      </w:r>
      <w:r w:rsidRPr="00346AFB">
        <w:rPr>
          <w:rStyle w:val="Strong"/>
          <w:rFonts w:eastAsiaTheme="majorEastAsia"/>
          <w:b w:val="0"/>
          <w:bCs w:val="0"/>
        </w:rPr>
        <w:t>“what does the rule say?”</w:t>
      </w:r>
      <w:r w:rsidRPr="00346AFB">
        <w:rPr>
          <w:b/>
          <w:bCs/>
        </w:rPr>
        <w:t xml:space="preserve"> to </w:t>
      </w:r>
      <w:r w:rsidRPr="00346AFB">
        <w:rPr>
          <w:rStyle w:val="Strong"/>
          <w:rFonts w:eastAsiaTheme="majorEastAsia"/>
          <w:b w:val="0"/>
          <w:bCs w:val="0"/>
        </w:rPr>
        <w:t>“what does this mean we actually need to build, evidence, and operate?”</w:t>
      </w:r>
      <w:r w:rsidR="00346AFB" w:rsidRPr="00346AFB">
        <w:rPr>
          <w:rStyle w:val="Strong"/>
          <w:rFonts w:eastAsiaTheme="majorEastAsia"/>
          <w:b w:val="0"/>
          <w:bCs w:val="0"/>
        </w:rPr>
        <w:br/>
      </w:r>
      <w:r w:rsidR="00346AFB" w:rsidRPr="00346AFB">
        <w:rPr>
          <w:rStyle w:val="Strong"/>
          <w:rFonts w:eastAsiaTheme="majorEastAsia"/>
          <w:b w:val="0"/>
          <w:bCs w:val="0"/>
        </w:rPr>
        <w:br/>
      </w:r>
      <w:r w:rsidR="00346AFB" w:rsidRPr="00161E6E">
        <w:rPr>
          <w:b/>
          <w:bCs/>
          <w:highlight w:val="yellow"/>
        </w:rPr>
        <w:t>Cross-functional leadership and executive communication</w:t>
      </w:r>
      <w:r w:rsidR="00346AFB" w:rsidRPr="00346AFB">
        <w:rPr>
          <w:b/>
          <w:bCs/>
        </w:rPr>
        <w:t>.</w:t>
      </w:r>
    </w:p>
    <w:p w14:paraId="638964D3" w14:textId="2E1A9ABA" w:rsidR="00161E6E" w:rsidRDefault="00346AFB" w:rsidP="00161E6E">
      <w:pPr>
        <w:pStyle w:val="NormalWeb"/>
      </w:pPr>
      <w:r>
        <w:t>IMA cuts across Risk, Front Office, Quants, Data, Technology, Model Risk, vendors and multiple asset classes. I spent significant time operating between those groups, translating terminology and objectives so that a regulatory question could become a quantitative methodology, a data requirement, and ultimately a technology deliverable.</w:t>
      </w:r>
      <w:r w:rsidR="00161E6E">
        <w:br/>
      </w:r>
      <w:r w:rsidR="00161E6E">
        <w:br/>
        <w:t>Helped t</w:t>
      </w:r>
      <w:r w:rsidR="00161E6E">
        <w:t>ranslat</w:t>
      </w:r>
      <w:r w:rsidR="00161E6E">
        <w:t>ing</w:t>
      </w:r>
      <w:r w:rsidR="00161E6E">
        <w:t xml:space="preserve"> complex technical and regulatory issues into clear options, recommendations, and implementation priorities. </w:t>
      </w:r>
      <w:r w:rsidR="003B38B3">
        <w:t>I also worked to reduce complex topics into the few issues that materially affected a decision</w:t>
      </w:r>
      <w:r w:rsidR="002F3C5A">
        <w:t xml:space="preserve">. </w:t>
      </w:r>
      <w:proofErr w:type="gramStart"/>
      <w:r w:rsidR="002F3C5A">
        <w:t>So</w:t>
      </w:r>
      <w:proofErr w:type="gramEnd"/>
      <w:r w:rsidR="002F3C5A">
        <w:t xml:space="preserve"> I h</w:t>
      </w:r>
      <w:r w:rsidR="00161E6E">
        <w:t>elped position the team as a strategic IMA partner rather than solely a data-support function.</w:t>
      </w:r>
    </w:p>
    <w:p w14:paraId="3886CA3D" w14:textId="77777777" w:rsidR="00DB7336" w:rsidRDefault="00DB7336" w:rsidP="00161E6E">
      <w:pPr>
        <w:pStyle w:val="NormalWeb"/>
      </w:pPr>
    </w:p>
    <w:p w14:paraId="32EEB937" w14:textId="28EDDE7A" w:rsidR="00346AFB" w:rsidRDefault="00346AFB" w:rsidP="00346AFB">
      <w:pPr>
        <w:pStyle w:val="NormalWeb"/>
      </w:pPr>
    </w:p>
    <w:p w14:paraId="662E8FB9" w14:textId="77777777" w:rsidR="00346AFB" w:rsidRDefault="00346AFB" w:rsidP="007A07F5">
      <w:pPr>
        <w:pStyle w:val="NormalWeb"/>
      </w:pPr>
    </w:p>
    <w:p w14:paraId="1D09C834" w14:textId="77777777" w:rsidR="005600D9" w:rsidRDefault="005600D9" w:rsidP="005600D9">
      <w:pPr>
        <w:pStyle w:val="NormalWeb"/>
      </w:pPr>
      <w:r>
        <w:rPr>
          <w:rStyle w:val="Strong"/>
          <w:rFonts w:eastAsiaTheme="majorEastAsia"/>
        </w:rPr>
        <w:t>Risk Factor and RFET strategy.</w:t>
      </w:r>
      <w:r>
        <w:br/>
        <w:t xml:space="preserve">I played a central role in developing the thinking around Risk Factor </w:t>
      </w:r>
      <w:proofErr w:type="spellStart"/>
      <w:r>
        <w:t>modellability</w:t>
      </w:r>
      <w:proofErr w:type="spellEnd"/>
      <w:r>
        <w:t xml:space="preserve"> and the RFET framework. I challenged simplistic approaches where the regulatory treatment was more nuanced and worked through difficult questions around Risk Factor definition, granularity, liquidity horizons, forward-rate representation, calibration inputs, and how RPO evidence should ultimately translate into a </w:t>
      </w:r>
      <w:proofErr w:type="spellStart"/>
      <w:r>
        <w:t>modellability</w:t>
      </w:r>
      <w:proofErr w:type="spellEnd"/>
      <w:r>
        <w:t xml:space="preserve"> determination.</w:t>
      </w:r>
    </w:p>
    <w:p w14:paraId="2B7B41D0" w14:textId="5A8A372A" w:rsidR="006F2593" w:rsidRDefault="006F2593" w:rsidP="007A07F5">
      <w:pPr>
        <w:pStyle w:val="NormalWeb"/>
      </w:pPr>
      <w:r>
        <w:t>Across these topics, my contribution was not simply to raise questions. I worked to convert ambiguity into frameworks, examples, analytical tests, and concrete implementation choices that teams could evaluate.</w:t>
      </w:r>
    </w:p>
    <w:p w14:paraId="07CDA352" w14:textId="752FE41C" w:rsidR="007A07F5" w:rsidRPr="00481941" w:rsidRDefault="006F2593">
      <w:pPr>
        <w:rPr>
          <w:rStyle w:val="Strong"/>
          <w:rFonts w:ascii="Times New Roman" w:eastAsiaTheme="majorEastAsia" w:hAnsi="Times New Roman" w:cs="Times New Roman"/>
          <w:kern w:val="0"/>
          <w14:ligatures w14:val="none"/>
        </w:rPr>
      </w:pPr>
      <w:r w:rsidRPr="00481941">
        <w:rPr>
          <w:rStyle w:val="Strong"/>
          <w:rFonts w:ascii="Times New Roman" w:eastAsiaTheme="majorEastAsia" w:hAnsi="Times New Roman" w:cs="Times New Roman"/>
          <w:kern w:val="0"/>
          <w14:ligatures w14:val="none"/>
        </w:rPr>
        <w:t>RPO strategy and implementation.</w:t>
      </w:r>
    </w:p>
    <w:p w14:paraId="244360C1" w14:textId="22BDADC0" w:rsidR="006F2593" w:rsidRPr="00481941" w:rsidRDefault="006F2593">
      <w:pPr>
        <w:rPr>
          <w:rFonts w:ascii="Times New Roman" w:eastAsia="Times New Roman" w:hAnsi="Times New Roman" w:cs="Times New Roman"/>
          <w:kern w:val="0"/>
          <w14:ligatures w14:val="none"/>
        </w:rPr>
      </w:pPr>
      <w:r>
        <w:t xml:space="preserve">I </w:t>
      </w:r>
      <w:r w:rsidRPr="00481941">
        <w:rPr>
          <w:rFonts w:ascii="Times New Roman" w:eastAsia="Times New Roman" w:hAnsi="Times New Roman" w:cs="Times New Roman"/>
          <w:kern w:val="0"/>
          <w14:ligatures w14:val="none"/>
        </w:rPr>
        <w:t>worked across the broader design questions surrounding</w:t>
      </w:r>
      <w:r w:rsidRPr="00481941">
        <w:rPr>
          <w:rFonts w:ascii="Times New Roman" w:eastAsia="Times New Roman" w:hAnsi="Times New Roman" w:cs="Times New Roman"/>
          <w:kern w:val="0"/>
          <w14:ligatures w14:val="none"/>
        </w:rPr>
        <w:t xml:space="preserve">, </w:t>
      </w:r>
      <w:r w:rsidRPr="00481941">
        <w:rPr>
          <w:rFonts w:ascii="Times New Roman" w:eastAsia="Times New Roman" w:hAnsi="Times New Roman" w:cs="Times New Roman"/>
          <w:kern w:val="0"/>
          <w14:ligatures w14:val="none"/>
        </w:rPr>
        <w:t>the RFET Classification Engine, Risk Factor metadata</w:t>
      </w:r>
      <w:r w:rsidRPr="00481941">
        <w:rPr>
          <w:rFonts w:ascii="Times New Roman" w:eastAsia="Times New Roman" w:hAnsi="Times New Roman" w:cs="Times New Roman"/>
          <w:kern w:val="0"/>
          <w14:ligatures w14:val="none"/>
        </w:rPr>
        <w:t xml:space="preserve">, </w:t>
      </w:r>
      <w:r w:rsidRPr="00481941">
        <w:rPr>
          <w:rFonts w:ascii="Times New Roman" w:eastAsia="Times New Roman" w:hAnsi="Times New Roman" w:cs="Times New Roman"/>
          <w:kern w:val="0"/>
          <w14:ligatures w14:val="none"/>
        </w:rPr>
        <w:t>bucketing</w:t>
      </w:r>
      <w:r w:rsidRPr="00481941">
        <w:rPr>
          <w:rFonts w:ascii="Times New Roman" w:eastAsia="Times New Roman" w:hAnsi="Times New Roman" w:cs="Times New Roman"/>
          <w:kern w:val="0"/>
          <w14:ligatures w14:val="none"/>
        </w:rPr>
        <w:t xml:space="preserve">, </w:t>
      </w:r>
      <w:r w:rsidRPr="00481941">
        <w:rPr>
          <w:rFonts w:ascii="Times New Roman" w:eastAsia="Times New Roman" w:hAnsi="Times New Roman" w:cs="Times New Roman"/>
          <w:kern w:val="0"/>
          <w14:ligatures w14:val="none"/>
        </w:rPr>
        <w:t>internal versus external</w:t>
      </w:r>
      <w:r w:rsidRPr="00481941">
        <w:rPr>
          <w:rFonts w:ascii="Times New Roman" w:eastAsia="Times New Roman" w:hAnsi="Times New Roman" w:cs="Times New Roman"/>
          <w:kern w:val="0"/>
          <w14:ligatures w14:val="none"/>
        </w:rPr>
        <w:t xml:space="preserve"> options</w:t>
      </w:r>
      <w:r w:rsidRPr="00481941">
        <w:rPr>
          <w:rFonts w:ascii="Times New Roman" w:eastAsia="Times New Roman" w:hAnsi="Times New Roman" w:cs="Times New Roman"/>
          <w:kern w:val="0"/>
          <w14:ligatures w14:val="none"/>
        </w:rPr>
        <w:t>, vendor coverage</w:t>
      </w:r>
      <w:r w:rsidRPr="00481941">
        <w:rPr>
          <w:rFonts w:ascii="Times New Roman" w:eastAsia="Times New Roman" w:hAnsi="Times New Roman" w:cs="Times New Roman"/>
          <w:kern w:val="0"/>
          <w14:ligatures w14:val="none"/>
        </w:rPr>
        <w:t>.</w:t>
      </w:r>
    </w:p>
    <w:p w14:paraId="07404487" w14:textId="760E10DB" w:rsidR="006F2593" w:rsidRPr="00481941" w:rsidRDefault="006F2593">
      <w:pPr>
        <w:rPr>
          <w:rFonts w:ascii="Times New Roman" w:eastAsia="Times New Roman" w:hAnsi="Times New Roman" w:cs="Times New Roman"/>
          <w:kern w:val="0"/>
          <w14:ligatures w14:val="none"/>
        </w:rPr>
      </w:pPr>
      <w:r w:rsidRPr="00481941">
        <w:rPr>
          <w:rFonts w:ascii="Times New Roman" w:eastAsia="Times New Roman" w:hAnsi="Times New Roman" w:cs="Times New Roman"/>
          <w:kern w:val="0"/>
          <w14:ligatures w14:val="none"/>
        </w:rPr>
        <w:t>A key principle I applied was not to wait for every KBD or architecture decision to be resolved before progressing the analysis. Where possible, I separated decisions that truly blocked implementation from those where we could preserve optionality, while the final architecture continued to evolve.</w:t>
      </w:r>
    </w:p>
    <w:p w14:paraId="1C1B9CAD" w14:textId="49F77251" w:rsidR="006F2593" w:rsidRPr="00481941" w:rsidRDefault="006F2593">
      <w:pPr>
        <w:rPr>
          <w:rFonts w:ascii="Times New Roman" w:eastAsia="Times New Roman" w:hAnsi="Times New Roman" w:cs="Times New Roman"/>
          <w:kern w:val="0"/>
          <w14:ligatures w14:val="none"/>
        </w:rPr>
      </w:pPr>
      <w:r w:rsidRPr="00481941">
        <w:rPr>
          <w:rFonts w:ascii="Times New Roman" w:eastAsia="Times New Roman" w:hAnsi="Times New Roman" w:cs="Times New Roman"/>
          <w:kern w:val="0"/>
          <w14:ligatures w14:val="none"/>
        </w:rPr>
        <w:t>That allowed work to move forward without unnecessarily locking the program into assumptions that might later change.</w:t>
      </w:r>
    </w:p>
    <w:p w14:paraId="58C25438" w14:textId="1E839621" w:rsidR="000503AC" w:rsidRDefault="006F2593" w:rsidP="000503AC">
      <w:pPr>
        <w:pStyle w:val="NormalWeb"/>
      </w:pPr>
      <w:r>
        <w:rPr>
          <w:rStyle w:val="Strong"/>
          <w:rFonts w:eastAsiaTheme="majorEastAsia"/>
        </w:rPr>
        <w:t>Data and historical readiness.</w:t>
      </w:r>
      <w:r>
        <w:br/>
      </w:r>
      <w:r w:rsidRPr="00427947">
        <w:t>I increasingly focused on one of the largest underlying risks to IMA: having sufficient data is not the same as having data that can withstand Model Validation and regulatory scrutiny.</w:t>
      </w:r>
      <w:r w:rsidR="000503AC">
        <w:br/>
      </w:r>
      <w:r w:rsidR="000503AC">
        <w:t>I identified and challenged issues around missing historical data, weak lineage, proxies, calibration history, inconsistent market-data sources, reconstruction methodologies, and the lack of evidence connecting reconstructed histories back to observable markets</w:t>
      </w:r>
      <w:r w:rsidR="006A6D3F">
        <w:t xml:space="preserve"> </w:t>
      </w:r>
      <w:r w:rsidR="006A6D3F">
        <w:t>to reduce downstream remediation, Model Risk findings, and regulatory exposure.</w:t>
      </w:r>
    </w:p>
    <w:p w14:paraId="3225C69B" w14:textId="77777777" w:rsidR="000503AC" w:rsidRDefault="000503AC" w:rsidP="000503AC">
      <w:pPr>
        <w:pStyle w:val="NormalWeb"/>
      </w:pPr>
      <w:r>
        <w:t>I helped shape the principle that historical reconstruction should not be judged solely by exact replication of a legacy BAU series. The more important objective is to demonstrate that reconstructed data is representative of observed markets, preserves economically meaningful volatility and correlation behavior, is appropriate for the relevant stress period, and that any proxy or reconstruction methodology can be justified empirically.</w:t>
      </w:r>
    </w:p>
    <w:p w14:paraId="6CEDF403" w14:textId="77777777" w:rsidR="00C531F9" w:rsidRDefault="00346AFB" w:rsidP="00C531F9">
      <w:pPr>
        <w:pStyle w:val="NormalWeb"/>
      </w:pPr>
      <w:r w:rsidRPr="003616D6">
        <w:t>I applied the same mindset when evaluating new data sources.</w:t>
      </w:r>
      <w:r>
        <w:br/>
      </w:r>
      <w:r>
        <w:br/>
      </w:r>
      <w:r w:rsidRPr="003616D6">
        <w:rPr>
          <w:b/>
          <w:bCs/>
        </w:rPr>
        <w:t>Qualitative Test framework and validation readiness.</w:t>
      </w:r>
      <w:r>
        <w:rPr>
          <w:b/>
          <w:bCs/>
        </w:rPr>
        <w:br/>
      </w:r>
      <w:r w:rsidRPr="003616D6">
        <w:t xml:space="preserve">I challenged approaches that appeared to treat the Risk Factor Qualitative Test primarily as a </w:t>
      </w:r>
      <w:r w:rsidRPr="003616D6">
        <w:lastRenderedPageBreak/>
        <w:t>generic data-quality monitoring framework.</w:t>
      </w:r>
      <w:r w:rsidRPr="003616D6">
        <w:br/>
      </w:r>
      <w:r>
        <w:br/>
      </w:r>
      <w:r w:rsidR="00C531F9">
        <w:rPr>
          <w:rStyle w:val="Strong"/>
          <w:rFonts w:eastAsiaTheme="majorEastAsia"/>
        </w:rPr>
        <w:t>Analytical Leadership and Execution:</w:t>
      </w:r>
      <w:r w:rsidR="00C531F9">
        <w:t xml:space="preserve"> Used targeted </w:t>
      </w:r>
      <w:proofErr w:type="spellStart"/>
      <w:r w:rsidR="00C531F9">
        <w:t>PoCs</w:t>
      </w:r>
      <w:proofErr w:type="spellEnd"/>
      <w:r w:rsidR="00C531F9">
        <w:t xml:space="preserve"> and quantitative analysis—including forward-rate methodology, Jacobians, volatility mapping, and data benchmarking—to challenge assumptions, resolve ambiguity, and accelerate decisions.</w:t>
      </w:r>
    </w:p>
    <w:p w14:paraId="191709E0" w14:textId="77777777" w:rsidR="00B2021D" w:rsidRDefault="00F87E9D" w:rsidP="00B2021D">
      <w:pPr>
        <w:rPr>
          <w:rStyle w:val="Strong"/>
          <w:rFonts w:ascii="Times New Roman" w:eastAsiaTheme="majorEastAsia" w:hAnsi="Times New Roman" w:cs="Times New Roman"/>
          <w:kern w:val="0"/>
          <w14:ligatures w14:val="none"/>
        </w:rPr>
      </w:pPr>
      <w:r w:rsidRPr="00436FFF">
        <w:rPr>
          <w:rStyle w:val="Strong"/>
          <w:rFonts w:ascii="Times New Roman" w:eastAsiaTheme="majorEastAsia" w:hAnsi="Times New Roman" w:cs="Times New Roman"/>
          <w:kern w:val="0"/>
          <w14:ligatures w14:val="none"/>
        </w:rPr>
        <w:t xml:space="preserve">Practical and adaptive </w:t>
      </w:r>
      <w:r w:rsidR="00436FFF" w:rsidRPr="00436FFF">
        <w:rPr>
          <w:rStyle w:val="Strong"/>
          <w:rFonts w:ascii="Times New Roman" w:eastAsiaTheme="majorEastAsia" w:hAnsi="Times New Roman" w:cs="Times New Roman"/>
          <w:kern w:val="0"/>
          <w14:ligatures w14:val="none"/>
        </w:rPr>
        <w:t>Partnership.</w:t>
      </w:r>
    </w:p>
    <w:p w14:paraId="32C70E0B" w14:textId="388673D8" w:rsidR="00595E29" w:rsidRPr="00B2021D" w:rsidRDefault="00F87E9D" w:rsidP="00B2021D">
      <w:pPr>
        <w:rPr>
          <w:rFonts w:ascii="Times New Roman" w:eastAsia="Times New Roman" w:hAnsi="Times New Roman" w:cs="Times New Roman"/>
          <w:kern w:val="0"/>
          <w14:ligatures w14:val="none"/>
        </w:rPr>
      </w:pPr>
      <w:r w:rsidRPr="00C972B2">
        <w:rPr>
          <w:rFonts w:ascii="Times New Roman" w:eastAsia="Times New Roman" w:hAnsi="Times New Roman" w:cs="Times New Roman"/>
          <w:kern w:val="0"/>
          <w14:ligatures w14:val="none"/>
        </w:rPr>
        <w:t xml:space="preserve">No one can do this alone. I relied on other people, delegated some, involved others. </w:t>
      </w:r>
      <w:r w:rsidRPr="00C972B2">
        <w:rPr>
          <w:rFonts w:ascii="Times New Roman" w:eastAsia="Times New Roman" w:hAnsi="Times New Roman" w:cs="Times New Roman"/>
          <w:kern w:val="0"/>
          <w14:ligatures w14:val="none"/>
        </w:rPr>
        <w:br/>
        <w:t xml:space="preserve">But I stepped in when </w:t>
      </w:r>
      <w:r w:rsidRPr="00C972B2">
        <w:rPr>
          <w:rFonts w:ascii="Times New Roman" w:eastAsia="Times New Roman" w:hAnsi="Times New Roman" w:cs="Times New Roman"/>
          <w:kern w:val="0"/>
          <w14:ligatures w14:val="none"/>
        </w:rPr>
        <w:t>while stepping in when ambiguity, time pressure, knowledge gaps, or cross-system dependencies threatened delivery.</w:t>
      </w:r>
      <w:r w:rsidRPr="00C972B2">
        <w:rPr>
          <w:rFonts w:ascii="Times New Roman" w:eastAsia="Times New Roman" w:hAnsi="Times New Roman" w:cs="Times New Roman"/>
          <w:kern w:val="0"/>
          <w14:ligatures w14:val="none"/>
        </w:rPr>
        <w:br/>
        <w:t>W</w:t>
      </w:r>
      <w:r w:rsidRPr="00C972B2">
        <w:rPr>
          <w:rFonts w:ascii="Times New Roman" w:eastAsia="Times New Roman" w:hAnsi="Times New Roman" w:cs="Times New Roman"/>
          <w:kern w:val="0"/>
          <w14:ligatures w14:val="none"/>
        </w:rPr>
        <w:t>hile I concentrated heavily on IMA</w:t>
      </w:r>
      <w:r w:rsidRPr="00C972B2">
        <w:rPr>
          <w:rFonts w:ascii="Times New Roman" w:eastAsia="Times New Roman" w:hAnsi="Times New Roman" w:cs="Times New Roman"/>
          <w:kern w:val="0"/>
          <w14:ligatures w14:val="none"/>
        </w:rPr>
        <w:t xml:space="preserve">, I delegated </w:t>
      </w:r>
      <w:r w:rsidR="007B5A5B" w:rsidRPr="00C972B2">
        <w:rPr>
          <w:rFonts w:ascii="Times New Roman" w:eastAsia="Times New Roman" w:hAnsi="Times New Roman" w:cs="Times New Roman"/>
          <w:kern w:val="0"/>
          <w14:ligatures w14:val="none"/>
        </w:rPr>
        <w:t>responsivities</w:t>
      </w:r>
      <w:r w:rsidRPr="00C972B2">
        <w:rPr>
          <w:rFonts w:ascii="Times New Roman" w:eastAsia="Times New Roman" w:hAnsi="Times New Roman" w:cs="Times New Roman"/>
          <w:kern w:val="0"/>
          <w14:ligatures w14:val="none"/>
        </w:rPr>
        <w:t xml:space="preserve"> to others </w:t>
      </w:r>
      <w:r w:rsidR="00595E29" w:rsidRPr="00B2021D">
        <w:rPr>
          <w:rFonts w:ascii="Times New Roman" w:eastAsia="Times New Roman" w:hAnsi="Times New Roman" w:cs="Times New Roman"/>
          <w:kern w:val="0"/>
          <w14:ligatures w14:val="none"/>
        </w:rPr>
        <w:t>across production,</w:t>
      </w:r>
      <w:r w:rsidR="00595E29" w:rsidRPr="00B2021D">
        <w:rPr>
          <w:rFonts w:ascii="Times New Roman" w:eastAsia="Times New Roman" w:hAnsi="Times New Roman" w:cs="Times New Roman"/>
          <w:kern w:val="0"/>
          <w14:ligatures w14:val="none"/>
        </w:rPr>
        <w:t xml:space="preserve"> </w:t>
      </w:r>
      <w:proofErr w:type="spellStart"/>
      <w:r w:rsidR="00595E29" w:rsidRPr="00B2021D">
        <w:rPr>
          <w:rFonts w:ascii="Times New Roman" w:eastAsia="Times New Roman" w:hAnsi="Times New Roman" w:cs="Times New Roman"/>
          <w:kern w:val="0"/>
          <w14:ligatures w14:val="none"/>
        </w:rPr>
        <w:t>SnP</w:t>
      </w:r>
      <w:proofErr w:type="spellEnd"/>
      <w:r w:rsidR="00595E29" w:rsidRPr="00B2021D">
        <w:rPr>
          <w:rFonts w:ascii="Times New Roman" w:eastAsia="Times New Roman" w:hAnsi="Times New Roman" w:cs="Times New Roman"/>
          <w:kern w:val="0"/>
          <w14:ligatures w14:val="none"/>
        </w:rPr>
        <w:t xml:space="preserve"> Sector, </w:t>
      </w:r>
      <w:proofErr w:type="gramStart"/>
      <w:r w:rsidR="00595E29" w:rsidRPr="00B2021D">
        <w:rPr>
          <w:rFonts w:ascii="Times New Roman" w:eastAsia="Times New Roman" w:hAnsi="Times New Roman" w:cs="Times New Roman"/>
          <w:kern w:val="0"/>
          <w14:ligatures w14:val="none"/>
        </w:rPr>
        <w:t xml:space="preserve">Basel </w:t>
      </w:r>
      <w:r w:rsidR="00595E29" w:rsidRPr="00B2021D">
        <w:rPr>
          <w:rFonts w:ascii="Times New Roman" w:eastAsia="Times New Roman" w:hAnsi="Times New Roman" w:cs="Times New Roman"/>
          <w:kern w:val="0"/>
          <w14:ligatures w14:val="none"/>
        </w:rPr>
        <w:t xml:space="preserve"> DQ</w:t>
      </w:r>
      <w:proofErr w:type="gramEnd"/>
      <w:r w:rsidR="00595E29" w:rsidRPr="00B2021D">
        <w:rPr>
          <w:rFonts w:ascii="Times New Roman" w:eastAsia="Times New Roman" w:hAnsi="Times New Roman" w:cs="Times New Roman"/>
          <w:kern w:val="0"/>
          <w14:ligatures w14:val="none"/>
        </w:rPr>
        <w:t>, CDX, Repo, and Equity initiatives, while concentrating on strategic IMA priorities.</w:t>
      </w:r>
    </w:p>
    <w:p w14:paraId="6D90ADA9" w14:textId="197291B7" w:rsidR="00F87E9D" w:rsidRPr="00C972B2" w:rsidRDefault="00F87E9D">
      <w:pPr>
        <w:rPr>
          <w:rFonts w:ascii="Times New Roman" w:eastAsia="Times New Roman" w:hAnsi="Times New Roman" w:cs="Times New Roman"/>
          <w:kern w:val="0"/>
          <w14:ligatures w14:val="none"/>
        </w:rPr>
      </w:pPr>
      <w:r w:rsidRPr="00C972B2">
        <w:rPr>
          <w:rFonts w:ascii="Times New Roman" w:eastAsia="Times New Roman" w:hAnsi="Times New Roman" w:cs="Times New Roman"/>
          <w:kern w:val="0"/>
          <w14:ligatures w14:val="none"/>
        </w:rPr>
        <w:t>That delegation was intentional: it created capacity for me to spend more time on strategic problems without sacrificing operational continuity.</w:t>
      </w:r>
      <w:r w:rsidRPr="00C972B2">
        <w:rPr>
          <w:rFonts w:ascii="Times New Roman" w:eastAsia="Times New Roman" w:hAnsi="Times New Roman" w:cs="Times New Roman"/>
          <w:kern w:val="0"/>
          <w14:ligatures w14:val="none"/>
        </w:rPr>
        <w:br/>
      </w:r>
      <w:r w:rsidRPr="00C972B2">
        <w:rPr>
          <w:rFonts w:ascii="Times New Roman" w:eastAsia="Times New Roman" w:hAnsi="Times New Roman" w:cs="Times New Roman"/>
          <w:kern w:val="0"/>
          <w14:ligatures w14:val="none"/>
        </w:rPr>
        <w:t>At the same time, when a problem required detailed analysis, I remained willing to go deep</w:t>
      </w:r>
      <w:r w:rsidRPr="00C972B2">
        <w:rPr>
          <w:rFonts w:ascii="Times New Roman" w:eastAsia="Times New Roman" w:hAnsi="Times New Roman" w:cs="Times New Roman"/>
          <w:kern w:val="0"/>
          <w14:ligatures w14:val="none"/>
        </w:rPr>
        <w:t>.</w:t>
      </w:r>
    </w:p>
    <w:p w14:paraId="4DBEDF2B" w14:textId="334F9C46" w:rsidR="00F87E9D" w:rsidRPr="00C972B2" w:rsidRDefault="00F87E9D">
      <w:pPr>
        <w:rPr>
          <w:rFonts w:ascii="Times New Roman" w:eastAsia="Times New Roman" w:hAnsi="Times New Roman" w:cs="Times New Roman"/>
          <w:kern w:val="0"/>
          <w14:ligatures w14:val="none"/>
        </w:rPr>
      </w:pPr>
      <w:r w:rsidRPr="00C972B2">
        <w:rPr>
          <w:rFonts w:ascii="Times New Roman" w:eastAsia="Times New Roman" w:hAnsi="Times New Roman" w:cs="Times New Roman"/>
          <w:kern w:val="0"/>
          <w14:ligatures w14:val="none"/>
        </w:rPr>
        <w:t>My objective was never to personally perform every layer of the work. It was to ensure that the right problem was being solved, that the right people were involved, and that important issues continued moving.</w:t>
      </w:r>
    </w:p>
    <w:p w14:paraId="61151FA7" w14:textId="77777777" w:rsidR="00F87E9D" w:rsidRDefault="00F87E9D">
      <w:pPr>
        <w:rPr>
          <w:b/>
          <w:bCs/>
        </w:rPr>
      </w:pPr>
    </w:p>
    <w:p w14:paraId="50751DA4" w14:textId="77777777" w:rsidR="00362C86" w:rsidRDefault="00362C86">
      <w:pPr>
        <w:rPr>
          <w:b/>
          <w:bCs/>
        </w:rPr>
      </w:pPr>
    </w:p>
    <w:p w14:paraId="4D795EF0" w14:textId="77777777" w:rsidR="00362C86" w:rsidRDefault="00362C86">
      <w:pPr>
        <w:rPr>
          <w:b/>
          <w:bCs/>
        </w:rPr>
      </w:pPr>
    </w:p>
    <w:p w14:paraId="49E2ABD6" w14:textId="77777777" w:rsidR="00362C86" w:rsidRDefault="00362C86">
      <w:pPr>
        <w:rPr>
          <w:b/>
          <w:bCs/>
        </w:rPr>
      </w:pPr>
    </w:p>
    <w:p w14:paraId="182E698B" w14:textId="77777777" w:rsidR="00362C86" w:rsidRDefault="00362C86">
      <w:pPr>
        <w:rPr>
          <w:b/>
          <w:bCs/>
        </w:rPr>
      </w:pPr>
    </w:p>
    <w:p w14:paraId="068527F6" w14:textId="77777777" w:rsidR="00362C86" w:rsidRDefault="00362C86">
      <w:pPr>
        <w:rPr>
          <w:b/>
          <w:bCs/>
        </w:rPr>
      </w:pPr>
    </w:p>
    <w:p w14:paraId="5DC5550D" w14:textId="77777777" w:rsidR="00362C86" w:rsidRDefault="00362C86">
      <w:pPr>
        <w:rPr>
          <w:b/>
          <w:bCs/>
        </w:rPr>
      </w:pPr>
    </w:p>
    <w:p w14:paraId="5FFC16A2" w14:textId="77777777" w:rsidR="00362C86" w:rsidRDefault="00362C86">
      <w:pPr>
        <w:rPr>
          <w:b/>
          <w:bCs/>
        </w:rPr>
      </w:pPr>
    </w:p>
    <w:p w14:paraId="604C9E6A" w14:textId="77777777" w:rsidR="00362C86" w:rsidRDefault="00362C86">
      <w:pPr>
        <w:rPr>
          <w:b/>
          <w:bCs/>
        </w:rPr>
      </w:pPr>
    </w:p>
    <w:p w14:paraId="4BB88E88" w14:textId="77777777" w:rsidR="00362C86" w:rsidRDefault="00362C86">
      <w:pPr>
        <w:rPr>
          <w:b/>
          <w:bCs/>
        </w:rPr>
      </w:pPr>
    </w:p>
    <w:p w14:paraId="0D01200B" w14:textId="77777777" w:rsidR="00362C86" w:rsidRDefault="00362C86">
      <w:pPr>
        <w:rPr>
          <w:b/>
          <w:bCs/>
        </w:rPr>
      </w:pPr>
    </w:p>
    <w:p w14:paraId="7B9D3927" w14:textId="77777777" w:rsidR="00362C86" w:rsidRDefault="00362C86">
      <w:pPr>
        <w:rPr>
          <w:b/>
          <w:bCs/>
        </w:rPr>
      </w:pPr>
    </w:p>
    <w:p w14:paraId="255F5A13" w14:textId="77777777" w:rsidR="00362C86" w:rsidRDefault="00362C86">
      <w:pPr>
        <w:rPr>
          <w:b/>
          <w:bCs/>
        </w:rPr>
      </w:pPr>
    </w:p>
    <w:p w14:paraId="767F3DD7" w14:textId="4B8F519F" w:rsidR="00C677F9" w:rsidRDefault="00B30C70" w:rsidP="00C677F9">
      <w:pPr>
        <w:pStyle w:val="NormalWeb"/>
      </w:pPr>
      <w:r w:rsidRPr="00B30C70">
        <w:rPr>
          <w:b/>
          <w:bCs/>
          <w:sz w:val="36"/>
          <w:szCs w:val="36"/>
        </w:rPr>
        <w:lastRenderedPageBreak/>
        <w:t>2. Areas of Focus</w:t>
      </w:r>
      <w:r w:rsidR="00C677F9">
        <w:rPr>
          <w:b/>
          <w:bCs/>
          <w:sz w:val="36"/>
          <w:szCs w:val="36"/>
        </w:rPr>
        <w:br/>
      </w:r>
      <w:r w:rsidR="00985542">
        <w:rPr>
          <w:rStyle w:val="Strong"/>
          <w:rFonts w:eastAsiaTheme="majorEastAsia"/>
        </w:rPr>
        <w:t xml:space="preserve">End-to-End IMA </w:t>
      </w:r>
      <w:r w:rsidR="00985542">
        <w:rPr>
          <w:rStyle w:val="Strong"/>
          <w:rFonts w:eastAsiaTheme="majorEastAsia"/>
        </w:rPr>
        <w:t>Delivery</w:t>
      </w:r>
      <w:r w:rsidR="00985542">
        <w:t xml:space="preserve">: </w:t>
      </w:r>
      <w:r w:rsidR="00C677F9">
        <w:t xml:space="preserve">My </w:t>
      </w:r>
      <w:r w:rsidR="00C677F9">
        <w:t xml:space="preserve">next </w:t>
      </w:r>
      <w:r w:rsidR="005949E9">
        <w:t xml:space="preserve">immediate </w:t>
      </w:r>
      <w:r w:rsidR="00C677F9">
        <w:t xml:space="preserve">priority is to </w:t>
      </w:r>
      <w:r w:rsidR="005949E9">
        <w:t xml:space="preserve">help </w:t>
      </w:r>
      <w:r w:rsidR="00C677F9">
        <w:t xml:space="preserve">drive successful end-to-end implementation of Rates and FX IMA, moving from design and </w:t>
      </w:r>
      <w:proofErr w:type="spellStart"/>
      <w:r w:rsidR="00C677F9">
        <w:t>PoCs</w:t>
      </w:r>
      <w:proofErr w:type="spellEnd"/>
      <w:r w:rsidR="00C677F9">
        <w:t xml:space="preserve"> into scalable, production-ready solutions. </w:t>
      </w:r>
      <w:r w:rsidR="00C677F9">
        <w:br/>
      </w:r>
      <w:r w:rsidR="00985542">
        <w:rPr>
          <w:rStyle w:val="Strong"/>
          <w:rFonts w:eastAsiaTheme="majorEastAsia"/>
        </w:rPr>
        <w:t>Execution</w:t>
      </w:r>
      <w:r w:rsidR="00985542">
        <w:t xml:space="preserve"> </w:t>
      </w:r>
      <w:r w:rsidR="00985542" w:rsidRPr="00985542">
        <w:rPr>
          <w:b/>
          <w:bCs/>
        </w:rPr>
        <w:t>acceleration</w:t>
      </w:r>
      <w:r w:rsidR="00985542">
        <w:t>: T</w:t>
      </w:r>
      <w:r w:rsidR="00C677F9">
        <w:t>he focus will be on accelerating execution, resolving implementation gaps</w:t>
      </w:r>
      <w:r w:rsidR="00F75E49">
        <w:t xml:space="preserve"> and </w:t>
      </w:r>
      <w:r w:rsidR="00F75E49">
        <w:t xml:space="preserve">edge cases, </w:t>
      </w:r>
      <w:r w:rsidR="004816B4">
        <w:t xml:space="preserve">reduce dependencies </w:t>
      </w:r>
      <w:r w:rsidR="00C677F9">
        <w:t>and ensuring consistency across Risk Factors, RPOs, market data, RTPL, PLA, and Model Validation.</w:t>
      </w:r>
    </w:p>
    <w:p w14:paraId="4D6C88DD" w14:textId="3F27B6D3" w:rsidR="00B30C70" w:rsidRDefault="005949E9" w:rsidP="0013120D">
      <w:pPr>
        <w:pStyle w:val="NormalWeb"/>
      </w:pPr>
      <w:r>
        <w:t>T</w:t>
      </w:r>
      <w:r>
        <w:t>he goal is to scale what we established in 2026 into sustainable, integrated IMA capabilities.</w:t>
      </w:r>
    </w:p>
    <w:p w14:paraId="62EBBEBB" w14:textId="77777777" w:rsidR="00C64AC4" w:rsidRDefault="005C33D8" w:rsidP="00C64AC4">
      <w:pPr>
        <w:pStyle w:val="NormalWeb"/>
      </w:pPr>
      <w:r>
        <w:rPr>
          <w:rStyle w:val="Strong"/>
          <w:rFonts w:eastAsiaTheme="majorEastAsia"/>
        </w:rPr>
        <w:t>Cross-Workstream Integration:</w:t>
      </w:r>
      <w:r>
        <w:t xml:space="preserve"> Maintain a 360-degree view across Risk Factors, RPOs, market data, RTPL, PLA, and Model Validation to prevent siloed solutions and ensure end-to-end consistency.</w:t>
      </w:r>
      <w:r w:rsidR="00C64AC4">
        <w:rPr>
          <w:rFonts w:ascii="Segoe UI" w:hAnsi="Segoe UI" w:cs="Segoe UI"/>
          <w:color w:val="0C274A"/>
          <w:shd w:val="clear" w:color="auto" w:fill="E8F3FE"/>
        </w:rPr>
        <w:t xml:space="preserve"> </w:t>
      </w:r>
      <w:r w:rsidR="00C64AC4" w:rsidRPr="00C64AC4">
        <w:t xml:space="preserve">This will </w:t>
      </w:r>
      <w:r w:rsidR="00C64AC4" w:rsidRPr="00C64AC4">
        <w:t>help ensure that the different IMA workstreams do not become isolated implementations</w:t>
      </w:r>
    </w:p>
    <w:p w14:paraId="07163995" w14:textId="77777777" w:rsidR="00C64AC4" w:rsidRDefault="00C64AC4" w:rsidP="00C64AC4">
      <w:pPr>
        <w:pStyle w:val="NormalWeb"/>
      </w:pPr>
    </w:p>
    <w:p w14:paraId="5E2AE9F1" w14:textId="1FDB7CC9" w:rsidR="00C64AC4" w:rsidRPr="00346AFB" w:rsidRDefault="00C64AC4" w:rsidP="00C64AC4">
      <w:pPr>
        <w:pStyle w:val="NormalWeb"/>
      </w:pPr>
      <w:r>
        <w:t xml:space="preserve">3. </w:t>
      </w:r>
      <w:r w:rsidRPr="00346AFB">
        <w:rPr>
          <w:b/>
          <w:bCs/>
          <w:kern w:val="36"/>
          <w:sz w:val="48"/>
          <w:szCs w:val="48"/>
        </w:rPr>
        <w:t>Risk Overlay</w:t>
      </w:r>
    </w:p>
    <w:p w14:paraId="28FA424F" w14:textId="6B40EBB0" w:rsidR="00C64AC4" w:rsidRDefault="00C64AC4" w:rsidP="005C33D8">
      <w:pPr>
        <w:pStyle w:val="NormalWeb"/>
      </w:pPr>
      <w:r w:rsidRPr="00346AFB">
        <w:t>One of my most important contributions in 2026 was identifying risks while there was still time to change the design</w:t>
      </w:r>
    </w:p>
    <w:p w14:paraId="0C3D8CD9" w14:textId="77777777" w:rsidR="006C0096" w:rsidRPr="00346AFB" w:rsidRDefault="006C0096" w:rsidP="006C0096">
      <w:pPr>
        <w:spacing w:before="100" w:beforeAutospacing="1" w:after="100" w:afterAutospacing="1" w:line="240" w:lineRule="auto"/>
        <w:rPr>
          <w:rFonts w:ascii="Times New Roman" w:eastAsia="Times New Roman" w:hAnsi="Times New Roman" w:cs="Times New Roman"/>
          <w:kern w:val="0"/>
          <w14:ligatures w14:val="none"/>
        </w:rPr>
      </w:pPr>
      <w:r w:rsidRPr="00346AFB">
        <w:rPr>
          <w:rFonts w:ascii="Times New Roman" w:eastAsia="Times New Roman" w:hAnsi="Times New Roman" w:cs="Times New Roman"/>
          <w:kern w:val="0"/>
          <w14:ligatures w14:val="none"/>
        </w:rPr>
        <w:t>With IMA, some of the largest risks do not initially appear as production incidents. They appear as assumptions: an interpretation that later proves difficult to defend, historical data that lacks lineage, a proxy that cannot be empirically justified, a Risk Factor definition that does not align with the data supporting it, a qualitative framework that measures DQ but does not actually establish regulatory eligibility, or a technically functioning implementation that cannot withstand Model Validation.</w:t>
      </w:r>
    </w:p>
    <w:p w14:paraId="305114FC" w14:textId="77777777" w:rsidR="006C0096" w:rsidRPr="00346AFB" w:rsidRDefault="006C0096" w:rsidP="006C0096">
      <w:pPr>
        <w:spacing w:before="100" w:beforeAutospacing="1" w:after="100" w:afterAutospacing="1" w:line="240" w:lineRule="auto"/>
        <w:rPr>
          <w:rFonts w:ascii="Times New Roman" w:eastAsia="Times New Roman" w:hAnsi="Times New Roman" w:cs="Times New Roman"/>
          <w:kern w:val="0"/>
          <w14:ligatures w14:val="none"/>
        </w:rPr>
      </w:pPr>
      <w:r w:rsidRPr="00346AFB">
        <w:rPr>
          <w:rFonts w:ascii="Times New Roman" w:eastAsia="Times New Roman" w:hAnsi="Times New Roman" w:cs="Times New Roman"/>
          <w:kern w:val="0"/>
          <w14:ligatures w14:val="none"/>
        </w:rPr>
        <w:t>I consistently tried to surface those risks early.</w:t>
      </w:r>
    </w:p>
    <w:p w14:paraId="4B27CBA0" w14:textId="77777777" w:rsidR="006C0096" w:rsidRPr="00346AFB" w:rsidRDefault="006C0096" w:rsidP="006C0096">
      <w:pPr>
        <w:spacing w:before="100" w:beforeAutospacing="1" w:after="100" w:afterAutospacing="1" w:line="240" w:lineRule="auto"/>
        <w:rPr>
          <w:rFonts w:ascii="Times New Roman" w:eastAsia="Times New Roman" w:hAnsi="Times New Roman" w:cs="Times New Roman"/>
          <w:kern w:val="0"/>
          <w14:ligatures w14:val="none"/>
        </w:rPr>
      </w:pPr>
      <w:r w:rsidRPr="00346AFB">
        <w:rPr>
          <w:rFonts w:ascii="Times New Roman" w:eastAsia="Times New Roman" w:hAnsi="Times New Roman" w:cs="Times New Roman"/>
          <w:kern w:val="0"/>
          <w14:ligatures w14:val="none"/>
        </w:rPr>
        <w:t>I challenged areas where data lineage and historical reconstruction could become future validation problems. I pushed for empirical evidence when proxying or reconstructing market data. I questioned whether Qualitative Test designs were answering the actual regulatory question. I worked through the implications of derived and parametric Risk Factors before those methodologies became embedded in architecture. I also emphasized that Model Validation readiness, documentation and evidence should be designed into the solution rather than addressed after implementation.</w:t>
      </w:r>
    </w:p>
    <w:p w14:paraId="3A593B1D" w14:textId="2371FA3B" w:rsidR="006C0096" w:rsidRDefault="006C0096" w:rsidP="006C0096">
      <w:pPr>
        <w:pStyle w:val="NormalWeb"/>
      </w:pPr>
      <w:r w:rsidRPr="00346AFB">
        <w:t>This approach sometimes creates more difficult questions earlier in a program, but it materially reduces the probability of much larger remediation later</w:t>
      </w:r>
      <w:r w:rsidR="001A1B08">
        <w:t xml:space="preserve"> or </w:t>
      </w:r>
      <w:r w:rsidR="001A1B08" w:rsidRPr="003805C7">
        <w:t>unnecessary rework</w:t>
      </w:r>
      <w:r>
        <w:br/>
      </w:r>
    </w:p>
    <w:p w14:paraId="35E6464A" w14:textId="77777777" w:rsidR="006C0096" w:rsidRDefault="006C0096" w:rsidP="005C33D8">
      <w:pPr>
        <w:pStyle w:val="NormalWeb"/>
      </w:pPr>
    </w:p>
    <w:p w14:paraId="7F731239" w14:textId="77777777" w:rsidR="001A1B08" w:rsidRPr="00B32D37" w:rsidRDefault="001A1B08" w:rsidP="001A1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2D37">
        <w:rPr>
          <w:rFonts w:ascii="Times New Roman" w:eastAsia="Times New Roman" w:hAnsi="Times New Roman" w:cs="Times New Roman"/>
          <w:b/>
          <w:bCs/>
          <w:kern w:val="36"/>
          <w:sz w:val="48"/>
          <w:szCs w:val="48"/>
          <w14:ligatures w14:val="none"/>
        </w:rPr>
        <w:lastRenderedPageBreak/>
        <w:t>Overall Summary</w:t>
      </w:r>
    </w:p>
    <w:p w14:paraId="7C8F1BCD" w14:textId="77777777" w:rsidR="001A1B08" w:rsidRPr="00B32D37" w:rsidRDefault="001A1B08" w:rsidP="001A1B08">
      <w:pPr>
        <w:spacing w:before="100" w:beforeAutospacing="1" w:after="100" w:afterAutospacing="1" w:line="240" w:lineRule="auto"/>
        <w:rPr>
          <w:rFonts w:ascii="Times New Roman" w:eastAsia="Times New Roman" w:hAnsi="Times New Roman" w:cs="Times New Roman"/>
          <w:kern w:val="0"/>
          <w14:ligatures w14:val="none"/>
        </w:rPr>
      </w:pPr>
      <w:r w:rsidRPr="00B32D37">
        <w:rPr>
          <w:rFonts w:ascii="Times New Roman" w:eastAsia="Times New Roman" w:hAnsi="Times New Roman" w:cs="Times New Roman"/>
          <w:kern w:val="0"/>
          <w14:ligatures w14:val="none"/>
        </w:rPr>
        <w:t>2026 materially changed the scope of my contribution. I moved beyond leading individual market-data and platform initiatives and became deeply involved in shaping how the organization interprets, designs and executes FRTB IMA.</w:t>
      </w:r>
    </w:p>
    <w:p w14:paraId="192A747F" w14:textId="77777777" w:rsidR="001A1B08" w:rsidRPr="00B32D37" w:rsidRDefault="001A1B08" w:rsidP="001A1B08">
      <w:pPr>
        <w:spacing w:before="100" w:beforeAutospacing="1" w:after="100" w:afterAutospacing="1" w:line="240" w:lineRule="auto"/>
        <w:rPr>
          <w:rFonts w:ascii="Times New Roman" w:eastAsia="Times New Roman" w:hAnsi="Times New Roman" w:cs="Times New Roman"/>
          <w:kern w:val="0"/>
          <w14:ligatures w14:val="none"/>
        </w:rPr>
      </w:pPr>
      <w:r w:rsidRPr="00B32D37">
        <w:rPr>
          <w:rFonts w:ascii="Times New Roman" w:eastAsia="Times New Roman" w:hAnsi="Times New Roman" w:cs="Times New Roman"/>
          <w:kern w:val="0"/>
          <w14:ligatures w14:val="none"/>
        </w:rPr>
        <w:t xml:space="preserve">My contribution was strongest where the problem was ambiguous. I helped interpret the regulatory destination, identify what capabilities actually needed to exist, connect Risk Factors to RPOs and underlying market data, surface weaknesses in historical data and validation approaches, challenge methodologies where the evidence was insufficient, and convert difficult questions into frameworks, </w:t>
      </w:r>
      <w:proofErr w:type="spellStart"/>
      <w:r w:rsidRPr="00B32D37">
        <w:rPr>
          <w:rFonts w:ascii="Times New Roman" w:eastAsia="Times New Roman" w:hAnsi="Times New Roman" w:cs="Times New Roman"/>
          <w:kern w:val="0"/>
          <w14:ligatures w14:val="none"/>
        </w:rPr>
        <w:t>PoCs</w:t>
      </w:r>
      <w:proofErr w:type="spellEnd"/>
      <w:r w:rsidRPr="00B32D37">
        <w:rPr>
          <w:rFonts w:ascii="Times New Roman" w:eastAsia="Times New Roman" w:hAnsi="Times New Roman" w:cs="Times New Roman"/>
          <w:kern w:val="0"/>
          <w14:ligatures w14:val="none"/>
        </w:rPr>
        <w:t xml:space="preserve"> and executable next steps.</w:t>
      </w:r>
    </w:p>
    <w:p w14:paraId="0CC3EAB5" w14:textId="14AA415C" w:rsidR="001A1B08" w:rsidRPr="00B32D37" w:rsidRDefault="001A1B08" w:rsidP="001A1B08">
      <w:pPr>
        <w:spacing w:before="100" w:beforeAutospacing="1" w:after="100" w:afterAutospacing="1" w:line="240" w:lineRule="auto"/>
        <w:rPr>
          <w:rFonts w:ascii="Times New Roman" w:eastAsia="Times New Roman" w:hAnsi="Times New Roman" w:cs="Times New Roman"/>
          <w:kern w:val="0"/>
          <w14:ligatures w14:val="none"/>
        </w:rPr>
      </w:pPr>
      <w:r w:rsidRPr="00B32D37">
        <w:rPr>
          <w:rFonts w:ascii="Times New Roman" w:eastAsia="Times New Roman" w:hAnsi="Times New Roman" w:cs="Times New Roman"/>
          <w:kern w:val="0"/>
          <w14:ligatures w14:val="none"/>
        </w:rPr>
        <w:t>I also worked deliberately across organizational boundaries. Successful IMA implementation cannot be owned by Risk, Front Office, Technology, Data, Quants or Model Validation independently. Much of the value I provided came from connecting those perspectives</w:t>
      </w:r>
      <w:r w:rsidR="00481B80">
        <w:rPr>
          <w:rFonts w:ascii="Times New Roman" w:eastAsia="Times New Roman" w:hAnsi="Times New Roman" w:cs="Times New Roman"/>
          <w:kern w:val="0"/>
          <w14:ligatures w14:val="none"/>
        </w:rPr>
        <w:t xml:space="preserve">: </w:t>
      </w:r>
      <w:r w:rsidRPr="00B32D37">
        <w:rPr>
          <w:rFonts w:ascii="Times New Roman" w:eastAsia="Times New Roman" w:hAnsi="Times New Roman" w:cs="Times New Roman"/>
          <w:kern w:val="0"/>
          <w14:ligatures w14:val="none"/>
        </w:rPr>
        <w:t>remaining close enough to the technical detail to understand the implications while maintaining enough of the broader view to keep individual decisions aligned with the overall IMA strategy.</w:t>
      </w:r>
    </w:p>
    <w:p w14:paraId="48211C72" w14:textId="530FC891" w:rsidR="00C64AC4" w:rsidRDefault="001A1B08" w:rsidP="001A1B08">
      <w:pPr>
        <w:pStyle w:val="NormalWeb"/>
      </w:pPr>
      <w:r w:rsidRPr="00B32D37">
        <w:t>The leadership model I continued to develop this year was practical and adaptive: establish the vision, create clarity where it is missing, empower strong people to own execution, step in deeply when ambiguity or risk requires it, and keep the organization moving toward the outcome. My objective was not simply to complete my assigned scope. It was to help define the problem, understand the destination, identify where we were vulnerable, mobilize the right expertise, evaluate alternatives, and improve the firm's path toward an executable, defensible and sustainable IMA capability</w:t>
      </w:r>
    </w:p>
    <w:p w14:paraId="212C69D4" w14:textId="77777777" w:rsidR="00362C86" w:rsidRPr="00F87E9D" w:rsidRDefault="00362C86">
      <w:pPr>
        <w:rPr>
          <w:b/>
          <w:bCs/>
        </w:rPr>
      </w:pPr>
    </w:p>
    <w:sectPr w:rsidR="00362C86" w:rsidRPr="00F87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F5"/>
    <w:rsid w:val="000503AC"/>
    <w:rsid w:val="0013120D"/>
    <w:rsid w:val="00161E6E"/>
    <w:rsid w:val="001A1B08"/>
    <w:rsid w:val="001A3B2E"/>
    <w:rsid w:val="002F3C5A"/>
    <w:rsid w:val="00346AFB"/>
    <w:rsid w:val="003616D6"/>
    <w:rsid w:val="00362C86"/>
    <w:rsid w:val="003805C7"/>
    <w:rsid w:val="003B38B3"/>
    <w:rsid w:val="00427947"/>
    <w:rsid w:val="00436FFF"/>
    <w:rsid w:val="004816B4"/>
    <w:rsid w:val="00481941"/>
    <w:rsid w:val="00481B80"/>
    <w:rsid w:val="005600D9"/>
    <w:rsid w:val="005949E9"/>
    <w:rsid w:val="00595E29"/>
    <w:rsid w:val="005C33D8"/>
    <w:rsid w:val="006A6D3F"/>
    <w:rsid w:val="006C0096"/>
    <w:rsid w:val="006F2593"/>
    <w:rsid w:val="007A07F5"/>
    <w:rsid w:val="007A2CE8"/>
    <w:rsid w:val="007B5A5B"/>
    <w:rsid w:val="00813AFB"/>
    <w:rsid w:val="00960699"/>
    <w:rsid w:val="00985542"/>
    <w:rsid w:val="00B2021D"/>
    <w:rsid w:val="00B30C70"/>
    <w:rsid w:val="00BB2974"/>
    <w:rsid w:val="00C531F9"/>
    <w:rsid w:val="00C64AC4"/>
    <w:rsid w:val="00C677F9"/>
    <w:rsid w:val="00C972B2"/>
    <w:rsid w:val="00CB0B13"/>
    <w:rsid w:val="00DB7336"/>
    <w:rsid w:val="00F75E49"/>
    <w:rsid w:val="00F87E9D"/>
    <w:rsid w:val="00FE7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53A8C"/>
  <w15:chartTrackingRefBased/>
  <w15:docId w15:val="{A7351EC7-F689-4ADE-A64D-F05081B20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7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07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7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7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0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7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7F5"/>
    <w:rPr>
      <w:rFonts w:eastAsiaTheme="majorEastAsia" w:cstheme="majorBidi"/>
      <w:color w:val="272727" w:themeColor="text1" w:themeTint="D8"/>
    </w:rPr>
  </w:style>
  <w:style w:type="paragraph" w:styleId="Title">
    <w:name w:val="Title"/>
    <w:basedOn w:val="Normal"/>
    <w:next w:val="Normal"/>
    <w:link w:val="TitleChar"/>
    <w:uiPriority w:val="10"/>
    <w:qFormat/>
    <w:rsid w:val="007A0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7F5"/>
    <w:pPr>
      <w:spacing w:before="160"/>
      <w:jc w:val="center"/>
    </w:pPr>
    <w:rPr>
      <w:i/>
      <w:iCs/>
      <w:color w:val="404040" w:themeColor="text1" w:themeTint="BF"/>
    </w:rPr>
  </w:style>
  <w:style w:type="character" w:customStyle="1" w:styleId="QuoteChar">
    <w:name w:val="Quote Char"/>
    <w:basedOn w:val="DefaultParagraphFont"/>
    <w:link w:val="Quote"/>
    <w:uiPriority w:val="29"/>
    <w:rsid w:val="007A07F5"/>
    <w:rPr>
      <w:i/>
      <w:iCs/>
      <w:color w:val="404040" w:themeColor="text1" w:themeTint="BF"/>
    </w:rPr>
  </w:style>
  <w:style w:type="paragraph" w:styleId="ListParagraph">
    <w:name w:val="List Paragraph"/>
    <w:basedOn w:val="Normal"/>
    <w:uiPriority w:val="34"/>
    <w:qFormat/>
    <w:rsid w:val="007A07F5"/>
    <w:pPr>
      <w:ind w:left="720"/>
      <w:contextualSpacing/>
    </w:pPr>
  </w:style>
  <w:style w:type="character" w:styleId="IntenseEmphasis">
    <w:name w:val="Intense Emphasis"/>
    <w:basedOn w:val="DefaultParagraphFont"/>
    <w:uiPriority w:val="21"/>
    <w:qFormat/>
    <w:rsid w:val="007A07F5"/>
    <w:rPr>
      <w:i/>
      <w:iCs/>
      <w:color w:val="2F5496" w:themeColor="accent1" w:themeShade="BF"/>
    </w:rPr>
  </w:style>
  <w:style w:type="paragraph" w:styleId="IntenseQuote">
    <w:name w:val="Intense Quote"/>
    <w:basedOn w:val="Normal"/>
    <w:next w:val="Normal"/>
    <w:link w:val="IntenseQuoteChar"/>
    <w:uiPriority w:val="30"/>
    <w:qFormat/>
    <w:rsid w:val="007A0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7F5"/>
    <w:rPr>
      <w:i/>
      <w:iCs/>
      <w:color w:val="2F5496" w:themeColor="accent1" w:themeShade="BF"/>
    </w:rPr>
  </w:style>
  <w:style w:type="character" w:styleId="IntenseReference">
    <w:name w:val="Intense Reference"/>
    <w:basedOn w:val="DefaultParagraphFont"/>
    <w:uiPriority w:val="32"/>
    <w:qFormat/>
    <w:rsid w:val="007A07F5"/>
    <w:rPr>
      <w:b/>
      <w:bCs/>
      <w:smallCaps/>
      <w:color w:val="2F5496" w:themeColor="accent1" w:themeShade="BF"/>
      <w:spacing w:val="5"/>
    </w:rPr>
  </w:style>
  <w:style w:type="paragraph" w:styleId="NormalWeb">
    <w:name w:val="Normal (Web)"/>
    <w:basedOn w:val="Normal"/>
    <w:uiPriority w:val="99"/>
    <w:unhideWhenUsed/>
    <w:rsid w:val="007A07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7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685</TotalTime>
  <Pages>5</Pages>
  <Words>1555</Words>
  <Characters>8866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34</cp:revision>
  <dcterms:created xsi:type="dcterms:W3CDTF">2026-10-09T10:12:00Z</dcterms:created>
  <dcterms:modified xsi:type="dcterms:W3CDTF">2026-10-09T22:25:00Z</dcterms:modified>
</cp:coreProperties>
</file>