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41F20" w14:textId="77777777" w:rsidR="00542218" w:rsidRPr="00542218" w:rsidRDefault="00542218" w:rsidP="005422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2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Equity Desk </w:t>
      </w:r>
      <w:proofErr w:type="spellStart"/>
      <w:r w:rsidRPr="00542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Modellability</w:t>
      </w:r>
      <w:proofErr w:type="spellEnd"/>
      <w:r w:rsidRPr="005422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&amp; Preliminary IMA Estimate</w:t>
      </w:r>
    </w:p>
    <w:p w14:paraId="447B096F" w14:textId="77777777" w:rsidR="00542218" w:rsidRPr="00542218" w:rsidRDefault="00542218" w:rsidP="00542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2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542218">
        <w:rPr>
          <w:rFonts w:ascii="Times New Roman" w:eastAsia="Times New Roman" w:hAnsi="Times New Roman" w:cs="Times New Roman"/>
          <w:kern w:val="0"/>
          <w14:ligatures w14:val="none"/>
        </w:rPr>
        <w:t xml:space="preserve"> Convertibles, Index Trading, Listed Flow</w:t>
      </w:r>
    </w:p>
    <w:p w14:paraId="3F25B600" w14:textId="77777777" w:rsidR="00542218" w:rsidRPr="00542218" w:rsidRDefault="00542218" w:rsidP="00542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2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Result</w:t>
      </w:r>
    </w:p>
    <w:p w14:paraId="24C3ED34" w14:textId="77777777" w:rsidR="00542218" w:rsidRPr="00542218" w:rsidRDefault="00542218" w:rsidP="00542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218">
        <w:rPr>
          <w:rFonts w:ascii="Times New Roman" w:eastAsia="Times New Roman" w:hAnsi="Times New Roman" w:cs="Times New Roman"/>
          <w:kern w:val="0"/>
          <w14:ligatures w14:val="none"/>
        </w:rPr>
        <w:t xml:space="preserve">No significant IMA benefit observed across the three desks </w:t>
      </w:r>
    </w:p>
    <w:p w14:paraId="0B6F9725" w14:textId="77777777" w:rsidR="00542218" w:rsidRPr="00542218" w:rsidRDefault="00542218" w:rsidP="00542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218">
        <w:rPr>
          <w:rFonts w:ascii="Times New Roman" w:eastAsia="Times New Roman" w:hAnsi="Times New Roman" w:cs="Times New Roman"/>
          <w:kern w:val="0"/>
          <w14:ligatures w14:val="none"/>
        </w:rPr>
        <w:t xml:space="preserve">Convertibles: low benefit expected and confirmed </w:t>
      </w:r>
    </w:p>
    <w:p w14:paraId="53062335" w14:textId="77777777" w:rsidR="00542218" w:rsidRPr="00542218" w:rsidRDefault="00542218" w:rsidP="00542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218">
        <w:rPr>
          <w:rFonts w:ascii="Times New Roman" w:eastAsia="Times New Roman" w:hAnsi="Times New Roman" w:cs="Times New Roman"/>
          <w:kern w:val="0"/>
          <w14:ligatures w14:val="none"/>
        </w:rPr>
        <w:t xml:space="preserve">Index Trading / Listed Flow: benefit expected, but not shown in current numbers </w:t>
      </w:r>
    </w:p>
    <w:p w14:paraId="2D818E02" w14:textId="77777777" w:rsidR="00542218" w:rsidRPr="00542218" w:rsidRDefault="00542218" w:rsidP="005422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218">
        <w:rPr>
          <w:rFonts w:ascii="Times New Roman" w:eastAsia="Times New Roman" w:hAnsi="Times New Roman" w:cs="Times New Roman"/>
          <w:kern w:val="0"/>
          <w14:ligatures w14:val="none"/>
        </w:rPr>
        <w:t xml:space="preserve">Standalone desk results are worse; combined view gives some diversification, but not enough </w:t>
      </w:r>
    </w:p>
    <w:p w14:paraId="5E31AFD4" w14:textId="77777777" w:rsidR="00542218" w:rsidRPr="00542218" w:rsidRDefault="00542218" w:rsidP="00542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2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Driver</w:t>
      </w:r>
    </w:p>
    <w:p w14:paraId="33332E56" w14:textId="77777777" w:rsidR="00542218" w:rsidRPr="00542218" w:rsidRDefault="00542218" w:rsidP="005422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218">
        <w:rPr>
          <w:rFonts w:ascii="Times New Roman" w:eastAsia="Times New Roman" w:hAnsi="Times New Roman" w:cs="Times New Roman"/>
          <w:kern w:val="0"/>
          <w14:ligatures w14:val="none"/>
        </w:rPr>
        <w:t xml:space="preserve">Capital impact is mainly driven by </w:t>
      </w:r>
      <w:r w:rsidRPr="005422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Equity Implied Volatility</w:t>
      </w:r>
      <w:r w:rsidRPr="005422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D85564F" w14:textId="77777777" w:rsidR="00542218" w:rsidRPr="00542218" w:rsidRDefault="00542218" w:rsidP="005422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218">
        <w:rPr>
          <w:rFonts w:ascii="Times New Roman" w:eastAsia="Times New Roman" w:hAnsi="Times New Roman" w:cs="Times New Roman"/>
          <w:kern w:val="0"/>
          <w14:ligatures w14:val="none"/>
        </w:rPr>
        <w:t xml:space="preserve">Index Trading: index options </w:t>
      </w:r>
    </w:p>
    <w:p w14:paraId="0F4CEFF7" w14:textId="77777777" w:rsidR="00542218" w:rsidRPr="00542218" w:rsidRDefault="00542218" w:rsidP="005422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218">
        <w:rPr>
          <w:rFonts w:ascii="Times New Roman" w:eastAsia="Times New Roman" w:hAnsi="Times New Roman" w:cs="Times New Roman"/>
          <w:kern w:val="0"/>
          <w14:ligatures w14:val="none"/>
        </w:rPr>
        <w:t xml:space="preserve">Listed Flow: single-name options </w:t>
      </w:r>
    </w:p>
    <w:p w14:paraId="159E935A" w14:textId="77777777" w:rsidR="00542218" w:rsidRPr="00542218" w:rsidRDefault="00542218" w:rsidP="005422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218">
        <w:rPr>
          <w:rFonts w:ascii="Times New Roman" w:eastAsia="Times New Roman" w:hAnsi="Times New Roman" w:cs="Times New Roman"/>
          <w:kern w:val="0"/>
          <w14:ligatures w14:val="none"/>
        </w:rPr>
        <w:t xml:space="preserve">Convertibles: single-name option risk + issuer credit-spread risk </w:t>
      </w:r>
    </w:p>
    <w:p w14:paraId="7F879525" w14:textId="77777777" w:rsidR="00542218" w:rsidRPr="00542218" w:rsidRDefault="00542218" w:rsidP="00542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2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Findings</w:t>
      </w:r>
    </w:p>
    <w:p w14:paraId="0F71A827" w14:textId="77777777" w:rsidR="00542218" w:rsidRPr="00542218" w:rsidRDefault="00542218" w:rsidP="005422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218">
        <w:rPr>
          <w:rFonts w:ascii="Times New Roman" w:eastAsia="Times New Roman" w:hAnsi="Times New Roman" w:cs="Times New Roman"/>
          <w:kern w:val="0"/>
          <w14:ligatures w14:val="none"/>
        </w:rPr>
        <w:t xml:space="preserve">Long-dated vol risk beyond ~2Y is expected to be more non-modellable </w:t>
      </w:r>
    </w:p>
    <w:p w14:paraId="164C8F73" w14:textId="77777777" w:rsidR="00542218" w:rsidRPr="00542218" w:rsidRDefault="00542218" w:rsidP="005422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218">
        <w:rPr>
          <w:rFonts w:ascii="Times New Roman" w:eastAsia="Times New Roman" w:hAnsi="Times New Roman" w:cs="Times New Roman"/>
          <w:kern w:val="0"/>
          <w14:ligatures w14:val="none"/>
        </w:rPr>
        <w:t xml:space="preserve">Position counts are short-end concentrated, but market value / risk is larger in long-end tenors </w:t>
      </w:r>
    </w:p>
    <w:p w14:paraId="1227F9DC" w14:textId="77777777" w:rsidR="00542218" w:rsidRPr="00542218" w:rsidRDefault="00542218" w:rsidP="005422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218">
        <w:rPr>
          <w:rFonts w:ascii="Times New Roman" w:eastAsia="Times New Roman" w:hAnsi="Times New Roman" w:cs="Times New Roman"/>
          <w:kern w:val="0"/>
          <w14:ligatures w14:val="none"/>
        </w:rPr>
        <w:t xml:space="preserve">2007–2008 history relies heavily on SPX proxy data; ~75% of drivers use SPX </w:t>
      </w:r>
    </w:p>
    <w:p w14:paraId="22A9208D" w14:textId="77777777" w:rsidR="00542218" w:rsidRPr="00542218" w:rsidRDefault="00542218" w:rsidP="005422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218">
        <w:rPr>
          <w:rFonts w:ascii="Times New Roman" w:eastAsia="Times New Roman" w:hAnsi="Times New Roman" w:cs="Times New Roman"/>
          <w:kern w:val="0"/>
          <w14:ligatures w14:val="none"/>
        </w:rPr>
        <w:t xml:space="preserve">Proxy basis, beta, issuer scaling, and punitive stress adjustments are not fully reflected yet </w:t>
      </w:r>
    </w:p>
    <w:p w14:paraId="4D527A78" w14:textId="77777777" w:rsidR="00542218" w:rsidRPr="00542218" w:rsidRDefault="00542218" w:rsidP="00542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2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Limitations / Potential Upside Risk</w:t>
      </w:r>
    </w:p>
    <w:p w14:paraId="70311EBD" w14:textId="77777777" w:rsidR="00542218" w:rsidRPr="00542218" w:rsidRDefault="00542218" w:rsidP="005422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218">
        <w:rPr>
          <w:rFonts w:ascii="Times New Roman" w:eastAsia="Times New Roman" w:hAnsi="Times New Roman" w:cs="Times New Roman"/>
          <w:kern w:val="0"/>
          <w14:ligatures w14:val="none"/>
        </w:rPr>
        <w:t xml:space="preserve">Current Convertibles and Listed Flow estimates may be understated </w:t>
      </w:r>
    </w:p>
    <w:p w14:paraId="27752E00" w14:textId="77777777" w:rsidR="00542218" w:rsidRPr="00542218" w:rsidRDefault="00542218" w:rsidP="005422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218">
        <w:rPr>
          <w:rFonts w:ascii="Times New Roman" w:eastAsia="Times New Roman" w:hAnsi="Times New Roman" w:cs="Times New Roman"/>
          <w:kern w:val="0"/>
          <w14:ligatures w14:val="none"/>
        </w:rPr>
        <w:t xml:space="preserve">SES does not yet include full capital stress scenarios </w:t>
      </w:r>
    </w:p>
    <w:p w14:paraId="55727ADC" w14:textId="77777777" w:rsidR="00542218" w:rsidRPr="00542218" w:rsidRDefault="00542218" w:rsidP="005422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218">
        <w:rPr>
          <w:rFonts w:ascii="Times New Roman" w:eastAsia="Times New Roman" w:hAnsi="Times New Roman" w:cs="Times New Roman"/>
          <w:kern w:val="0"/>
          <w14:ligatures w14:val="none"/>
        </w:rPr>
        <w:t xml:space="preserve">Convertibles credit-spread stress window may move from 2008 to COVID, potentially increasing capital </w:t>
      </w:r>
    </w:p>
    <w:p w14:paraId="23E020FE" w14:textId="77777777" w:rsidR="00542218" w:rsidRPr="00542218" w:rsidRDefault="00542218" w:rsidP="005422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2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Message</w:t>
      </w:r>
    </w:p>
    <w:p w14:paraId="685E664B" w14:textId="77777777" w:rsidR="00542218" w:rsidRPr="00542218" w:rsidRDefault="00542218" w:rsidP="005422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218">
        <w:rPr>
          <w:rFonts w:ascii="Times New Roman" w:eastAsia="Times New Roman" w:hAnsi="Times New Roman" w:cs="Times New Roman"/>
          <w:kern w:val="0"/>
          <w14:ligatures w14:val="none"/>
        </w:rPr>
        <w:t xml:space="preserve">Current IMA estimates are preliminary and likely optimistic </w:t>
      </w:r>
    </w:p>
    <w:p w14:paraId="08874A07" w14:textId="77777777" w:rsidR="00542218" w:rsidRPr="00542218" w:rsidRDefault="00542218" w:rsidP="005422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218">
        <w:rPr>
          <w:rFonts w:ascii="Times New Roman" w:eastAsia="Times New Roman" w:hAnsi="Times New Roman" w:cs="Times New Roman"/>
          <w:kern w:val="0"/>
          <w14:ligatures w14:val="none"/>
        </w:rPr>
        <w:t>Further methodology completion is more likely to worsen results than create material IMA benefit</w:t>
      </w:r>
    </w:p>
    <w:p w14:paraId="2F9C3C29" w14:textId="77777777" w:rsidR="00542218" w:rsidRDefault="00542218"/>
    <w:sectPr w:rsidR="00542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0771"/>
    <w:multiLevelType w:val="multilevel"/>
    <w:tmpl w:val="4182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867FC"/>
    <w:multiLevelType w:val="multilevel"/>
    <w:tmpl w:val="E5F2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D6272"/>
    <w:multiLevelType w:val="multilevel"/>
    <w:tmpl w:val="12DC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E407D"/>
    <w:multiLevelType w:val="multilevel"/>
    <w:tmpl w:val="6FF2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274E6"/>
    <w:multiLevelType w:val="multilevel"/>
    <w:tmpl w:val="D952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846845">
    <w:abstractNumId w:val="4"/>
  </w:num>
  <w:num w:numId="2" w16cid:durableId="1697000802">
    <w:abstractNumId w:val="1"/>
  </w:num>
  <w:num w:numId="3" w16cid:durableId="1001130175">
    <w:abstractNumId w:val="3"/>
  </w:num>
  <w:num w:numId="4" w16cid:durableId="594217544">
    <w:abstractNumId w:val="2"/>
  </w:num>
  <w:num w:numId="5" w16cid:durableId="2125150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218"/>
    <w:rsid w:val="00542218"/>
    <w:rsid w:val="00F2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C8C67"/>
  <w15:chartTrackingRefBased/>
  <w15:docId w15:val="{34043226-9E1D-428E-B2BE-0A4AFC369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2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2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2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2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2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2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2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2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2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21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2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422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CHOUKRI ABDELILAH</dc:creator>
  <cp:keywords/>
  <dc:description/>
  <cp:lastModifiedBy>CHOUKRI ABDELILAH</cp:lastModifiedBy>
  <cp:revision>1</cp:revision>
  <dcterms:created xsi:type="dcterms:W3CDTF">2026-07-12T19:04:00Z</dcterms:created>
  <dcterms:modified xsi:type="dcterms:W3CDTF">2026-07-12T19:05:00Z</dcterms:modified>
</cp:coreProperties>
</file>