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DE5E" w14:textId="77777777" w:rsidR="003A4DB0" w:rsidRDefault="00000000">
      <w:pPr>
        <w:spacing w:after="20"/>
      </w:pPr>
      <w:r>
        <w:rPr>
          <w:rFonts w:ascii="Aptos Display" w:hAnsi="Aptos Display"/>
          <w:b/>
          <w:color w:val="1F3757"/>
          <w:sz w:val="34"/>
        </w:rPr>
        <w:t>FRTB IMA Historical Data: Evidence Standard, Not Legacy Preference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3A4DB0" w14:paraId="2A93F138" w14:textId="77777777">
        <w:trPr>
          <w:jc w:val="center"/>
        </w:trPr>
        <w:tc>
          <w:tcPr>
            <w:tcW w:w="14544" w:type="dxa"/>
            <w:shd w:val="clear" w:color="auto" w:fill="EAF0F8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2B777D" w14:textId="4805B035" w:rsidR="003A4DB0" w:rsidRDefault="009C082F">
            <w:pPr>
              <w:spacing w:after="0"/>
            </w:pPr>
            <w:r>
              <w:rPr>
                <w:b/>
                <w:color w:val="1F3757"/>
              </w:rPr>
              <w:t>The key message</w:t>
            </w:r>
            <w:r>
              <w:t>:</w:t>
            </w:r>
            <w:r w:rsidR="00704421">
              <w:t xml:space="preserve"> </w:t>
            </w:r>
            <w:r w:rsidR="00000000">
              <w:t xml:space="preserve"> The decision is not “use Basel 2.5 history” versus “regenerate everything.” The decision is whether each material IMA risk-factor history can be evidenced under FRTB IMA: stress-period representativeness, RF-level modellability, market-price lineage, volatility/correlation preservation, and proxy appropriateness. Keep what passes. Remediate only what cannot be defended. </w:t>
            </w:r>
          </w:p>
        </w:tc>
      </w:tr>
    </w:tbl>
    <w:p w14:paraId="0899C019" w14:textId="76615725" w:rsidR="003A4DB0" w:rsidRDefault="00000000">
      <w:pPr>
        <w:spacing w:after="20"/>
      </w:pPr>
      <w:r>
        <w:rPr>
          <w:b/>
          <w:color w:val="1F3757"/>
          <w:sz w:val="21"/>
        </w:rPr>
        <w:t>1) Basel 2.5 vs FRTB IMA: the standard</w:t>
      </w:r>
      <w:r w:rsidR="00BC6CDA">
        <w:rPr>
          <w:b/>
          <w:color w:val="1F3757"/>
          <w:sz w:val="21"/>
        </w:rPr>
        <w:t xml:space="preserve">s </w:t>
      </w:r>
      <w:r w:rsidR="00D14410">
        <w:rPr>
          <w:b/>
          <w:color w:val="1F3757"/>
          <w:sz w:val="21"/>
        </w:rPr>
        <w:t>are changed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5760"/>
        <w:gridCol w:w="6840"/>
      </w:tblGrid>
      <w:tr w:rsidR="003A4DB0" w14:paraId="17069676" w14:textId="77777777">
        <w:trPr>
          <w:jc w:val="center"/>
        </w:trPr>
        <w:tc>
          <w:tcPr>
            <w:tcW w:w="1944" w:type="dxa"/>
            <w:shd w:val="clear" w:color="auto" w:fill="D9E2F3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D6B2EE4" w14:textId="77777777" w:rsidR="003A4DB0" w:rsidRDefault="00000000">
            <w:pPr>
              <w:spacing w:after="0"/>
            </w:pPr>
            <w:r>
              <w:rPr>
                <w:b/>
                <w:color w:val="1F3757"/>
                <w:sz w:val="14"/>
              </w:rPr>
              <w:t>Feature</w:t>
            </w:r>
          </w:p>
        </w:tc>
        <w:tc>
          <w:tcPr>
            <w:tcW w:w="5760" w:type="dxa"/>
            <w:shd w:val="clear" w:color="auto" w:fill="D9E2F3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3F28FF5" w14:textId="77777777" w:rsidR="003A4DB0" w:rsidRDefault="00000000">
            <w:pPr>
              <w:spacing w:after="0"/>
            </w:pPr>
            <w:r>
              <w:rPr>
                <w:b/>
                <w:color w:val="1F3757"/>
                <w:sz w:val="14"/>
              </w:rPr>
              <w:t>Basel 2.5 framing</w:t>
            </w:r>
          </w:p>
        </w:tc>
        <w:tc>
          <w:tcPr>
            <w:tcW w:w="6840" w:type="dxa"/>
            <w:shd w:val="clear" w:color="auto" w:fill="D9E2F3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B898D82" w14:textId="77777777" w:rsidR="003A4DB0" w:rsidRDefault="00000000">
            <w:pPr>
              <w:spacing w:after="0"/>
            </w:pPr>
            <w:r>
              <w:rPr>
                <w:b/>
                <w:color w:val="1F3757"/>
                <w:sz w:val="14"/>
              </w:rPr>
              <w:t>FRTB IMA framing</w:t>
            </w:r>
          </w:p>
        </w:tc>
      </w:tr>
      <w:tr w:rsidR="001814B1" w14:paraId="7689EFB4" w14:textId="77777777">
        <w:trPr>
          <w:jc w:val="center"/>
        </w:trPr>
        <w:tc>
          <w:tcPr>
            <w:tcW w:w="1944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D6E5A9C" w14:textId="55E53C89" w:rsidR="001814B1" w:rsidRDefault="00813280">
            <w:pPr>
              <w:spacing w:after="0"/>
              <w:rPr>
                <w:sz w:val="14"/>
              </w:rPr>
            </w:pPr>
            <w:r w:rsidRPr="00813280">
              <w:rPr>
                <w:sz w:val="14"/>
              </w:rPr>
              <w:t>Individual Risk Factor Test?</w:t>
            </w:r>
          </w:p>
        </w:tc>
        <w:tc>
          <w:tcPr>
            <w:tcW w:w="576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D96F98D" w14:textId="6445C0DD" w:rsidR="001814B1" w:rsidRDefault="00813280">
            <w:pPr>
              <w:spacing w:after="0"/>
              <w:rPr>
                <w:sz w:val="14"/>
              </w:rPr>
            </w:pPr>
            <w:r w:rsidRPr="00813280">
              <w:rPr>
                <w:sz w:val="14"/>
              </w:rPr>
              <w:t xml:space="preserve">No. Risk factors are evaluated as part of the overall </w:t>
            </w:r>
            <w:r>
              <w:rPr>
                <w:sz w:val="14"/>
              </w:rPr>
              <w:t>Top</w:t>
            </w:r>
            <w:r w:rsidR="00D14410">
              <w:rPr>
                <w:sz w:val="14"/>
              </w:rPr>
              <w:t xml:space="preserve"> of House </w:t>
            </w:r>
            <w:r w:rsidRPr="00813280">
              <w:rPr>
                <w:sz w:val="14"/>
              </w:rPr>
              <w:t>VaR/SVaR model portfolio</w:t>
            </w:r>
            <w:r w:rsidR="006213CC">
              <w:rPr>
                <w:sz w:val="14"/>
              </w:rPr>
              <w:t>,</w:t>
            </w:r>
            <w:r w:rsidR="006213CC">
              <w:t xml:space="preserve"> </w:t>
            </w:r>
            <w:r w:rsidR="006213CC" w:rsidRPr="006213CC">
              <w:rPr>
                <w:sz w:val="14"/>
              </w:rPr>
              <w:t>top-down approach rather than granular, factor-by-factor tests:</w:t>
            </w:r>
          </w:p>
        </w:tc>
        <w:tc>
          <w:tcPr>
            <w:tcW w:w="684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3F058C2" w14:textId="0C62F95B" w:rsidR="001814B1" w:rsidRDefault="00813280">
            <w:pPr>
              <w:spacing w:after="0"/>
              <w:rPr>
                <w:sz w:val="14"/>
              </w:rPr>
            </w:pPr>
            <w:r w:rsidRPr="00813280">
              <w:rPr>
                <w:sz w:val="14"/>
              </w:rPr>
              <w:t>Yes. Every single risk factor in the model must pass RFET individually to be deemed "modellable."</w:t>
            </w:r>
            <w:r w:rsidR="00904FCC">
              <w:rPr>
                <w:sz w:val="14"/>
              </w:rPr>
              <w:t xml:space="preserve">. </w:t>
            </w:r>
            <w:r w:rsidR="00904FCC" w:rsidRPr="00904FCC">
              <w:rPr>
                <w:sz w:val="14"/>
              </w:rPr>
              <w:t>FRTB introduced RFET, which shifts the paradigm</w:t>
            </w:r>
            <w:r w:rsidR="00B138F0">
              <w:rPr>
                <w:sz w:val="14"/>
              </w:rPr>
              <w:t xml:space="preserve">. Under FRTB, </w:t>
            </w:r>
            <w:r w:rsidR="00B138F0" w:rsidRPr="00B138F0">
              <w:rPr>
                <w:sz w:val="14"/>
              </w:rPr>
              <w:t>every</w:t>
            </w:r>
            <w:r w:rsidR="00B138F0" w:rsidRPr="00B138F0">
              <w:rPr>
                <w:sz w:val="14"/>
              </w:rPr>
              <w:t xml:space="preserve"> single risk factor mapped to an IMA trading desk must be individually tested</w:t>
            </w:r>
          </w:p>
        </w:tc>
      </w:tr>
      <w:tr w:rsidR="003A4DB0" w14:paraId="5C276AD9" w14:textId="77777777">
        <w:trPr>
          <w:jc w:val="center"/>
        </w:trPr>
        <w:tc>
          <w:tcPr>
            <w:tcW w:w="1944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2C6E56F" w14:textId="7586198A" w:rsidR="003A4DB0" w:rsidRDefault="00000000">
            <w:pPr>
              <w:spacing w:after="0"/>
            </w:pPr>
            <w:r>
              <w:rPr>
                <w:sz w:val="14"/>
              </w:rPr>
              <w:t xml:space="preserve">Model </w:t>
            </w:r>
            <w:r w:rsidR="00B248B9">
              <w:rPr>
                <w:sz w:val="14"/>
              </w:rPr>
              <w:t>Assessment Level</w:t>
            </w:r>
            <w:r w:rsidR="001D2DBA">
              <w:rPr>
                <w:sz w:val="14"/>
              </w:rPr>
              <w:t xml:space="preserve"> lens</w:t>
            </w:r>
          </w:p>
        </w:tc>
        <w:tc>
          <w:tcPr>
            <w:tcW w:w="576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35CD8D8" w14:textId="267F7C5A" w:rsidR="003A4DB0" w:rsidRDefault="00211E23">
            <w:pPr>
              <w:spacing w:after="0"/>
            </w:pPr>
            <w:r w:rsidRPr="00211E23">
              <w:rPr>
                <w:sz w:val="14"/>
              </w:rPr>
              <w:t>Institution-wide / Portfolio-wide (using 1-day and 10-day</w:t>
            </w:r>
            <w:r>
              <w:rPr>
                <w:sz w:val="14"/>
              </w:rPr>
              <w:t xml:space="preserve"> GVAR/</w:t>
            </w:r>
            <w:proofErr w:type="gramStart"/>
            <w:r>
              <w:rPr>
                <w:sz w:val="14"/>
              </w:rPr>
              <w:t xml:space="preserve">SVAR </w:t>
            </w:r>
            <w:r w:rsidRPr="00211E23">
              <w:rPr>
                <w:sz w:val="14"/>
              </w:rPr>
              <w:t xml:space="preserve"> backtesting</w:t>
            </w:r>
            <w:proofErr w:type="gramEnd"/>
            <w:r w:rsidRPr="00211E23">
              <w:rPr>
                <w:sz w:val="14"/>
              </w:rPr>
              <w:t>)</w:t>
            </w:r>
            <w:r w:rsidR="00000000">
              <w:rPr>
                <w:sz w:val="14"/>
              </w:rPr>
              <w:t>. No FRTB-style rule required every RF to pass RFET. [Basel 2.5 / BIS 2011]</w:t>
            </w:r>
          </w:p>
        </w:tc>
        <w:tc>
          <w:tcPr>
            <w:tcW w:w="684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BF7CAAF" w14:textId="3E077354" w:rsidR="003A4DB0" w:rsidRDefault="00000000">
            <w:pPr>
              <w:spacing w:after="0"/>
            </w:pPr>
            <w:r>
              <w:rPr>
                <w:sz w:val="14"/>
              </w:rPr>
              <w:t>IMA adds</w:t>
            </w:r>
            <w:r w:rsidR="00F22BC8">
              <w:rPr>
                <w:sz w:val="14"/>
              </w:rPr>
              <w:t xml:space="preserve"> individual</w:t>
            </w:r>
            <w:r>
              <w:rPr>
                <w:sz w:val="14"/>
              </w:rPr>
              <w:t xml:space="preserve"> RF-level RFET, desk-level PLA/backtesting, and separate NMRF capital where data is insufficient. [US §__.214; </w:t>
            </w:r>
          </w:p>
        </w:tc>
      </w:tr>
      <w:tr w:rsidR="00883E29" w14:paraId="68723135" w14:textId="77777777">
        <w:trPr>
          <w:jc w:val="center"/>
        </w:trPr>
        <w:tc>
          <w:tcPr>
            <w:tcW w:w="1944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F3AE769" w14:textId="23D6D174" w:rsidR="00883E29" w:rsidRDefault="00883E29" w:rsidP="00883E29">
            <w:pPr>
              <w:spacing w:after="0"/>
            </w:pPr>
            <w:r>
              <w:rPr>
                <w:sz w:val="14"/>
              </w:rPr>
              <w:t>Low liquidity / weak data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1CCAC84" w14:textId="6B68FFA1" w:rsidR="00883E29" w:rsidRDefault="00883E29" w:rsidP="00883E29">
            <w:pPr>
              <w:spacing w:after="0"/>
            </w:pPr>
            <w:r>
              <w:rPr>
                <w:sz w:val="14"/>
              </w:rPr>
              <w:t xml:space="preserve">Illiquid risk </w:t>
            </w:r>
            <w:r>
              <w:rPr>
                <w:sz w:val="14"/>
              </w:rPr>
              <w:t xml:space="preserve">factors </w:t>
            </w:r>
            <w:r>
              <w:rPr>
                <w:sz w:val="14"/>
              </w:rPr>
              <w:t xml:space="preserve">could remain in the model through </w:t>
            </w:r>
            <w:r>
              <w:rPr>
                <w:sz w:val="14"/>
              </w:rPr>
              <w:t xml:space="preserve">model </w:t>
            </w:r>
            <w:r>
              <w:rPr>
                <w:sz w:val="14"/>
              </w:rPr>
              <w:t xml:space="preserve">assumptions/proxies subject to </w:t>
            </w:r>
            <w:r w:rsidR="0064131D" w:rsidRPr="0064131D">
              <w:rPr>
                <w:sz w:val="14"/>
              </w:rPr>
              <w:t>top-level model</w:t>
            </w:r>
            <w:r w:rsidR="0064131D">
              <w:rPr>
                <w:sz w:val="14"/>
              </w:rPr>
              <w:t xml:space="preserve"> reviews</w:t>
            </w:r>
          </w:p>
        </w:tc>
        <w:tc>
          <w:tcPr>
            <w:tcW w:w="6840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4032A14" w14:textId="030DCE56" w:rsidR="00883E29" w:rsidRDefault="003724B0" w:rsidP="00883E29">
            <w:pPr>
              <w:spacing w:after="0"/>
            </w:pPr>
            <w:r>
              <w:rPr>
                <w:sz w:val="14"/>
              </w:rPr>
              <w:t xml:space="preserve">Risk </w:t>
            </w:r>
            <w:r w:rsidR="00FF4F6D" w:rsidRPr="00FF4F6D">
              <w:rPr>
                <w:sz w:val="14"/>
              </w:rPr>
              <w:t>Factor becomes a Non-Modellable Risk Factor (NMRF) and receives a dedicated, unhedged stress scenario capital charge.</w:t>
            </w:r>
          </w:p>
        </w:tc>
      </w:tr>
      <w:tr w:rsidR="00883E29" w14:paraId="39756C7D" w14:textId="77777777">
        <w:trPr>
          <w:jc w:val="center"/>
        </w:trPr>
        <w:tc>
          <w:tcPr>
            <w:tcW w:w="1944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7A7789A" w14:textId="7993C882" w:rsidR="00883E29" w:rsidRDefault="00883E29" w:rsidP="00883E29">
            <w:pPr>
              <w:spacing w:after="0"/>
              <w:rPr>
                <w:sz w:val="14"/>
              </w:rPr>
            </w:pPr>
            <w:r>
              <w:rPr>
                <w:sz w:val="14"/>
              </w:rPr>
              <w:t xml:space="preserve">History </w:t>
            </w:r>
            <w:r w:rsidR="003F3833">
              <w:rPr>
                <w:sz w:val="14"/>
              </w:rPr>
              <w:t xml:space="preserve">treatment </w:t>
            </w:r>
          </w:p>
        </w:tc>
        <w:tc>
          <w:tcPr>
            <w:tcW w:w="576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ECA6A82" w14:textId="0108A325" w:rsidR="00883E29" w:rsidRDefault="00451607" w:rsidP="00883E29">
            <w:pPr>
              <w:spacing w:after="0"/>
              <w:rPr>
                <w:sz w:val="14"/>
              </w:rPr>
            </w:pPr>
            <w:r>
              <w:rPr>
                <w:sz w:val="14"/>
              </w:rPr>
              <w:t>It emphasizes on whether GVaR</w:t>
            </w:r>
            <w:r w:rsidR="00883E29">
              <w:rPr>
                <w:sz w:val="14"/>
              </w:rPr>
              <w:t>/SVaR history was available and accepted within the model framework.</w:t>
            </w:r>
            <w:r w:rsidR="00496069">
              <w:rPr>
                <w:sz w:val="14"/>
              </w:rPr>
              <w:t xml:space="preserve"> </w:t>
            </w:r>
          </w:p>
        </w:tc>
        <w:tc>
          <w:tcPr>
            <w:tcW w:w="684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64F0C5" w14:textId="6249C1A1" w:rsidR="00883E29" w:rsidRDefault="001A7B88" w:rsidP="00883E29">
            <w:pPr>
              <w:spacing w:after="0"/>
              <w:rPr>
                <w:sz w:val="14"/>
              </w:rPr>
            </w:pPr>
            <w:r>
              <w:rPr>
                <w:sz w:val="14"/>
              </w:rPr>
              <w:t xml:space="preserve">History availability is not enough. </w:t>
            </w:r>
            <w:r w:rsidR="00284D74">
              <w:rPr>
                <w:sz w:val="14"/>
              </w:rPr>
              <w:t xml:space="preserve"> </w:t>
            </w:r>
            <w:r w:rsidR="00284D74">
              <w:rPr>
                <w:sz w:val="14"/>
              </w:rPr>
              <w:t>It emphasizes</w:t>
            </w:r>
            <w:r w:rsidR="00883E29">
              <w:rPr>
                <w:sz w:val="14"/>
              </w:rPr>
              <w:t xml:space="preserve"> whether history is relevant, representative, stress-period grounded, and suitable for the exact IMA RF. [US §__.214(b)(2)(iii</w:t>
            </w:r>
            <w:proofErr w:type="gramStart"/>
            <w:r w:rsidR="00883E29">
              <w:rPr>
                <w:sz w:val="14"/>
              </w:rPr>
              <w:t>),(</w:t>
            </w:r>
            <w:proofErr w:type="gramEnd"/>
            <w:r w:rsidR="00883E29">
              <w:rPr>
                <w:sz w:val="14"/>
              </w:rPr>
              <w:t>v)]</w:t>
            </w:r>
          </w:p>
        </w:tc>
      </w:tr>
      <w:tr w:rsidR="00883E29" w14:paraId="2FB5072C" w14:textId="77777777">
        <w:trPr>
          <w:jc w:val="center"/>
        </w:trPr>
        <w:tc>
          <w:tcPr>
            <w:tcW w:w="1944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017FA8E" w14:textId="77777777" w:rsidR="00883E29" w:rsidRDefault="00883E29" w:rsidP="00883E29">
            <w:pPr>
              <w:spacing w:after="0"/>
            </w:pPr>
            <w:r>
              <w:rPr>
                <w:sz w:val="14"/>
              </w:rPr>
              <w:t>Proxy use</w:t>
            </w:r>
          </w:p>
        </w:tc>
        <w:tc>
          <w:tcPr>
            <w:tcW w:w="5760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2F3CB31" w14:textId="56487661" w:rsidR="00883E29" w:rsidRDefault="00B12AC3" w:rsidP="00883E29">
            <w:pPr>
              <w:spacing w:after="0"/>
            </w:pPr>
            <w:r>
              <w:rPr>
                <w:sz w:val="14"/>
              </w:rPr>
              <w:t xml:space="preserve">Relies </w:t>
            </w:r>
            <w:r w:rsidR="00A80EA8">
              <w:rPr>
                <w:sz w:val="14"/>
              </w:rPr>
              <w:t xml:space="preserve">heavily on internal proxy procedures. </w:t>
            </w:r>
            <w:r w:rsidR="00883E29">
              <w:rPr>
                <w:sz w:val="14"/>
              </w:rPr>
              <w:t>Mapping illiquid risk</w:t>
            </w:r>
            <w:r w:rsidR="00AE2835">
              <w:rPr>
                <w:sz w:val="14"/>
              </w:rPr>
              <w:t xml:space="preserve"> factors or </w:t>
            </w:r>
            <w:r w:rsidR="00D733DF">
              <w:rPr>
                <w:sz w:val="14"/>
              </w:rPr>
              <w:t>RF with data limitation to</w:t>
            </w:r>
            <w:r w:rsidR="00883E29">
              <w:rPr>
                <w:sz w:val="14"/>
              </w:rPr>
              <w:t xml:space="preserve"> </w:t>
            </w:r>
            <w:r w:rsidR="00D733DF">
              <w:rPr>
                <w:sz w:val="14"/>
              </w:rPr>
              <w:t xml:space="preserve">RF with </w:t>
            </w:r>
            <w:r w:rsidR="005E41E2">
              <w:rPr>
                <w:sz w:val="14"/>
              </w:rPr>
              <w:t>good history was</w:t>
            </w:r>
            <w:r w:rsidR="00883E29">
              <w:rPr>
                <w:sz w:val="14"/>
              </w:rPr>
              <w:t xml:space="preserve"> often handled </w:t>
            </w:r>
            <w:r w:rsidR="00F15522">
              <w:rPr>
                <w:sz w:val="14"/>
              </w:rPr>
              <w:t xml:space="preserve">by pointing to existing proxy </w:t>
            </w:r>
            <w:r w:rsidR="00B95B54">
              <w:rPr>
                <w:sz w:val="14"/>
              </w:rPr>
              <w:t xml:space="preserve">treatment. </w:t>
            </w:r>
          </w:p>
        </w:tc>
        <w:tc>
          <w:tcPr>
            <w:tcW w:w="6840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DC6D3B7" w14:textId="7FE6D05F" w:rsidR="00883E29" w:rsidRDefault="00883E29" w:rsidP="00883E29">
            <w:pPr>
              <w:spacing w:after="0"/>
            </w:pPr>
            <w:r>
              <w:rPr>
                <w:sz w:val="14"/>
              </w:rPr>
              <w:t>Proxy must be evidenced</w:t>
            </w:r>
            <w:r w:rsidR="00B95B54">
              <w:rPr>
                <w:sz w:val="14"/>
              </w:rPr>
              <w:t xml:space="preserve"> at each risk factor level</w:t>
            </w:r>
            <w:r>
              <w:rPr>
                <w:sz w:val="14"/>
              </w:rPr>
              <w:t>: vol/corr similarity, region/</w:t>
            </w:r>
            <w:r w:rsidR="00284D74">
              <w:rPr>
                <w:sz w:val="14"/>
              </w:rPr>
              <w:t xml:space="preserve">instrument </w:t>
            </w:r>
            <w:r>
              <w:rPr>
                <w:sz w:val="14"/>
              </w:rPr>
              <w:t xml:space="preserve">type/quality fit, empirical </w:t>
            </w:r>
            <w:r w:rsidR="00AE2835">
              <w:rPr>
                <w:sz w:val="14"/>
              </w:rPr>
              <w:t>scaling fator/</w:t>
            </w:r>
            <w:r>
              <w:rPr>
                <w:sz w:val="14"/>
              </w:rPr>
              <w:t>coefficients/basis where relevant. [US §__.214(b)(2)(vi); Basel MAR31.26(7)]</w:t>
            </w:r>
          </w:p>
        </w:tc>
      </w:tr>
    </w:tbl>
    <w:p w14:paraId="0492E53A" w14:textId="77777777" w:rsidR="00B95B54" w:rsidRDefault="00B95B54">
      <w:pPr>
        <w:spacing w:after="20"/>
        <w:rPr>
          <w:b/>
          <w:color w:val="1F3757"/>
          <w:sz w:val="21"/>
        </w:rPr>
      </w:pPr>
    </w:p>
    <w:p w14:paraId="4EE0FED9" w14:textId="54D4D8ED" w:rsidR="003A4DB0" w:rsidRDefault="00000000">
      <w:pPr>
        <w:spacing w:after="20"/>
      </w:pPr>
      <w:r>
        <w:rPr>
          <w:b/>
          <w:color w:val="1F3757"/>
          <w:sz w:val="21"/>
        </w:rPr>
        <w:t xml:space="preserve">2) </w:t>
      </w:r>
      <w:r w:rsidR="005E41E2">
        <w:rPr>
          <w:b/>
          <w:color w:val="1F3757"/>
          <w:sz w:val="21"/>
        </w:rPr>
        <w:t xml:space="preserve">Few </w:t>
      </w:r>
      <w:r>
        <w:rPr>
          <w:b/>
          <w:color w:val="1F3757"/>
          <w:sz w:val="21"/>
        </w:rPr>
        <w:t>angles that should drive the decision</w:t>
      </w:r>
      <w:r w:rsidR="005E41E2">
        <w:rPr>
          <w:b/>
          <w:color w:val="1F3757"/>
          <w:sz w:val="21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7200"/>
        <w:gridCol w:w="5544"/>
      </w:tblGrid>
      <w:tr w:rsidR="003A4DB0" w14:paraId="0A9252ED" w14:textId="77777777">
        <w:trPr>
          <w:jc w:val="center"/>
        </w:trPr>
        <w:tc>
          <w:tcPr>
            <w:tcW w:w="1800" w:type="dxa"/>
            <w:shd w:val="clear" w:color="auto" w:fill="E2F0D9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289D98D6" w14:textId="77777777" w:rsidR="003A4DB0" w:rsidRDefault="00000000">
            <w:pPr>
              <w:spacing w:after="0"/>
            </w:pPr>
            <w:r>
              <w:rPr>
                <w:b/>
                <w:color w:val="1F3757"/>
                <w:sz w:val="14"/>
              </w:rPr>
              <w:t>Angle</w:t>
            </w:r>
          </w:p>
        </w:tc>
        <w:tc>
          <w:tcPr>
            <w:tcW w:w="7200" w:type="dxa"/>
            <w:shd w:val="clear" w:color="auto" w:fill="E2F0D9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0FD0097" w14:textId="77777777" w:rsidR="003A4DB0" w:rsidRDefault="00000000">
            <w:pPr>
              <w:spacing w:after="0"/>
            </w:pPr>
            <w:r>
              <w:rPr>
                <w:b/>
                <w:color w:val="1F3757"/>
                <w:sz w:val="14"/>
              </w:rPr>
              <w:t>Fact-based point</w:t>
            </w:r>
          </w:p>
        </w:tc>
        <w:tc>
          <w:tcPr>
            <w:tcW w:w="5544" w:type="dxa"/>
            <w:shd w:val="clear" w:color="auto" w:fill="E2F0D9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50C7932" w14:textId="77777777" w:rsidR="003A4DB0" w:rsidRDefault="00000000">
            <w:pPr>
              <w:spacing w:after="0"/>
            </w:pPr>
            <w:r>
              <w:rPr>
                <w:b/>
                <w:color w:val="1F3757"/>
                <w:sz w:val="14"/>
              </w:rPr>
              <w:t>Question to force evidence</w:t>
            </w:r>
          </w:p>
        </w:tc>
      </w:tr>
      <w:tr w:rsidR="003A4DB0" w14:paraId="630309AA" w14:textId="77777777">
        <w:trPr>
          <w:jc w:val="center"/>
        </w:trPr>
        <w:tc>
          <w:tcPr>
            <w:tcW w:w="180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A8406D2" w14:textId="77777777" w:rsidR="003A4DB0" w:rsidRDefault="00000000">
            <w:pPr>
              <w:spacing w:after="0"/>
            </w:pPr>
            <w:r>
              <w:rPr>
                <w:sz w:val="14"/>
              </w:rPr>
              <w:t>Stress period</w:t>
            </w:r>
          </w:p>
        </w:tc>
        <w:tc>
          <w:tcPr>
            <w:tcW w:w="720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6066D06" w14:textId="0CAAA692" w:rsidR="003A4DB0" w:rsidRDefault="00000000">
            <w:pPr>
              <w:spacing w:after="0"/>
            </w:pPr>
            <w:r>
              <w:rPr>
                <w:sz w:val="14"/>
              </w:rPr>
              <w:t xml:space="preserve">IMCC and SES are built to capture losses from RF changes during substantial market stress. Current-period data quality does not cure a weak GFC representation. [US §__.215(b)(5)-(6); </w:t>
            </w:r>
          </w:p>
        </w:tc>
        <w:tc>
          <w:tcPr>
            <w:tcW w:w="5544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9144A3" w14:textId="269EA603" w:rsidR="003A4DB0" w:rsidRDefault="00000000">
            <w:pPr>
              <w:spacing w:after="0"/>
            </w:pPr>
            <w:r>
              <w:rPr>
                <w:sz w:val="14"/>
              </w:rPr>
              <w:t>Do our 2007–20</w:t>
            </w:r>
            <w:r w:rsidR="00C44658">
              <w:rPr>
                <w:sz w:val="14"/>
              </w:rPr>
              <w:t>19</w:t>
            </w:r>
            <w:r>
              <w:rPr>
                <w:sz w:val="14"/>
              </w:rPr>
              <w:t xml:space="preserve"> histories represent the stress behavior of today’s RFs?</w:t>
            </w:r>
          </w:p>
        </w:tc>
      </w:tr>
      <w:tr w:rsidR="003A4DB0" w14:paraId="6E09F414" w14:textId="77777777">
        <w:trPr>
          <w:jc w:val="center"/>
        </w:trPr>
        <w:tc>
          <w:tcPr>
            <w:tcW w:w="1800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696A08B" w14:textId="77777777" w:rsidR="003A4DB0" w:rsidRDefault="00000000">
            <w:pPr>
              <w:spacing w:after="0"/>
            </w:pPr>
            <w:r>
              <w:rPr>
                <w:sz w:val="14"/>
              </w:rPr>
              <w:t>RFET granularity</w:t>
            </w:r>
          </w:p>
        </w:tc>
        <w:tc>
          <w:tcPr>
            <w:tcW w:w="7200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B99A98B" w14:textId="226B6266" w:rsidR="003A4DB0" w:rsidRDefault="00000000">
            <w:pPr>
              <w:spacing w:after="0"/>
            </w:pPr>
            <w:r>
              <w:rPr>
                <w:sz w:val="14"/>
              </w:rPr>
              <w:t xml:space="preserve">FRTB IMA evaluates modellability at granular RF level; a </w:t>
            </w:r>
            <w:r w:rsidR="004F6E7A">
              <w:rPr>
                <w:sz w:val="14"/>
              </w:rPr>
              <w:t>general</w:t>
            </w:r>
            <w:r>
              <w:rPr>
                <w:sz w:val="14"/>
              </w:rPr>
              <w:t xml:space="preserve"> history does not prove every RF history is eligible/suitable. [US §__.214(a); </w:t>
            </w:r>
          </w:p>
        </w:tc>
        <w:tc>
          <w:tcPr>
            <w:tcW w:w="5544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0A2A6A" w14:textId="7D4D4DD5" w:rsidR="003A4DB0" w:rsidRDefault="007908F3">
            <w:pPr>
              <w:spacing w:after="0"/>
            </w:pPr>
            <w:r w:rsidRPr="007908F3">
              <w:rPr>
                <w:sz w:val="14"/>
              </w:rPr>
              <w:t>For each material risk factor, can we demonstrate that the historical data is reliable, relevant, and supported by defensible lineage in the selected stress period?</w:t>
            </w:r>
          </w:p>
        </w:tc>
      </w:tr>
      <w:tr w:rsidR="003A4DB0" w14:paraId="2DA5ECB3" w14:textId="77777777">
        <w:trPr>
          <w:jc w:val="center"/>
        </w:trPr>
        <w:tc>
          <w:tcPr>
            <w:tcW w:w="180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EE59FBA" w14:textId="77777777" w:rsidR="003A4DB0" w:rsidRDefault="00000000">
            <w:pPr>
              <w:spacing w:after="0"/>
            </w:pPr>
            <w:r>
              <w:rPr>
                <w:sz w:val="14"/>
              </w:rPr>
              <w:t>Qualitative tests</w:t>
            </w:r>
          </w:p>
        </w:tc>
        <w:tc>
          <w:tcPr>
            <w:tcW w:w="720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A2D4ACF" w14:textId="531C38E8" w:rsidR="003A4DB0" w:rsidRDefault="00000000">
            <w:pPr>
              <w:spacing w:after="0"/>
            </w:pPr>
            <w:r>
              <w:rPr>
                <w:sz w:val="14"/>
              </w:rPr>
              <w:t>Data must capture risk, preserve vol/corr, reflect market prices, be maintained, represent stress, and justify proxies. [US §__.214(b)(2)(i)-(vi)]</w:t>
            </w:r>
            <w:r w:rsidR="002C5D05">
              <w:rPr>
                <w:sz w:val="14"/>
              </w:rPr>
              <w:t xml:space="preserve">. If one test fails, RF becomes non modellable </w:t>
            </w:r>
            <w:r w:rsidR="008E4E3E">
              <w:rPr>
                <w:sz w:val="14"/>
              </w:rPr>
              <w:t>risk factor</w:t>
            </w:r>
          </w:p>
        </w:tc>
        <w:tc>
          <w:tcPr>
            <w:tcW w:w="5544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69BAF6E" w14:textId="43ABCA42" w:rsidR="003A4DB0" w:rsidRDefault="005D5B50">
            <w:pPr>
              <w:spacing w:after="0"/>
            </w:pPr>
            <w:r w:rsidRPr="005D5B50">
              <w:rPr>
                <w:sz w:val="14"/>
              </w:rPr>
              <w:t>Can we demonstrate that each risk factor satisfies every applicable qualitative test using the 2007–2019 history, given that failure of an</w:t>
            </w:r>
            <w:r w:rsidR="00FE23E2">
              <w:rPr>
                <w:sz w:val="14"/>
              </w:rPr>
              <w:t>y</w:t>
            </w:r>
            <w:r w:rsidRPr="005D5B50">
              <w:rPr>
                <w:sz w:val="14"/>
              </w:rPr>
              <w:t xml:space="preserve"> applicable test may result in NMRF treatment?</w:t>
            </w:r>
          </w:p>
        </w:tc>
      </w:tr>
      <w:tr w:rsidR="003A4DB0" w14:paraId="363D9840" w14:textId="77777777">
        <w:trPr>
          <w:jc w:val="center"/>
        </w:trPr>
        <w:tc>
          <w:tcPr>
            <w:tcW w:w="1800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1764B6B" w14:textId="77777777" w:rsidR="003A4DB0" w:rsidRDefault="00000000">
            <w:pPr>
              <w:spacing w:after="0"/>
            </w:pPr>
            <w:r>
              <w:rPr>
                <w:sz w:val="14"/>
              </w:rPr>
              <w:t>Proxy discipline</w:t>
            </w:r>
          </w:p>
        </w:tc>
        <w:tc>
          <w:tcPr>
            <w:tcW w:w="7200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2383125" w14:textId="3F2C28DB" w:rsidR="003A4DB0" w:rsidRDefault="006A4211">
            <w:pPr>
              <w:spacing w:after="0"/>
            </w:pPr>
            <w:r>
              <w:t>“</w:t>
            </w:r>
            <w:r w:rsidRPr="006A4211">
              <w:rPr>
                <w:sz w:val="14"/>
              </w:rPr>
              <w:t xml:space="preserve">Best available” is not enough. Proxy </w:t>
            </w:r>
            <w:r>
              <w:rPr>
                <w:sz w:val="14"/>
              </w:rPr>
              <w:t xml:space="preserve">in IMA </w:t>
            </w:r>
            <w:r w:rsidRPr="006A4211">
              <w:rPr>
                <w:sz w:val="14"/>
              </w:rPr>
              <w:t xml:space="preserve">requires convincing empirical </w:t>
            </w:r>
            <w:r>
              <w:rPr>
                <w:sz w:val="14"/>
              </w:rPr>
              <w:t>evidence</w:t>
            </w:r>
            <w:r w:rsidRPr="006A4211">
              <w:rPr>
                <w:sz w:val="14"/>
              </w:rPr>
              <w:t xml:space="preserve"> </w:t>
            </w:r>
            <w:r w:rsidR="001E0EE1">
              <w:rPr>
                <w:sz w:val="14"/>
              </w:rPr>
              <w:br/>
            </w:r>
            <w:r w:rsidR="001E0EE1" w:rsidRPr="00544425">
              <w:rPr>
                <w:b/>
                <w:bCs/>
                <w:sz w:val="14"/>
              </w:rPr>
              <w:t>Similar behavior:</w:t>
            </w:r>
            <w:r w:rsidR="001E0EE1" w:rsidRPr="00544425">
              <w:rPr>
                <w:sz w:val="14"/>
              </w:rPr>
              <w:t xml:space="preserve"> the proxy must have sufficiently similar </w:t>
            </w:r>
            <w:r w:rsidR="001E0EE1" w:rsidRPr="00544425">
              <w:rPr>
                <w:b/>
                <w:bCs/>
                <w:sz w:val="14"/>
              </w:rPr>
              <w:t>volatility and correlation</w:t>
            </w:r>
            <w:r w:rsidR="001E0EE1" w:rsidRPr="00544425">
              <w:rPr>
                <w:sz w:val="14"/>
              </w:rPr>
              <w:t xml:space="preserve"> characteristics to the target risk factor</w:t>
            </w:r>
            <w:r w:rsidR="001E0EE1">
              <w:rPr>
                <w:sz w:val="14"/>
              </w:rPr>
              <w:br/>
            </w:r>
            <w:r w:rsidR="001E0EE1" w:rsidRPr="00544425">
              <w:rPr>
                <w:b/>
                <w:bCs/>
                <w:sz w:val="14"/>
              </w:rPr>
              <w:t>Right fit:</w:t>
            </w:r>
            <w:r w:rsidR="001E0EE1" w:rsidRPr="00544425">
              <w:rPr>
                <w:sz w:val="14"/>
              </w:rPr>
              <w:t xml:space="preserve"> the proxy must be appropriate for the </w:t>
            </w:r>
            <w:r w:rsidR="001E0EE1" w:rsidRPr="00544425">
              <w:rPr>
                <w:b/>
                <w:bCs/>
                <w:sz w:val="14"/>
              </w:rPr>
              <w:t xml:space="preserve">region, </w:t>
            </w:r>
            <w:r w:rsidR="00454743" w:rsidRPr="00544425">
              <w:rPr>
                <w:b/>
                <w:bCs/>
                <w:sz w:val="14"/>
              </w:rPr>
              <w:t>qualit</w:t>
            </w:r>
            <w:r w:rsidR="00454743">
              <w:rPr>
                <w:b/>
                <w:bCs/>
                <w:sz w:val="14"/>
              </w:rPr>
              <w:t xml:space="preserve">y </w:t>
            </w:r>
            <w:r w:rsidR="00454743" w:rsidRPr="00544425">
              <w:rPr>
                <w:b/>
                <w:bCs/>
                <w:sz w:val="14"/>
              </w:rPr>
              <w:t>characteristics</w:t>
            </w:r>
            <w:r w:rsidR="001E0EE1" w:rsidRPr="00544425">
              <w:rPr>
                <w:b/>
                <w:bCs/>
                <w:sz w:val="14"/>
              </w:rPr>
              <w:t>, and instrument type</w:t>
            </w:r>
            <w:r w:rsidR="001E0EE1" w:rsidRPr="00544425">
              <w:rPr>
                <w:sz w:val="14"/>
              </w:rPr>
              <w:t xml:space="preserve"> it represents.</w:t>
            </w:r>
            <w:r w:rsidR="00544425" w:rsidRPr="00544425">
              <w:rPr>
                <w:sz w:val="14"/>
              </w:rPr>
              <w:br/>
            </w:r>
            <w:r w:rsidR="00544425" w:rsidRPr="00544425">
              <w:rPr>
                <w:b/>
                <w:bCs/>
                <w:sz w:val="14"/>
              </w:rPr>
              <w:t>No understatement:</w:t>
            </w:r>
            <w:r w:rsidR="00544425" w:rsidRPr="00544425">
              <w:rPr>
                <w:sz w:val="14"/>
              </w:rPr>
              <w:t xml:space="preserve"> proxy use should not result in an </w:t>
            </w:r>
            <w:r w:rsidR="00544425" w:rsidRPr="00544425">
              <w:rPr>
                <w:b/>
                <w:bCs/>
                <w:sz w:val="14"/>
              </w:rPr>
              <w:t>understatement of risk</w:t>
            </w:r>
            <w:r w:rsidR="00544425" w:rsidRPr="00544425">
              <w:rPr>
                <w:sz w:val="14"/>
              </w:rPr>
              <w:t xml:space="preserve">, including under stress. </w:t>
            </w:r>
            <w:r w:rsidR="00454743">
              <w:rPr>
                <w:sz w:val="14"/>
              </w:rPr>
              <w:br/>
            </w:r>
            <w:r w:rsidR="00544425" w:rsidRPr="00544425">
              <w:rPr>
                <w:b/>
                <w:bCs/>
                <w:sz w:val="14"/>
              </w:rPr>
              <w:t>Basis must be addressed:</w:t>
            </w:r>
            <w:r w:rsidR="00544425" w:rsidRPr="00544425">
              <w:rPr>
                <w:sz w:val="14"/>
              </w:rPr>
              <w:t xml:space="preserve"> where proxy and actual risk differ, the residual </w:t>
            </w:r>
            <w:r w:rsidR="00544425" w:rsidRPr="00544425">
              <w:rPr>
                <w:b/>
                <w:bCs/>
                <w:sz w:val="14"/>
              </w:rPr>
              <w:t>basis risk must be identified and appropriately captured/</w:t>
            </w:r>
            <w:r w:rsidR="00DA6168" w:rsidRPr="00544425">
              <w:rPr>
                <w:b/>
                <w:bCs/>
                <w:sz w:val="14"/>
              </w:rPr>
              <w:t>capitalized</w:t>
            </w:r>
            <w:r w:rsidR="001E0EE1">
              <w:rPr>
                <w:sz w:val="14"/>
              </w:rPr>
              <w:br/>
            </w:r>
            <w:r w:rsidR="00E7304F" w:rsidRPr="006A4211">
              <w:rPr>
                <w:sz w:val="14"/>
              </w:rPr>
              <w:t>.</w:t>
            </w:r>
            <w:r w:rsidR="00000000">
              <w:rPr>
                <w:sz w:val="14"/>
              </w:rPr>
              <w:t xml:space="preserve"> [US §__.214(b)(2)(vi); EBA RTS 2.2.2]</w:t>
            </w:r>
          </w:p>
        </w:tc>
        <w:tc>
          <w:tcPr>
            <w:tcW w:w="5544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0C23A27" w14:textId="5C71B862" w:rsidR="003A4DB0" w:rsidRDefault="00000000">
            <w:pPr>
              <w:spacing w:after="0"/>
            </w:pPr>
            <w:r>
              <w:rPr>
                <w:sz w:val="14"/>
              </w:rPr>
              <w:t>Can USD swaption/cap-floor or USD LIBOR be defended for each target market</w:t>
            </w:r>
            <w:r w:rsidR="000E02D1">
              <w:rPr>
                <w:sz w:val="14"/>
              </w:rPr>
              <w:t xml:space="preserve"> for IR Vol and linear rates? </w:t>
            </w:r>
            <w:r>
              <w:rPr>
                <w:sz w:val="14"/>
              </w:rPr>
              <w:t>?</w:t>
            </w:r>
          </w:p>
        </w:tc>
      </w:tr>
      <w:tr w:rsidR="003A4DB0" w14:paraId="3D0DDBDA" w14:textId="77777777">
        <w:trPr>
          <w:jc w:val="center"/>
        </w:trPr>
        <w:tc>
          <w:tcPr>
            <w:tcW w:w="180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4069DEC" w14:textId="77777777" w:rsidR="003A4DB0" w:rsidRDefault="00000000">
            <w:pPr>
              <w:spacing w:after="0"/>
            </w:pPr>
            <w:r>
              <w:rPr>
                <w:sz w:val="14"/>
              </w:rPr>
              <w:t>RF identification</w:t>
            </w:r>
          </w:p>
        </w:tc>
        <w:tc>
          <w:tcPr>
            <w:tcW w:w="720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CE567C3" w14:textId="2E56DFB5" w:rsidR="003A4DB0" w:rsidRDefault="00B11CD9">
            <w:pPr>
              <w:spacing w:after="0"/>
            </w:pPr>
            <w:r w:rsidRPr="00B11CD9">
              <w:rPr>
                <w:sz w:val="14"/>
              </w:rPr>
              <w:t xml:space="preserve">IMA risk-factor identification is broader than historical availability. under the U.S. </w:t>
            </w:r>
            <w:proofErr w:type="gramStart"/>
            <w:r w:rsidRPr="00B11CD9">
              <w:rPr>
                <w:sz w:val="14"/>
              </w:rPr>
              <w:t>NPR</w:t>
            </w:r>
            <w:r w:rsidRPr="00B11CD9">
              <w:rPr>
                <w:sz w:val="14"/>
              </w:rPr>
              <w:t xml:space="preserve"> </w:t>
            </w:r>
            <w:r>
              <w:rPr>
                <w:sz w:val="14"/>
              </w:rPr>
              <w:t xml:space="preserve"> ,</w:t>
            </w:r>
            <w:proofErr w:type="gramEnd"/>
            <w:r>
              <w:rPr>
                <w:sz w:val="14"/>
              </w:rPr>
              <w:t>t</w:t>
            </w:r>
            <w:r w:rsidRPr="00B11CD9">
              <w:rPr>
                <w:sz w:val="14"/>
              </w:rPr>
              <w:t xml:space="preserve">he </w:t>
            </w:r>
            <w:r>
              <w:rPr>
                <w:sz w:val="14"/>
              </w:rPr>
              <w:t>bank</w:t>
            </w:r>
            <w:r w:rsidRPr="00B11CD9">
              <w:rPr>
                <w:sz w:val="14"/>
              </w:rPr>
              <w:t xml:space="preserve"> must capture all include the risk factors specified in the standardized approach</w:t>
            </w:r>
          </w:p>
        </w:tc>
        <w:tc>
          <w:tcPr>
            <w:tcW w:w="5544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7CA7596" w14:textId="1B54A6AD" w:rsidR="003A4DB0" w:rsidRDefault="00CC357C">
            <w:pPr>
              <w:spacing w:after="0"/>
            </w:pPr>
            <w:r w:rsidRPr="00CC357C">
              <w:rPr>
                <w:sz w:val="14"/>
              </w:rPr>
              <w:t xml:space="preserve">Can we demonstrate that our current all-in forward representation separately captures the required </w:t>
            </w:r>
            <w:r w:rsidRPr="00CC357C">
              <w:rPr>
                <w:b/>
                <w:bCs/>
                <w:sz w:val="14"/>
              </w:rPr>
              <w:t>cross-currency basis and issuer credit-spread risks,</w:t>
            </w:r>
            <w:r w:rsidR="009E124C">
              <w:rPr>
                <w:b/>
                <w:bCs/>
                <w:sz w:val="14"/>
              </w:rPr>
              <w:t xml:space="preserve"> </w:t>
            </w:r>
            <w:r w:rsidR="009E124C" w:rsidRPr="009E124C">
              <w:rPr>
                <w:sz w:val="14"/>
              </w:rPr>
              <w:t>or are those risks embedded within the all-in curve?</w:t>
            </w:r>
          </w:p>
        </w:tc>
      </w:tr>
    </w:tbl>
    <w:p w14:paraId="57B8044C" w14:textId="77777777" w:rsidR="003A4DB0" w:rsidRDefault="00000000">
      <w:r>
        <w:br w:type="page"/>
      </w:r>
    </w:p>
    <w:p w14:paraId="4989CA19" w14:textId="77777777" w:rsidR="003A4DB0" w:rsidRDefault="00000000">
      <w:pPr>
        <w:spacing w:after="20"/>
      </w:pPr>
      <w:r>
        <w:rPr>
          <w:rFonts w:ascii="Aptos Display" w:hAnsi="Aptos Display"/>
          <w:b/>
          <w:color w:val="1F3757"/>
          <w:sz w:val="32"/>
        </w:rPr>
        <w:lastRenderedPageBreak/>
        <w:t>Decision Page: Keep, Validate, Reconstruct, Regenerate, or Treat as NMRF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3A4DB0" w14:paraId="173DDD33" w14:textId="77777777">
        <w:trPr>
          <w:jc w:val="center"/>
        </w:trPr>
        <w:tc>
          <w:tcPr>
            <w:tcW w:w="14544" w:type="dxa"/>
            <w:shd w:val="clear" w:color="auto" w:fill="FFF2CC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1B0FE7" w14:textId="13ABDF03" w:rsidR="003A4DB0" w:rsidRDefault="00000000">
            <w:pPr>
              <w:spacing w:after="0"/>
            </w:pPr>
            <w:r>
              <w:rPr>
                <w:b/>
                <w:color w:val="1F3757"/>
              </w:rPr>
              <w:t>Decision standard</w:t>
            </w:r>
            <w:r>
              <w:t xml:space="preserve"> </w:t>
            </w:r>
            <w:r w:rsidR="00085EE3">
              <w:sym w:font="Wingdings" w:char="F0E0"/>
            </w:r>
            <w:r w:rsidR="00085EE3">
              <w:t xml:space="preserve"> </w:t>
            </w:r>
            <w:r w:rsidR="004E64D3">
              <w:t xml:space="preserve">Prior use alone should not determine the decision. The safer </w:t>
            </w:r>
            <w:r w:rsidR="004E64D3">
              <w:t xml:space="preserve">IMA </w:t>
            </w:r>
            <w:r w:rsidR="004E64D3">
              <w:t>standard is whether the legacy history can be demonstrated to be fit for the current IMA risk-factor representation, selected stress period, and applicable qualitative and proxy requirements.</w:t>
            </w:r>
          </w:p>
        </w:tc>
      </w:tr>
    </w:tbl>
    <w:p w14:paraId="3B5B9D8F" w14:textId="77777777" w:rsidR="003A4DB0" w:rsidRDefault="00000000">
      <w:pPr>
        <w:spacing w:after="20"/>
      </w:pPr>
      <w:r>
        <w:rPr>
          <w:b/>
          <w:color w:val="1F3757"/>
          <w:sz w:val="21"/>
        </w:rPr>
        <w:t>3) Immediate challenge questions for Rates / Volatility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5116"/>
        <w:gridCol w:w="4316"/>
      </w:tblGrid>
      <w:tr w:rsidR="006E6789" w14:paraId="48BAB93C" w14:textId="77777777" w:rsidTr="006E6789">
        <w:trPr>
          <w:jc w:val="center"/>
        </w:trPr>
        <w:tc>
          <w:tcPr>
            <w:tcW w:w="1757" w:type="dxa"/>
            <w:shd w:val="clear" w:color="auto" w:fill="D9EAD3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44B83AFC" w14:textId="77777777" w:rsidR="006E6789" w:rsidRDefault="006E6789">
            <w:pPr>
              <w:spacing w:after="0"/>
            </w:pPr>
            <w:r>
              <w:rPr>
                <w:b/>
                <w:color w:val="1F3757"/>
                <w:sz w:val="13"/>
              </w:rPr>
              <w:t>Area</w:t>
            </w:r>
          </w:p>
        </w:tc>
        <w:tc>
          <w:tcPr>
            <w:tcW w:w="5116" w:type="dxa"/>
            <w:shd w:val="clear" w:color="auto" w:fill="D9EAD3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6ABBACB0" w14:textId="77777777" w:rsidR="006E6789" w:rsidRDefault="006E6789">
            <w:pPr>
              <w:spacing w:after="0"/>
            </w:pPr>
            <w:r>
              <w:rPr>
                <w:b/>
                <w:color w:val="1F3757"/>
                <w:sz w:val="13"/>
              </w:rPr>
              <w:t>Question</w:t>
            </w:r>
          </w:p>
        </w:tc>
        <w:tc>
          <w:tcPr>
            <w:tcW w:w="4316" w:type="dxa"/>
            <w:shd w:val="clear" w:color="auto" w:fill="D9EAD3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CDCBF4B" w14:textId="77777777" w:rsidR="006E6789" w:rsidRDefault="006E6789">
            <w:pPr>
              <w:spacing w:after="0"/>
            </w:pPr>
            <w:r>
              <w:rPr>
                <w:b/>
                <w:color w:val="1F3757"/>
                <w:sz w:val="13"/>
              </w:rPr>
              <w:t>Evidence required</w:t>
            </w:r>
          </w:p>
        </w:tc>
      </w:tr>
      <w:tr w:rsidR="006E6789" w14:paraId="736A48F6" w14:textId="77777777" w:rsidTr="006E6789">
        <w:trPr>
          <w:jc w:val="center"/>
        </w:trPr>
        <w:tc>
          <w:tcPr>
            <w:tcW w:w="1757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E610A3D" w14:textId="77777777" w:rsidR="006E6789" w:rsidRDefault="006E6789">
            <w:pPr>
              <w:spacing w:after="0"/>
            </w:pPr>
            <w:r>
              <w:rPr>
                <w:sz w:val="13"/>
              </w:rPr>
              <w:t>IR Vol proxies</w:t>
            </w:r>
          </w:p>
        </w:tc>
        <w:tc>
          <w:tcPr>
            <w:tcW w:w="5116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BD29F07" w14:textId="5350F42E" w:rsidR="006E6789" w:rsidRDefault="006E6789">
            <w:pPr>
              <w:spacing w:after="0"/>
            </w:pPr>
            <w:r w:rsidRPr="00A53598">
              <w:rPr>
                <w:sz w:val="13"/>
              </w:rPr>
              <w:t xml:space="preserve">Can we rely on </w:t>
            </w:r>
            <w:r w:rsidRPr="00A53598">
              <w:rPr>
                <w:b/>
                <w:bCs/>
                <w:sz w:val="13"/>
              </w:rPr>
              <w:t>USD European swaptions and USD cap/floor volatility</w:t>
            </w:r>
            <w:r w:rsidRPr="00A53598">
              <w:rPr>
                <w:sz w:val="13"/>
              </w:rPr>
              <w:t xml:space="preserve"> as proxies for substantially all IR volatility risk factors during the 2008 stress period?</w:t>
            </w:r>
          </w:p>
        </w:tc>
        <w:tc>
          <w:tcPr>
            <w:tcW w:w="4316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A2B935A" w14:textId="77777777" w:rsidR="006E6789" w:rsidRDefault="006E6789">
            <w:pPr>
              <w:spacing w:after="0"/>
            </w:pPr>
            <w:r>
              <w:rPr>
                <w:sz w:val="13"/>
              </w:rPr>
              <w:t>Vol/corr similarity; region fit; instrument-type fit; stress-period proxy performance; residual basis. [US §__.214(b)(2)(ii),(v),(vi)]</w:t>
            </w:r>
          </w:p>
        </w:tc>
      </w:tr>
      <w:tr w:rsidR="006E6789" w14:paraId="1E625989" w14:textId="77777777" w:rsidTr="006E6789">
        <w:trPr>
          <w:jc w:val="center"/>
        </w:trPr>
        <w:tc>
          <w:tcPr>
            <w:tcW w:w="1757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7DFEE6" w14:textId="77777777" w:rsidR="006E6789" w:rsidRDefault="006E6789">
            <w:pPr>
              <w:spacing w:after="0"/>
            </w:pPr>
            <w:r>
              <w:rPr>
                <w:sz w:val="13"/>
              </w:rPr>
              <w:t>Linear rates proxies</w:t>
            </w:r>
          </w:p>
        </w:tc>
        <w:tc>
          <w:tcPr>
            <w:tcW w:w="5116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5C1FBE7" w14:textId="5F3BAA41" w:rsidR="006E6789" w:rsidRDefault="006E6789">
            <w:pPr>
              <w:spacing w:after="0"/>
              <w:rPr>
                <w:sz w:val="13"/>
              </w:rPr>
            </w:pPr>
            <w:r w:rsidRPr="00E00B74">
              <w:rPr>
                <w:sz w:val="13"/>
              </w:rPr>
              <w:t xml:space="preserve">Linear </w:t>
            </w:r>
            <w:r w:rsidR="00BE72E9" w:rsidRPr="00E00B74">
              <w:rPr>
                <w:sz w:val="13"/>
              </w:rPr>
              <w:t>Rates:</w:t>
            </w:r>
            <w:r w:rsidRPr="00E00B74">
              <w:rPr>
                <w:sz w:val="13"/>
              </w:rPr>
              <w:t xml:space="preserve"> The 2007–2019 history has limited curve coverage, ~9 tenor points, and incomplete lineage between observed and derived/proxied data</w:t>
            </w:r>
          </w:p>
          <w:p w14:paraId="6D4F515B" w14:textId="77777777" w:rsidR="006E6789" w:rsidRDefault="006E6789">
            <w:pPr>
              <w:spacing w:after="0"/>
            </w:pPr>
          </w:p>
          <w:p w14:paraId="088A7BB8" w14:textId="77777777" w:rsidR="006E6789" w:rsidRPr="00951E81" w:rsidRDefault="006E6789">
            <w:pPr>
              <w:spacing w:after="0"/>
              <w:rPr>
                <w:sz w:val="13"/>
              </w:rPr>
            </w:pPr>
            <w:r w:rsidRPr="00951E81">
              <w:rPr>
                <w:sz w:val="13"/>
              </w:rPr>
              <w:t>Can we demonstrate that this legacy history reliably represents today’s IMA linear-rate risk factors during the stress period?</w:t>
            </w:r>
          </w:p>
          <w:p w14:paraId="3CA7C81D" w14:textId="77777777" w:rsidR="006E6789" w:rsidRPr="00951E81" w:rsidRDefault="006E6789">
            <w:pPr>
              <w:spacing w:after="0"/>
              <w:rPr>
                <w:sz w:val="13"/>
              </w:rPr>
            </w:pPr>
          </w:p>
          <w:p w14:paraId="43135969" w14:textId="3A6BD641" w:rsidR="006E6789" w:rsidRDefault="006E6789">
            <w:pPr>
              <w:spacing w:after="0"/>
              <w:rPr>
                <w:sz w:val="13"/>
              </w:rPr>
            </w:pPr>
            <w:r w:rsidRPr="00951E81">
              <w:rPr>
                <w:b/>
                <w:bCs/>
                <w:sz w:val="13"/>
              </w:rPr>
              <w:t>USD LIBOR proxying:</w:t>
            </w:r>
            <w:r w:rsidRPr="00951E81">
              <w:rPr>
                <w:sz w:val="13"/>
              </w:rPr>
              <w:t xml:space="preserve"> Is USD LIBOR an empirically defensible proxy for </w:t>
            </w:r>
            <w:r>
              <w:rPr>
                <w:sz w:val="13"/>
              </w:rPr>
              <w:t xml:space="preserve">large </w:t>
            </w:r>
            <w:r w:rsidRPr="00951E81">
              <w:rPr>
                <w:sz w:val="13"/>
              </w:rPr>
              <w:t>range</w:t>
            </w:r>
            <w:r w:rsidRPr="00951E81">
              <w:rPr>
                <w:sz w:val="13"/>
              </w:rPr>
              <w:t xml:space="preserve"> of curves currently mapped to it?</w:t>
            </w:r>
          </w:p>
          <w:p w14:paraId="7A9936C4" w14:textId="0566F5D9" w:rsidR="006E6789" w:rsidRPr="00951E81" w:rsidRDefault="006E6789">
            <w:pPr>
              <w:spacing w:after="0"/>
              <w:rPr>
                <w:sz w:val="13"/>
              </w:rPr>
            </w:pPr>
            <w:r w:rsidRPr="00951E81">
              <w:rPr>
                <w:b/>
                <w:bCs/>
                <w:sz w:val="13"/>
              </w:rPr>
              <w:t>Cross-currency basis:</w:t>
            </w:r>
            <w:r w:rsidRPr="00951E81">
              <w:rPr>
                <w:sz w:val="13"/>
              </w:rPr>
              <w:t xml:space="preserve"> Does proxying cross-currency/basis risk to a USD </w:t>
            </w:r>
            <w:r>
              <w:rPr>
                <w:sz w:val="13"/>
              </w:rPr>
              <w:t xml:space="preserve">swap </w:t>
            </w:r>
            <w:r w:rsidRPr="00951E81">
              <w:rPr>
                <w:sz w:val="13"/>
              </w:rPr>
              <w:t>rate curve preserve the basis risk, or does it eliminate a distinct risk factor?</w:t>
            </w:r>
          </w:p>
          <w:p w14:paraId="2FA8AF5F" w14:textId="58BC92F5" w:rsidR="006E6789" w:rsidRDefault="006E6789">
            <w:pPr>
              <w:spacing w:after="0"/>
            </w:pPr>
          </w:p>
        </w:tc>
        <w:tc>
          <w:tcPr>
            <w:tcW w:w="4316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55CA5FA" w14:textId="24B4BC40" w:rsidR="006E6789" w:rsidRDefault="006E6789">
            <w:pPr>
              <w:spacing w:after="0"/>
            </w:pPr>
            <w:r>
              <w:rPr>
                <w:sz w:val="13"/>
              </w:rPr>
              <w:t>Can we pass the qualitative tests #2, #5 and #</w:t>
            </w:r>
            <w:proofErr w:type="gramStart"/>
            <w:r>
              <w:rPr>
                <w:sz w:val="13"/>
              </w:rPr>
              <w:t>6 .</w:t>
            </w:r>
            <w:proofErr w:type="gramEnd"/>
            <w:r>
              <w:rPr>
                <w:sz w:val="13"/>
              </w:rPr>
              <w:t xml:space="preserve"> [US §__.214(b)(2)(ii),(vi)]</w:t>
            </w:r>
          </w:p>
        </w:tc>
      </w:tr>
      <w:tr w:rsidR="006E6789" w14:paraId="47128C86" w14:textId="77777777" w:rsidTr="006E6789">
        <w:trPr>
          <w:jc w:val="center"/>
        </w:trPr>
        <w:tc>
          <w:tcPr>
            <w:tcW w:w="1757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E11A12E" w14:textId="77777777" w:rsidR="006E6789" w:rsidRDefault="006E6789">
            <w:pPr>
              <w:spacing w:after="0"/>
            </w:pPr>
            <w:r>
              <w:rPr>
                <w:sz w:val="13"/>
              </w:rPr>
              <w:t>Qual #5 stress fit</w:t>
            </w:r>
          </w:p>
        </w:tc>
        <w:tc>
          <w:tcPr>
            <w:tcW w:w="5116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5613555" w14:textId="77777777" w:rsidR="006E6789" w:rsidRDefault="006E6789">
            <w:pPr>
              <w:spacing w:after="0"/>
            </w:pPr>
            <w:r>
              <w:rPr>
                <w:sz w:val="13"/>
              </w:rPr>
              <w:t>If proxies were not validated in 2008, how do we prove stress-period representativeness?</w:t>
            </w:r>
          </w:p>
        </w:tc>
        <w:tc>
          <w:tcPr>
            <w:tcW w:w="4316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D47CCA1" w14:textId="77777777" w:rsidR="006E6789" w:rsidRDefault="006E6789">
            <w:pPr>
              <w:spacing w:after="0"/>
            </w:pPr>
            <w:r>
              <w:rPr>
                <w:sz w:val="13"/>
              </w:rPr>
              <w:t>Direct stress observations where possible; similar-instrument stress changes; empirical justification for deviations. [US §__.214(b)(2)(v); Basel MAR31.26(6)]</w:t>
            </w:r>
          </w:p>
        </w:tc>
      </w:tr>
      <w:tr w:rsidR="006E6789" w14:paraId="7B56AEE1" w14:textId="77777777" w:rsidTr="006E6789">
        <w:trPr>
          <w:jc w:val="center"/>
        </w:trPr>
        <w:tc>
          <w:tcPr>
            <w:tcW w:w="1757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A5D430" w14:textId="77777777" w:rsidR="006E6789" w:rsidRDefault="006E6789">
            <w:pPr>
              <w:spacing w:after="0"/>
            </w:pPr>
            <w:r>
              <w:rPr>
                <w:sz w:val="13"/>
              </w:rPr>
              <w:t>IR_VOL SABR history</w:t>
            </w:r>
          </w:p>
        </w:tc>
        <w:tc>
          <w:tcPr>
            <w:tcW w:w="5116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DC9F14E" w14:textId="0C7D576C" w:rsidR="006E6789" w:rsidRPr="005533FE" w:rsidRDefault="006E6789">
            <w:pPr>
              <w:spacing w:after="0"/>
              <w:rPr>
                <w:sz w:val="13"/>
              </w:rPr>
            </w:pPr>
            <w:r w:rsidRPr="005533FE">
              <w:rPr>
                <w:sz w:val="13"/>
              </w:rPr>
              <w:t xml:space="preserve">Historically, we did not store the underlying option market data; we only retained the </w:t>
            </w:r>
            <w:r w:rsidRPr="005533FE">
              <w:rPr>
                <w:b/>
                <w:bCs/>
                <w:sz w:val="13"/>
              </w:rPr>
              <w:t>calibrated SABR parameters</w:t>
            </w:r>
            <w:r w:rsidRPr="005533FE">
              <w:rPr>
                <w:sz w:val="13"/>
              </w:rPr>
              <w:t>. Is that sufficient, or do we need the underlying option data to demonstrate the appropriateness and representativeness of the historical risk factors?</w:t>
            </w:r>
          </w:p>
        </w:tc>
        <w:tc>
          <w:tcPr>
            <w:tcW w:w="4316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73B1C32" w14:textId="66542694" w:rsidR="006E6789" w:rsidRDefault="006E6789">
            <w:pPr>
              <w:spacing w:after="0"/>
            </w:pPr>
            <w:r>
              <w:rPr>
                <w:sz w:val="13"/>
              </w:rPr>
              <w:t>need lineage to observed/quoted market prices and calibration evidence. [US §__.214(b)(2)(iii); Basel MAR31.26(1),(4)]</w:t>
            </w:r>
          </w:p>
        </w:tc>
      </w:tr>
      <w:tr w:rsidR="006E6789" w14:paraId="31D68926" w14:textId="77777777" w:rsidTr="006E6789">
        <w:trPr>
          <w:jc w:val="center"/>
        </w:trPr>
        <w:tc>
          <w:tcPr>
            <w:tcW w:w="1757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77FD510" w14:textId="77777777" w:rsidR="006E6789" w:rsidRDefault="006E6789">
            <w:pPr>
              <w:spacing w:after="0"/>
            </w:pPr>
            <w:r>
              <w:rPr>
                <w:sz w:val="13"/>
              </w:rPr>
              <w:t>Qual #2 vol/corr</w:t>
            </w:r>
          </w:p>
        </w:tc>
        <w:tc>
          <w:tcPr>
            <w:tcW w:w="5116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E1DB33D" w14:textId="473A88C0" w:rsidR="006E6789" w:rsidRDefault="006E6789">
            <w:pPr>
              <w:spacing w:after="0"/>
            </w:pPr>
            <w:r w:rsidRPr="00B17F84">
              <w:rPr>
                <w:sz w:val="13"/>
              </w:rPr>
              <w:t xml:space="preserve">Would we be able to demonstrate that the historical representation </w:t>
            </w:r>
            <w:r w:rsidRPr="00B17F84">
              <w:rPr>
                <w:b/>
                <w:bCs/>
                <w:sz w:val="13"/>
              </w:rPr>
              <w:t>preserves the relevant volatility and correlation relationships</w:t>
            </w:r>
            <w:r w:rsidRPr="00B17F84">
              <w:rPr>
                <w:sz w:val="13"/>
              </w:rPr>
              <w:t xml:space="preserve"> if the test is performed using the GFC period?</w:t>
            </w:r>
          </w:p>
        </w:tc>
        <w:tc>
          <w:tcPr>
            <w:tcW w:w="4316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471D845" w14:textId="3B951316" w:rsidR="006E6789" w:rsidRDefault="006E6789">
            <w:pPr>
              <w:spacing w:after="0"/>
            </w:pPr>
            <w:r>
              <w:rPr>
                <w:sz w:val="13"/>
              </w:rPr>
              <w:t>Tail movement, surface/cross-curve correlations, basis volatility, not just scaled vol. [US §__.214(b)(2)(ii); Basel MAR31.26(3)]</w:t>
            </w:r>
          </w:p>
        </w:tc>
      </w:tr>
      <w:tr w:rsidR="001674A5" w14:paraId="7B4A332E" w14:textId="77777777" w:rsidTr="006E6789">
        <w:trPr>
          <w:jc w:val="center"/>
        </w:trPr>
        <w:tc>
          <w:tcPr>
            <w:tcW w:w="1757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E584B8D" w14:textId="286C2C0A" w:rsidR="001674A5" w:rsidRDefault="001674A5" w:rsidP="001674A5">
            <w:pPr>
              <w:spacing w:after="0"/>
            </w:pPr>
            <w:r>
              <w:rPr>
                <w:sz w:val="13"/>
              </w:rPr>
              <w:t>Cross Currency Curves and SSA</w:t>
            </w:r>
          </w:p>
        </w:tc>
        <w:tc>
          <w:tcPr>
            <w:tcW w:w="5116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C572468" w14:textId="1607C1A4" w:rsidR="001674A5" w:rsidRDefault="001674A5" w:rsidP="001674A5">
            <w:pPr>
              <w:spacing w:after="0"/>
            </w:pPr>
            <w:r w:rsidRPr="00CC357C">
              <w:rPr>
                <w:sz w:val="14"/>
              </w:rPr>
              <w:t xml:space="preserve">Can we demonstrate that our current all-in forward representation separately captures the required </w:t>
            </w:r>
            <w:r w:rsidRPr="00CC357C">
              <w:rPr>
                <w:b/>
                <w:bCs/>
                <w:sz w:val="14"/>
              </w:rPr>
              <w:t>cross-currency basis and issuer credit-spread risks,</w:t>
            </w:r>
            <w:r>
              <w:rPr>
                <w:b/>
                <w:bCs/>
                <w:sz w:val="14"/>
              </w:rPr>
              <w:t xml:space="preserve"> </w:t>
            </w:r>
            <w:r w:rsidRPr="009E124C">
              <w:rPr>
                <w:sz w:val="14"/>
              </w:rPr>
              <w:t>or are those risks embedded within the all-in curve?</w:t>
            </w:r>
          </w:p>
        </w:tc>
        <w:tc>
          <w:tcPr>
            <w:tcW w:w="4316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61C8EDC" w14:textId="7B4ED580" w:rsidR="001674A5" w:rsidRDefault="001674A5" w:rsidP="001674A5">
            <w:pPr>
              <w:spacing w:after="0"/>
            </w:pPr>
            <w:r>
              <w:rPr>
                <w:sz w:val="13"/>
              </w:rPr>
              <w:t>RF identification, transformation method, RFET mapping, PLA/RTPL consistency, stress vol/corr preservation; US §__.214]</w:t>
            </w:r>
          </w:p>
        </w:tc>
      </w:tr>
    </w:tbl>
    <w:p w14:paraId="51439F05" w14:textId="77777777" w:rsidR="00900809" w:rsidRDefault="00900809">
      <w:pPr>
        <w:rPr>
          <w:rFonts w:ascii="Aptos Display" w:hAnsi="Aptos Display"/>
          <w:b/>
          <w:color w:val="1F3757"/>
          <w:sz w:val="32"/>
        </w:rPr>
      </w:pPr>
    </w:p>
    <w:p w14:paraId="5194B031" w14:textId="77777777" w:rsidR="00900809" w:rsidRDefault="00900809">
      <w:pPr>
        <w:rPr>
          <w:rFonts w:ascii="Aptos Display" w:hAnsi="Aptos Display"/>
          <w:b/>
          <w:color w:val="1F3757"/>
          <w:sz w:val="32"/>
        </w:rPr>
      </w:pPr>
    </w:p>
    <w:p w14:paraId="143E8474" w14:textId="77777777" w:rsidR="00900809" w:rsidRDefault="00900809">
      <w:pPr>
        <w:rPr>
          <w:rFonts w:ascii="Aptos Display" w:hAnsi="Aptos Display"/>
          <w:b/>
          <w:color w:val="1F3757"/>
          <w:sz w:val="32"/>
        </w:rPr>
      </w:pPr>
    </w:p>
    <w:p w14:paraId="73A8B05A" w14:textId="77777777" w:rsidR="00900809" w:rsidRDefault="00900809">
      <w:pPr>
        <w:rPr>
          <w:rFonts w:ascii="Aptos Display" w:hAnsi="Aptos Display"/>
          <w:b/>
          <w:color w:val="1F3757"/>
          <w:sz w:val="32"/>
        </w:rPr>
      </w:pPr>
    </w:p>
    <w:p w14:paraId="0CB51894" w14:textId="77777777" w:rsidR="00900809" w:rsidRDefault="00900809">
      <w:pPr>
        <w:rPr>
          <w:rFonts w:ascii="Aptos Display" w:hAnsi="Aptos Display"/>
          <w:b/>
          <w:color w:val="1F3757"/>
          <w:sz w:val="32"/>
        </w:rPr>
      </w:pPr>
    </w:p>
    <w:p w14:paraId="376EE3F3" w14:textId="77777777" w:rsidR="00900809" w:rsidRDefault="00900809">
      <w:pPr>
        <w:rPr>
          <w:rFonts w:ascii="Aptos Display" w:hAnsi="Aptos Display"/>
          <w:b/>
          <w:color w:val="1F3757"/>
          <w:sz w:val="32"/>
        </w:rPr>
      </w:pPr>
    </w:p>
    <w:p w14:paraId="0A353C6A" w14:textId="77777777" w:rsidR="00900809" w:rsidRDefault="00900809">
      <w:pPr>
        <w:rPr>
          <w:rFonts w:ascii="Aptos Display" w:hAnsi="Aptos Display"/>
          <w:b/>
          <w:color w:val="1F3757"/>
          <w:sz w:val="32"/>
        </w:rPr>
      </w:pPr>
    </w:p>
    <w:p w14:paraId="477775F8" w14:textId="77777777" w:rsidR="00900809" w:rsidRDefault="00900809">
      <w:pPr>
        <w:rPr>
          <w:rFonts w:ascii="Aptos Display" w:hAnsi="Aptos Display"/>
          <w:b/>
          <w:color w:val="1F3757"/>
          <w:sz w:val="32"/>
        </w:rPr>
      </w:pPr>
    </w:p>
    <w:p w14:paraId="0291EFA5" w14:textId="77777777" w:rsidR="00900809" w:rsidRDefault="00900809">
      <w:pPr>
        <w:rPr>
          <w:rFonts w:ascii="Aptos Display" w:hAnsi="Aptos Display"/>
          <w:b/>
          <w:color w:val="1F3757"/>
          <w:sz w:val="32"/>
        </w:rPr>
      </w:pPr>
    </w:p>
    <w:p w14:paraId="1A9D2705" w14:textId="77777777" w:rsidR="00900809" w:rsidRDefault="00900809">
      <w:pPr>
        <w:rPr>
          <w:rFonts w:ascii="Aptos Display" w:hAnsi="Aptos Display"/>
          <w:b/>
          <w:color w:val="1F3757"/>
          <w:sz w:val="32"/>
        </w:rPr>
      </w:pPr>
    </w:p>
    <w:p w14:paraId="7457DC9A" w14:textId="77777777" w:rsidR="00900809" w:rsidRDefault="00900809">
      <w:pPr>
        <w:rPr>
          <w:rFonts w:ascii="Aptos Display" w:hAnsi="Aptos Display"/>
          <w:b/>
          <w:color w:val="1F3757"/>
          <w:sz w:val="32"/>
        </w:rPr>
      </w:pPr>
    </w:p>
    <w:p w14:paraId="2B5CD143" w14:textId="77777777" w:rsidR="00900809" w:rsidRDefault="00900809">
      <w:pPr>
        <w:rPr>
          <w:rFonts w:ascii="Aptos Display" w:hAnsi="Aptos Display"/>
          <w:b/>
          <w:color w:val="1F3757"/>
          <w:sz w:val="32"/>
        </w:rPr>
      </w:pPr>
    </w:p>
    <w:p w14:paraId="56DD20BD" w14:textId="77777777" w:rsidR="00900809" w:rsidRDefault="00900809">
      <w:pPr>
        <w:rPr>
          <w:rFonts w:ascii="Aptos Display" w:hAnsi="Aptos Display"/>
          <w:b/>
          <w:color w:val="1F3757"/>
          <w:sz w:val="32"/>
        </w:rPr>
      </w:pPr>
    </w:p>
    <w:p w14:paraId="3808677E" w14:textId="2F86C8F3" w:rsidR="003A4DB0" w:rsidRDefault="00000000">
      <w:r>
        <w:rPr>
          <w:rFonts w:ascii="Aptos Display" w:hAnsi="Aptos Display"/>
          <w:b/>
          <w:color w:val="1F3757"/>
          <w:sz w:val="32"/>
        </w:rPr>
        <w:t>Appendix A — Rule Support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632"/>
        <w:gridCol w:w="4680"/>
      </w:tblGrid>
      <w:tr w:rsidR="003A4DB0" w14:paraId="225AABFD" w14:textId="77777777">
        <w:trPr>
          <w:jc w:val="center"/>
        </w:trPr>
        <w:tc>
          <w:tcPr>
            <w:tcW w:w="2232" w:type="dxa"/>
            <w:shd w:val="clear" w:color="auto" w:fill="D9E2F3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5772F3B" w14:textId="77777777" w:rsidR="003A4DB0" w:rsidRDefault="00000000">
            <w:pPr>
              <w:spacing w:after="0"/>
            </w:pPr>
            <w:r>
              <w:rPr>
                <w:b/>
                <w:color w:val="1F3757"/>
                <w:sz w:val="14"/>
              </w:rPr>
              <w:t>Topic</w:t>
            </w:r>
          </w:p>
        </w:tc>
        <w:tc>
          <w:tcPr>
            <w:tcW w:w="7632" w:type="dxa"/>
            <w:shd w:val="clear" w:color="auto" w:fill="D9E2F3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85BB7D6" w14:textId="77777777" w:rsidR="003A4DB0" w:rsidRDefault="00000000">
            <w:pPr>
              <w:spacing w:after="0"/>
            </w:pPr>
            <w:r>
              <w:rPr>
                <w:b/>
                <w:color w:val="1F3757"/>
                <w:sz w:val="14"/>
              </w:rPr>
              <w:t>Rule point</w:t>
            </w:r>
          </w:p>
        </w:tc>
        <w:tc>
          <w:tcPr>
            <w:tcW w:w="4680" w:type="dxa"/>
            <w:shd w:val="clear" w:color="auto" w:fill="D9E2F3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31A85892" w14:textId="77777777" w:rsidR="003A4DB0" w:rsidRDefault="00000000">
            <w:pPr>
              <w:spacing w:after="0"/>
            </w:pPr>
            <w:r>
              <w:rPr>
                <w:b/>
                <w:color w:val="1F3757"/>
                <w:sz w:val="14"/>
              </w:rPr>
              <w:t>Primary reference</w:t>
            </w:r>
          </w:p>
        </w:tc>
      </w:tr>
      <w:tr w:rsidR="003A4DB0" w14:paraId="2D2B7971" w14:textId="77777777">
        <w:trPr>
          <w:jc w:val="center"/>
        </w:trPr>
        <w:tc>
          <w:tcPr>
            <w:tcW w:w="223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B84BF50" w14:textId="77777777" w:rsidR="003A4DB0" w:rsidRDefault="00000000">
            <w:pPr>
              <w:spacing w:after="0"/>
            </w:pPr>
            <w:r>
              <w:rPr>
                <w:sz w:val="14"/>
              </w:rPr>
              <w:t>Stress calibration</w:t>
            </w:r>
          </w:p>
        </w:tc>
        <w:tc>
          <w:tcPr>
            <w:tcW w:w="763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EAC0E97" w14:textId="77777777" w:rsidR="003A4DB0" w:rsidRDefault="00000000">
            <w:pPr>
              <w:spacing w:after="0"/>
            </w:pPr>
            <w:r>
              <w:rPr>
                <w:sz w:val="14"/>
              </w:rPr>
              <w:t>IMCC/SES are intended to capture losses from RF changes during substantial market stress; stress period must be identified; direct approach uses full RF set in stressed ES, with proxies subject to the qualitative proxy standard.</w:t>
            </w:r>
          </w:p>
        </w:tc>
        <w:tc>
          <w:tcPr>
            <w:tcW w:w="468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9B8AF58" w14:textId="77777777" w:rsidR="003A4DB0" w:rsidRDefault="00000000">
            <w:pPr>
              <w:spacing w:after="0"/>
            </w:pPr>
            <w:r>
              <w:rPr>
                <w:sz w:val="14"/>
              </w:rPr>
              <w:t>U.S. NPR 91 FR 14952; proposed §__.215(b)(5)-(6); §__.215(c)-(d); Federal Register discussion of IMCC/SES.</w:t>
            </w:r>
          </w:p>
        </w:tc>
      </w:tr>
      <w:tr w:rsidR="003A4DB0" w14:paraId="3DDC6666" w14:textId="77777777">
        <w:trPr>
          <w:jc w:val="center"/>
        </w:trPr>
        <w:tc>
          <w:tcPr>
            <w:tcW w:w="2232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7DEBFE9" w14:textId="77777777" w:rsidR="003A4DB0" w:rsidRDefault="00000000">
            <w:pPr>
              <w:spacing w:after="0"/>
            </w:pPr>
            <w:r>
              <w:rPr>
                <w:sz w:val="14"/>
              </w:rPr>
              <w:t>RFET / NMRF</w:t>
            </w:r>
          </w:p>
        </w:tc>
        <w:tc>
          <w:tcPr>
            <w:tcW w:w="7632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7754202" w14:textId="77777777" w:rsidR="003A4DB0" w:rsidRDefault="00000000">
            <w:pPr>
              <w:spacing w:after="0"/>
            </w:pPr>
            <w:r>
              <w:rPr>
                <w:sz w:val="14"/>
              </w:rPr>
              <w:t>FRTB separates modellable and non-modellable RFs. Current-period real-price observations determine modellability; NMRFs receive separate stress-scenario treatment.</w:t>
            </w:r>
          </w:p>
        </w:tc>
        <w:tc>
          <w:tcPr>
            <w:tcW w:w="4680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8722404" w14:textId="77777777" w:rsidR="003A4DB0" w:rsidRDefault="00000000">
            <w:pPr>
              <w:spacing w:after="0"/>
            </w:pPr>
            <w:r>
              <w:rPr>
                <w:sz w:val="14"/>
              </w:rPr>
              <w:t>U.S. NPR proposed §__.214(a); Basel MAR31.1-.3 and MAR31.12-.19; Basel MAR33 NMRF capital.</w:t>
            </w:r>
          </w:p>
        </w:tc>
      </w:tr>
      <w:tr w:rsidR="003A4DB0" w14:paraId="14DC9CF1" w14:textId="77777777">
        <w:trPr>
          <w:jc w:val="center"/>
        </w:trPr>
        <w:tc>
          <w:tcPr>
            <w:tcW w:w="223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B5132B1" w14:textId="77777777" w:rsidR="003A4DB0" w:rsidRDefault="00000000">
            <w:pPr>
              <w:spacing w:after="0"/>
            </w:pPr>
            <w:r>
              <w:rPr>
                <w:sz w:val="14"/>
              </w:rPr>
              <w:t>Qualitative Test #2</w:t>
            </w:r>
          </w:p>
        </w:tc>
        <w:tc>
          <w:tcPr>
            <w:tcW w:w="763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5128FC3" w14:textId="77777777" w:rsidR="003A4DB0" w:rsidRDefault="00000000">
            <w:pPr>
              <w:spacing w:after="0"/>
            </w:pPr>
            <w:r>
              <w:rPr>
                <w:sz w:val="14"/>
              </w:rPr>
              <w:t>Data must reflect volatility and correlation; sources and transformations must not understate volatility or distort correlations.</w:t>
            </w:r>
          </w:p>
        </w:tc>
        <w:tc>
          <w:tcPr>
            <w:tcW w:w="468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421EF0D" w14:textId="77777777" w:rsidR="003A4DB0" w:rsidRDefault="00000000">
            <w:pPr>
              <w:spacing w:after="0"/>
            </w:pPr>
            <w:r>
              <w:rPr>
                <w:sz w:val="14"/>
              </w:rPr>
              <w:t>U.S. NPR proposed §__.214(b)(2)(ii); Basel MAR31.26(3).</w:t>
            </w:r>
          </w:p>
        </w:tc>
      </w:tr>
      <w:tr w:rsidR="003A4DB0" w14:paraId="3EADD116" w14:textId="77777777">
        <w:trPr>
          <w:jc w:val="center"/>
        </w:trPr>
        <w:tc>
          <w:tcPr>
            <w:tcW w:w="2232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E7D8D82" w14:textId="77777777" w:rsidR="003A4DB0" w:rsidRDefault="00000000">
            <w:pPr>
              <w:spacing w:after="0"/>
            </w:pPr>
            <w:r>
              <w:rPr>
                <w:sz w:val="14"/>
              </w:rPr>
              <w:t>Qualitative Test #3</w:t>
            </w:r>
          </w:p>
        </w:tc>
        <w:tc>
          <w:tcPr>
            <w:tcW w:w="7632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1AAAAC3" w14:textId="77777777" w:rsidR="003A4DB0" w:rsidRDefault="00000000">
            <w:pPr>
              <w:spacing w:after="0"/>
            </w:pPr>
            <w:r>
              <w:rPr>
                <w:sz w:val="14"/>
              </w:rPr>
              <w:t>Data must reflect observed/quoted market prices; non-real-price data must be representative.</w:t>
            </w:r>
          </w:p>
        </w:tc>
        <w:tc>
          <w:tcPr>
            <w:tcW w:w="4680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B65E277" w14:textId="77777777" w:rsidR="003A4DB0" w:rsidRDefault="00000000">
            <w:pPr>
              <w:spacing w:after="0"/>
            </w:pPr>
            <w:r>
              <w:rPr>
                <w:sz w:val="14"/>
              </w:rPr>
              <w:t>U.S. NPR proposed §__.214(b)(2)(iii); Basel MAR31.26(4).</w:t>
            </w:r>
          </w:p>
        </w:tc>
      </w:tr>
      <w:tr w:rsidR="003A4DB0" w14:paraId="5F2E5948" w14:textId="77777777">
        <w:trPr>
          <w:jc w:val="center"/>
        </w:trPr>
        <w:tc>
          <w:tcPr>
            <w:tcW w:w="223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3B1B86" w14:textId="77777777" w:rsidR="003A4DB0" w:rsidRDefault="00000000">
            <w:pPr>
              <w:spacing w:after="0"/>
            </w:pPr>
            <w:r>
              <w:rPr>
                <w:sz w:val="14"/>
              </w:rPr>
              <w:t>Qualitative Test #5</w:t>
            </w:r>
          </w:p>
        </w:tc>
        <w:tc>
          <w:tcPr>
            <w:tcW w:w="763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F9BB80C" w14:textId="77777777" w:rsidR="003A4DB0" w:rsidRDefault="00000000">
            <w:pPr>
              <w:spacing w:after="0"/>
            </w:pPr>
            <w:r>
              <w:rPr>
                <w:sz w:val="14"/>
              </w:rPr>
              <w:t>Stress data must reflect market prices from the stress period; direct sourcing preferred; deviations or similar-instrument substitutes require empirical justification.</w:t>
            </w:r>
          </w:p>
        </w:tc>
        <w:tc>
          <w:tcPr>
            <w:tcW w:w="468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3F0926E" w14:textId="77777777" w:rsidR="003A4DB0" w:rsidRDefault="00000000">
            <w:pPr>
              <w:spacing w:after="0"/>
            </w:pPr>
            <w:r>
              <w:rPr>
                <w:sz w:val="14"/>
              </w:rPr>
              <w:t>U.S. NPR proposed §__.214(b)(2)(v); Basel MAR31.26(6); EBA/GL/2021/07 §4.1.2.</w:t>
            </w:r>
          </w:p>
        </w:tc>
      </w:tr>
      <w:tr w:rsidR="003A4DB0" w14:paraId="5532CEF5" w14:textId="77777777">
        <w:trPr>
          <w:jc w:val="center"/>
        </w:trPr>
        <w:tc>
          <w:tcPr>
            <w:tcW w:w="2232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023F866" w14:textId="77777777" w:rsidR="003A4DB0" w:rsidRDefault="00000000">
            <w:pPr>
              <w:spacing w:after="0"/>
            </w:pPr>
            <w:r>
              <w:rPr>
                <w:sz w:val="14"/>
              </w:rPr>
              <w:t>Qualitative Test #6 / proxies</w:t>
            </w:r>
          </w:p>
        </w:tc>
        <w:tc>
          <w:tcPr>
            <w:tcW w:w="7632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EFD2158" w14:textId="77777777" w:rsidR="003A4DB0" w:rsidRDefault="00000000">
            <w:pPr>
              <w:spacing w:after="0"/>
            </w:pPr>
            <w:r>
              <w:rPr>
                <w:sz w:val="14"/>
              </w:rPr>
              <w:t>Proxies require evidence, similar vol/corr, and region/credit-spread/quality/instrument-type appropriateness. Basel says proxy use must be limited and empirically sound.</w:t>
            </w:r>
          </w:p>
        </w:tc>
        <w:tc>
          <w:tcPr>
            <w:tcW w:w="4680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FF500F6" w14:textId="77777777" w:rsidR="003A4DB0" w:rsidRDefault="00000000">
            <w:pPr>
              <w:spacing w:after="0"/>
            </w:pPr>
            <w:r>
              <w:rPr>
                <w:sz w:val="14"/>
              </w:rPr>
              <w:t>U.S. NPR proposed §__.214(b)(2)(vi); Basel MAR31.26(7); EBA RTS final report §2.2.2.</w:t>
            </w:r>
          </w:p>
        </w:tc>
      </w:tr>
      <w:tr w:rsidR="003A4DB0" w14:paraId="44BCE404" w14:textId="77777777">
        <w:trPr>
          <w:jc w:val="center"/>
        </w:trPr>
        <w:tc>
          <w:tcPr>
            <w:tcW w:w="223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93A74EF" w14:textId="77777777" w:rsidR="003A4DB0" w:rsidRDefault="00000000">
            <w:pPr>
              <w:spacing w:after="0"/>
            </w:pPr>
            <w:r>
              <w:rPr>
                <w:sz w:val="14"/>
              </w:rPr>
              <w:t>Basel 2.5 baseline</w:t>
            </w:r>
          </w:p>
        </w:tc>
        <w:tc>
          <w:tcPr>
            <w:tcW w:w="7632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2A4A5D3" w14:textId="77777777" w:rsidR="003A4DB0" w:rsidRDefault="00000000">
            <w:pPr>
              <w:spacing w:after="0"/>
            </w:pPr>
            <w:r>
              <w:rPr>
                <w:sz w:val="14"/>
              </w:rPr>
              <w:t>Basel 2.5 added stressed VaR based on a 12-month stress period, but did not introduce FRTB-style RFET for every RF or NMRF treatment for individual insufficient-data RFs.</w:t>
            </w:r>
          </w:p>
        </w:tc>
        <w:tc>
          <w:tcPr>
            <w:tcW w:w="4680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7A87EA" w14:textId="77777777" w:rsidR="003A4DB0" w:rsidRDefault="00000000">
            <w:pPr>
              <w:spacing w:after="0"/>
            </w:pPr>
            <w:r>
              <w:rPr>
                <w:sz w:val="14"/>
              </w:rPr>
              <w:t>BCBS, Revisions to the Basel II market risk framework (2011); BIS press release June 18, 2010.</w:t>
            </w:r>
          </w:p>
        </w:tc>
      </w:tr>
    </w:tbl>
    <w:p w14:paraId="1D843649" w14:textId="77777777" w:rsidR="003A4DB0" w:rsidRDefault="00000000">
      <w:r>
        <w:br w:type="page"/>
      </w:r>
    </w:p>
    <w:p w14:paraId="74235746" w14:textId="18B4E653" w:rsidR="003A4DB0" w:rsidRDefault="00000000">
      <w:r>
        <w:rPr>
          <w:rFonts w:ascii="Aptos Display" w:hAnsi="Aptos Display"/>
          <w:b/>
          <w:color w:val="1F3757"/>
          <w:sz w:val="32"/>
        </w:rPr>
        <w:lastRenderedPageBreak/>
        <w:t>Appendix B — Question</w:t>
      </w:r>
      <w:r w:rsidR="00356EFB">
        <w:rPr>
          <w:rFonts w:ascii="Aptos Display" w:hAnsi="Aptos Display"/>
          <w:b/>
          <w:color w:val="1F3757"/>
          <w:sz w:val="32"/>
        </w:rPr>
        <w:t>s to consider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2096"/>
      </w:tblGrid>
      <w:tr w:rsidR="003A4DB0" w14:paraId="284876E9" w14:textId="77777777">
        <w:trPr>
          <w:jc w:val="center"/>
        </w:trPr>
        <w:tc>
          <w:tcPr>
            <w:tcW w:w="2448" w:type="dxa"/>
            <w:shd w:val="clear" w:color="auto" w:fill="EAF0F8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0AD80095" w14:textId="77777777" w:rsidR="003A4DB0" w:rsidRDefault="00000000">
            <w:pPr>
              <w:spacing w:after="0"/>
            </w:pPr>
            <w:r>
              <w:rPr>
                <w:b/>
                <w:color w:val="1F3757"/>
                <w:sz w:val="16"/>
              </w:rPr>
              <w:t>Angle</w:t>
            </w:r>
          </w:p>
        </w:tc>
        <w:tc>
          <w:tcPr>
            <w:tcW w:w="12096" w:type="dxa"/>
            <w:shd w:val="clear" w:color="auto" w:fill="EAF0F8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14:paraId="1B9B1A30" w14:textId="77777777" w:rsidR="003A4DB0" w:rsidRDefault="00000000">
            <w:pPr>
              <w:spacing w:after="0"/>
            </w:pPr>
            <w:r>
              <w:rPr>
                <w:b/>
                <w:color w:val="1F3757"/>
                <w:sz w:val="16"/>
              </w:rPr>
              <w:t>Meeting question</w:t>
            </w:r>
          </w:p>
        </w:tc>
      </w:tr>
      <w:tr w:rsidR="003A4DB0" w14:paraId="3EA584C1" w14:textId="77777777">
        <w:trPr>
          <w:jc w:val="center"/>
        </w:trPr>
        <w:tc>
          <w:tcPr>
            <w:tcW w:w="2448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7F068974" w14:textId="77777777" w:rsidR="003A4DB0" w:rsidRDefault="00000000">
            <w:pPr>
              <w:spacing w:after="0"/>
            </w:pPr>
            <w:r>
              <w:rPr>
                <w:sz w:val="16"/>
              </w:rPr>
              <w:t>Standard-setting</w:t>
            </w:r>
          </w:p>
        </w:tc>
        <w:tc>
          <w:tcPr>
            <w:tcW w:w="12096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8D42BEA" w14:textId="77777777" w:rsidR="003A4DB0" w:rsidRDefault="00000000">
            <w:pPr>
              <w:spacing w:after="0"/>
            </w:pPr>
            <w:r>
              <w:rPr>
                <w:sz w:val="16"/>
              </w:rPr>
              <w:t>What evidence standard are we agreeing to: operational availability, prior Basel 2.5 use, or FRTB IMA qualitative-test compliance?</w:t>
            </w:r>
          </w:p>
        </w:tc>
      </w:tr>
      <w:tr w:rsidR="003A4DB0" w14:paraId="4CB02720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EE2A44C" w14:textId="77777777" w:rsidR="003A4DB0" w:rsidRDefault="00000000">
            <w:pPr>
              <w:spacing w:after="0"/>
            </w:pPr>
            <w:r>
              <w:rPr>
                <w:sz w:val="16"/>
              </w:rPr>
              <w:t>Stress window</w:t>
            </w:r>
          </w:p>
        </w:tc>
        <w:tc>
          <w:tcPr>
            <w:tcW w:w="12096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7C5DCB1" w14:textId="77777777" w:rsidR="003A4DB0" w:rsidRDefault="00000000">
            <w:pPr>
              <w:spacing w:after="0"/>
            </w:pPr>
            <w:r>
              <w:rPr>
                <w:sz w:val="16"/>
              </w:rPr>
              <w:t>Which RF histories are actually sourced from 2007–2009 market observations, and which are derived from later/current relationships?</w:t>
            </w:r>
          </w:p>
        </w:tc>
      </w:tr>
      <w:tr w:rsidR="003A4DB0" w14:paraId="25841423" w14:textId="77777777">
        <w:trPr>
          <w:jc w:val="center"/>
        </w:trPr>
        <w:tc>
          <w:tcPr>
            <w:tcW w:w="2448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CD9D2A4" w14:textId="77777777" w:rsidR="003A4DB0" w:rsidRDefault="00000000">
            <w:pPr>
              <w:spacing w:after="0"/>
            </w:pPr>
            <w:r>
              <w:rPr>
                <w:sz w:val="16"/>
              </w:rPr>
              <w:t>Proxy evidence</w:t>
            </w:r>
          </w:p>
        </w:tc>
        <w:tc>
          <w:tcPr>
            <w:tcW w:w="12096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B729326" w14:textId="77777777" w:rsidR="003A4DB0" w:rsidRDefault="00000000">
            <w:pPr>
              <w:spacing w:after="0"/>
            </w:pPr>
            <w:r>
              <w:rPr>
                <w:sz w:val="16"/>
              </w:rPr>
              <w:t>For each proxy, where is the empirical proof of volatility/correlation similarity and region/type suitability?</w:t>
            </w:r>
          </w:p>
        </w:tc>
      </w:tr>
      <w:tr w:rsidR="003A4DB0" w14:paraId="001DBF3F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57055BF4" w14:textId="7F4CF8C6" w:rsidR="003A4DB0" w:rsidRDefault="00000000">
            <w:pPr>
              <w:spacing w:after="0"/>
            </w:pPr>
            <w:r>
              <w:rPr>
                <w:sz w:val="16"/>
              </w:rPr>
              <w:t>USD-for-</w:t>
            </w:r>
            <w:r w:rsidR="007E5424">
              <w:rPr>
                <w:sz w:val="16"/>
              </w:rPr>
              <w:t xml:space="preserve">the majority </w:t>
            </w:r>
          </w:p>
        </w:tc>
        <w:tc>
          <w:tcPr>
            <w:tcW w:w="12096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3A5864C" w14:textId="77777777" w:rsidR="003A4DB0" w:rsidRDefault="00000000">
            <w:pPr>
              <w:spacing w:after="0"/>
            </w:pPr>
            <w:r>
              <w:rPr>
                <w:sz w:val="16"/>
              </w:rPr>
              <w:t>Which mappings are truly “same risk, different currency,” and which are “different risk, different instrument”?</w:t>
            </w:r>
          </w:p>
        </w:tc>
      </w:tr>
      <w:tr w:rsidR="003A4DB0" w14:paraId="109CE396" w14:textId="77777777">
        <w:trPr>
          <w:jc w:val="center"/>
        </w:trPr>
        <w:tc>
          <w:tcPr>
            <w:tcW w:w="2448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03E78C1" w14:textId="77777777" w:rsidR="003A4DB0" w:rsidRDefault="00000000">
            <w:pPr>
              <w:spacing w:after="0"/>
            </w:pPr>
            <w:r>
              <w:rPr>
                <w:sz w:val="16"/>
              </w:rPr>
              <w:t>Current vs stress</w:t>
            </w:r>
          </w:p>
        </w:tc>
        <w:tc>
          <w:tcPr>
            <w:tcW w:w="12096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7AB45AD" w14:textId="77777777" w:rsidR="003A4DB0" w:rsidRDefault="00000000">
            <w:pPr>
              <w:spacing w:after="0"/>
            </w:pPr>
            <w:r>
              <w:rPr>
                <w:sz w:val="16"/>
              </w:rPr>
              <w:t>Are we relying on current-period relationships to defend GFC proxies? If yes, what evidence shows those relationships held under stress?</w:t>
            </w:r>
          </w:p>
        </w:tc>
      </w:tr>
      <w:tr w:rsidR="003A4DB0" w14:paraId="3EF348C6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DD3A018" w14:textId="77777777" w:rsidR="003A4DB0" w:rsidRDefault="00000000">
            <w:pPr>
              <w:spacing w:after="0"/>
            </w:pPr>
            <w:r>
              <w:rPr>
                <w:sz w:val="16"/>
              </w:rPr>
              <w:t>Basis risk</w:t>
            </w:r>
          </w:p>
        </w:tc>
        <w:tc>
          <w:tcPr>
            <w:tcW w:w="12096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6AB1B82B" w14:textId="77777777" w:rsidR="003A4DB0" w:rsidRDefault="00000000">
            <w:pPr>
              <w:spacing w:after="0"/>
            </w:pPr>
            <w:r>
              <w:rPr>
                <w:sz w:val="16"/>
              </w:rPr>
              <w:t>What is the proxy-target basis, how volatile was it in stress, and where is it capitalized?</w:t>
            </w:r>
          </w:p>
        </w:tc>
      </w:tr>
      <w:tr w:rsidR="003A4DB0" w14:paraId="315721E2" w14:textId="77777777">
        <w:trPr>
          <w:jc w:val="center"/>
        </w:trPr>
        <w:tc>
          <w:tcPr>
            <w:tcW w:w="2448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163BB723" w14:textId="77777777" w:rsidR="003A4DB0" w:rsidRDefault="00000000">
            <w:pPr>
              <w:spacing w:after="0"/>
            </w:pPr>
            <w:r>
              <w:rPr>
                <w:sz w:val="16"/>
              </w:rPr>
              <w:t>SABR/IR vol</w:t>
            </w:r>
          </w:p>
        </w:tc>
        <w:tc>
          <w:tcPr>
            <w:tcW w:w="12096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0BED8013" w14:textId="77777777" w:rsidR="003A4DB0" w:rsidRDefault="00000000">
            <w:pPr>
              <w:spacing w:after="0"/>
            </w:pPr>
            <w:r>
              <w:rPr>
                <w:sz w:val="16"/>
              </w:rPr>
              <w:t>Can we tie historical alpha/rho/nu back to option quotes, strikes, expiries, forwards, and calibration methodology?</w:t>
            </w:r>
          </w:p>
        </w:tc>
      </w:tr>
      <w:tr w:rsidR="003A4DB0" w14:paraId="6E0A7A0B" w14:textId="77777777">
        <w:trPr>
          <w:jc w:val="center"/>
        </w:trPr>
        <w:tc>
          <w:tcPr>
            <w:tcW w:w="2448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3151E3CB" w14:textId="77777777" w:rsidR="003A4DB0" w:rsidRDefault="00000000">
            <w:pPr>
              <w:spacing w:after="0"/>
            </w:pPr>
            <w:r>
              <w:rPr>
                <w:sz w:val="16"/>
              </w:rPr>
              <w:t>Nine-tenor legacy curves</w:t>
            </w:r>
          </w:p>
        </w:tc>
        <w:tc>
          <w:tcPr>
            <w:tcW w:w="12096" w:type="dxa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D9CA8F5" w14:textId="77777777" w:rsidR="003A4DB0" w:rsidRDefault="00000000">
            <w:pPr>
              <w:spacing w:after="0"/>
            </w:pPr>
            <w:r>
              <w:rPr>
                <w:sz w:val="16"/>
              </w:rPr>
              <w:t>Are nine tenor points enough for today’s RF buckets, interpolation/extrapolation, RFET mapping, and PLA consistency?</w:t>
            </w:r>
          </w:p>
        </w:tc>
      </w:tr>
      <w:tr w:rsidR="003A4DB0" w14:paraId="1251145B" w14:textId="77777777">
        <w:trPr>
          <w:jc w:val="center"/>
        </w:trPr>
        <w:tc>
          <w:tcPr>
            <w:tcW w:w="2448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22F8FD4C" w14:textId="77777777" w:rsidR="003A4DB0" w:rsidRDefault="00000000">
            <w:pPr>
              <w:spacing w:after="0"/>
            </w:pPr>
            <w:r>
              <w:rPr>
                <w:sz w:val="16"/>
              </w:rPr>
              <w:t>Decision</w:t>
            </w:r>
          </w:p>
        </w:tc>
        <w:tc>
          <w:tcPr>
            <w:tcW w:w="12096" w:type="dxa"/>
            <w:shd w:val="clear" w:color="auto" w:fill="F7F9FC"/>
            <w:tcMar>
              <w:top w:w="50" w:type="dxa"/>
              <w:left w:w="55" w:type="dxa"/>
              <w:bottom w:w="50" w:type="dxa"/>
              <w:right w:w="55" w:type="dxa"/>
            </w:tcMar>
          </w:tcPr>
          <w:p w14:paraId="451A057B" w14:textId="77777777" w:rsidR="003A4DB0" w:rsidRDefault="00000000">
            <w:pPr>
              <w:spacing w:after="0"/>
            </w:pPr>
            <w:r>
              <w:rPr>
                <w:sz w:val="16"/>
              </w:rPr>
              <w:t>Which RF families can we keep today, which need targeted remediation, and which require reconstruction/regeneration or NMRF treatment?</w:t>
            </w:r>
          </w:p>
        </w:tc>
      </w:tr>
    </w:tbl>
    <w:p w14:paraId="4B86A446" w14:textId="77777777" w:rsidR="003A4DB0" w:rsidRDefault="00000000">
      <w:r>
        <w:br w:type="page"/>
      </w:r>
    </w:p>
    <w:p w14:paraId="0758FAA2" w14:textId="77777777" w:rsidR="003A4DB0" w:rsidRDefault="00000000">
      <w:r>
        <w:rPr>
          <w:rFonts w:ascii="Aptos Display" w:hAnsi="Aptos Display"/>
          <w:b/>
          <w:color w:val="1F3757"/>
          <w:sz w:val="32"/>
        </w:rPr>
        <w:lastRenderedPageBreak/>
        <w:t>Appendix C — Official Sources</w:t>
      </w:r>
    </w:p>
    <w:p w14:paraId="7B93CD39" w14:textId="77777777" w:rsidR="003A4DB0" w:rsidRDefault="00000000">
      <w:pPr>
        <w:spacing w:after="100"/>
      </w:pPr>
      <w:r>
        <w:rPr>
          <w:b/>
        </w:rPr>
        <w:t xml:space="preserve">U.S. NPR: </w:t>
      </w:r>
      <w:r>
        <w:t xml:space="preserve">OCC / Federal Reserve / FDIC, Regulatory Capital Rule: Category I and II Banking Organizations, Banking Organizations With Significant Trading Activity, and Optional Adoption for Other Banking Organizations, 91 FR 14952, Mar. 27, 2026. </w:t>
      </w:r>
      <w:hyperlink r:id="rId8">
        <w:r>
          <w:rPr>
            <w:color w:val="0563C1"/>
            <w:u w:val="single"/>
          </w:rPr>
          <w:t>Official source</w:t>
        </w:r>
      </w:hyperlink>
    </w:p>
    <w:p w14:paraId="703502A2" w14:textId="77777777" w:rsidR="003A4DB0" w:rsidRDefault="00000000">
      <w:pPr>
        <w:spacing w:after="100"/>
      </w:pPr>
      <w:r>
        <w:rPr>
          <w:b/>
        </w:rPr>
        <w:t xml:space="preserve">Basel MAR31: </w:t>
      </w:r>
      <w:r>
        <w:t xml:space="preserve">Basel Framework, MAR31, Internal models approach: model requirements, including risk-factor modellability, ES calibration data principles, stress data, and proxy requirements. </w:t>
      </w:r>
      <w:hyperlink r:id="rId9">
        <w:r>
          <w:rPr>
            <w:color w:val="0563C1"/>
            <w:u w:val="single"/>
          </w:rPr>
          <w:t>Official source</w:t>
        </w:r>
      </w:hyperlink>
    </w:p>
    <w:p w14:paraId="3CB2F5AA" w14:textId="77777777" w:rsidR="003A4DB0" w:rsidRDefault="00000000">
      <w:pPr>
        <w:spacing w:after="100"/>
      </w:pPr>
      <w:r>
        <w:rPr>
          <w:b/>
        </w:rPr>
        <w:t xml:space="preserve">Basel MAR33: </w:t>
      </w:r>
      <w:r>
        <w:t xml:space="preserve">Basel Framework, MAR33, Internal models approach: capital requirements calculation, including ES calibration and NMRF capital. </w:t>
      </w:r>
      <w:hyperlink r:id="rId10">
        <w:r>
          <w:rPr>
            <w:color w:val="0563C1"/>
            <w:u w:val="single"/>
          </w:rPr>
          <w:t>Official source</w:t>
        </w:r>
      </w:hyperlink>
    </w:p>
    <w:p w14:paraId="38875B7E" w14:textId="77777777" w:rsidR="003A4DB0" w:rsidRDefault="00000000">
      <w:pPr>
        <w:spacing w:after="100"/>
      </w:pPr>
      <w:r>
        <w:rPr>
          <w:b/>
        </w:rPr>
        <w:t xml:space="preserve">Basel 2.5: </w:t>
      </w:r>
      <w:r>
        <w:t xml:space="preserve">BCBS, Revisions to the Basel II market risk framework, updated Feb. 2011; stressed VaR introduced as additional requirement to VaR. </w:t>
      </w:r>
      <w:hyperlink r:id="rId11">
        <w:r>
          <w:rPr>
            <w:color w:val="0563C1"/>
            <w:u w:val="single"/>
          </w:rPr>
          <w:t>Official source</w:t>
        </w:r>
      </w:hyperlink>
    </w:p>
    <w:p w14:paraId="5DFFFBF1" w14:textId="77777777" w:rsidR="003A4DB0" w:rsidRDefault="00000000">
      <w:pPr>
        <w:spacing w:after="100"/>
      </w:pPr>
      <w:r>
        <w:rPr>
          <w:b/>
        </w:rPr>
        <w:t xml:space="preserve">EBA RTS: </w:t>
      </w:r>
      <w:r>
        <w:t xml:space="preserve">EBA, Final Report on Draft RTS on the assessment methodology for FRTB IMA, Nov. 21, 2023; section 2.2.2 Proxies and data quality. </w:t>
      </w:r>
      <w:hyperlink r:id="rId12">
        <w:r>
          <w:rPr>
            <w:color w:val="0563C1"/>
            <w:u w:val="single"/>
          </w:rPr>
          <w:t>Official source</w:t>
        </w:r>
      </w:hyperlink>
    </w:p>
    <w:p w14:paraId="40713D3E" w14:textId="1940FA84" w:rsidR="003A4DB0" w:rsidRDefault="00000000">
      <w:pPr>
        <w:spacing w:after="100"/>
      </w:pPr>
      <w:r>
        <w:rPr>
          <w:b/>
        </w:rPr>
        <w:t xml:space="preserve">EBA GL: </w:t>
      </w:r>
      <w:r>
        <w:t>EBA, Guidelines on criteria for the use of data inputs in the risk-measurement model under IMA</w:t>
      </w:r>
      <w:proofErr w:type="gramStart"/>
      <w:r>
        <w:t>, .</w:t>
      </w:r>
      <w:proofErr w:type="gramEnd"/>
      <w:r>
        <w:t xml:space="preserve"> </w:t>
      </w:r>
      <w:hyperlink r:id="rId13">
        <w:r>
          <w:rPr>
            <w:color w:val="0563C1"/>
            <w:u w:val="single"/>
          </w:rPr>
          <w:t>Official source</w:t>
        </w:r>
      </w:hyperlink>
    </w:p>
    <w:p w14:paraId="5347548E" w14:textId="76E03A3B" w:rsidR="003A4DB0" w:rsidRDefault="003A4DB0">
      <w:pPr>
        <w:spacing w:before="120"/>
      </w:pPr>
    </w:p>
    <w:sectPr w:rsidR="003A4DB0" w:rsidSect="00034616">
      <w:footerReference w:type="default" r:id="rId14"/>
      <w:pgSz w:w="15840" w:h="12240" w:orient="landscape"/>
      <w:pgMar w:top="547" w:right="648" w:bottom="547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B9B0A" w14:textId="77777777" w:rsidR="004D58F0" w:rsidRDefault="004D58F0">
      <w:pPr>
        <w:spacing w:after="0" w:line="240" w:lineRule="auto"/>
      </w:pPr>
      <w:r>
        <w:separator/>
      </w:r>
    </w:p>
  </w:endnote>
  <w:endnote w:type="continuationSeparator" w:id="0">
    <w:p w14:paraId="1A2C74E8" w14:textId="77777777" w:rsidR="004D58F0" w:rsidRDefault="004D5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FC472" w14:textId="4A22D177" w:rsidR="003A4DB0" w:rsidRDefault="003A4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A2CBC" w14:textId="77777777" w:rsidR="004D58F0" w:rsidRDefault="004D58F0">
      <w:pPr>
        <w:spacing w:after="0" w:line="240" w:lineRule="auto"/>
      </w:pPr>
      <w:r>
        <w:separator/>
      </w:r>
    </w:p>
  </w:footnote>
  <w:footnote w:type="continuationSeparator" w:id="0">
    <w:p w14:paraId="1557CC75" w14:textId="77777777" w:rsidR="004D58F0" w:rsidRDefault="004D5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633667">
    <w:abstractNumId w:val="8"/>
  </w:num>
  <w:num w:numId="2" w16cid:durableId="215315470">
    <w:abstractNumId w:val="6"/>
  </w:num>
  <w:num w:numId="3" w16cid:durableId="1882284929">
    <w:abstractNumId w:val="5"/>
  </w:num>
  <w:num w:numId="4" w16cid:durableId="1214735685">
    <w:abstractNumId w:val="4"/>
  </w:num>
  <w:num w:numId="5" w16cid:durableId="2012370644">
    <w:abstractNumId w:val="7"/>
  </w:num>
  <w:num w:numId="6" w16cid:durableId="1391265077">
    <w:abstractNumId w:val="3"/>
  </w:num>
  <w:num w:numId="7" w16cid:durableId="1618415931">
    <w:abstractNumId w:val="2"/>
  </w:num>
  <w:num w:numId="8" w16cid:durableId="888145751">
    <w:abstractNumId w:val="1"/>
  </w:num>
  <w:num w:numId="9" w16cid:durableId="61822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517"/>
    <w:rsid w:val="00085EE3"/>
    <w:rsid w:val="000E02D1"/>
    <w:rsid w:val="0015074B"/>
    <w:rsid w:val="001674A5"/>
    <w:rsid w:val="001814B1"/>
    <w:rsid w:val="001A7B88"/>
    <w:rsid w:val="001D2DBA"/>
    <w:rsid w:val="001E0EE1"/>
    <w:rsid w:val="00211E23"/>
    <w:rsid w:val="00284D74"/>
    <w:rsid w:val="0029639D"/>
    <w:rsid w:val="002C5D05"/>
    <w:rsid w:val="00326F90"/>
    <w:rsid w:val="00356EFB"/>
    <w:rsid w:val="003724B0"/>
    <w:rsid w:val="003A4DB0"/>
    <w:rsid w:val="003D4BE2"/>
    <w:rsid w:val="003F3833"/>
    <w:rsid w:val="003F46D7"/>
    <w:rsid w:val="00431F78"/>
    <w:rsid w:val="00451607"/>
    <w:rsid w:val="00452C8B"/>
    <w:rsid w:val="00454743"/>
    <w:rsid w:val="004600A0"/>
    <w:rsid w:val="00496069"/>
    <w:rsid w:val="004D58F0"/>
    <w:rsid w:val="004E64D3"/>
    <w:rsid w:val="004F6E7A"/>
    <w:rsid w:val="005401E2"/>
    <w:rsid w:val="00544425"/>
    <w:rsid w:val="005533FE"/>
    <w:rsid w:val="005D5B50"/>
    <w:rsid w:val="005E41E2"/>
    <w:rsid w:val="006213CC"/>
    <w:rsid w:val="0064131D"/>
    <w:rsid w:val="006A4211"/>
    <w:rsid w:val="006E6789"/>
    <w:rsid w:val="00704421"/>
    <w:rsid w:val="00763842"/>
    <w:rsid w:val="007908F3"/>
    <w:rsid w:val="00796240"/>
    <w:rsid w:val="007E5424"/>
    <w:rsid w:val="0081276F"/>
    <w:rsid w:val="00813280"/>
    <w:rsid w:val="0084704E"/>
    <w:rsid w:val="00883E29"/>
    <w:rsid w:val="008E4E3E"/>
    <w:rsid w:val="008F2E3F"/>
    <w:rsid w:val="00900809"/>
    <w:rsid w:val="00904FCC"/>
    <w:rsid w:val="00951E81"/>
    <w:rsid w:val="009C082F"/>
    <w:rsid w:val="009E124C"/>
    <w:rsid w:val="00A51C4E"/>
    <w:rsid w:val="00A53530"/>
    <w:rsid w:val="00A53598"/>
    <w:rsid w:val="00A80EA8"/>
    <w:rsid w:val="00AA1D8D"/>
    <w:rsid w:val="00AE2835"/>
    <w:rsid w:val="00B11CD9"/>
    <w:rsid w:val="00B12AC3"/>
    <w:rsid w:val="00B138F0"/>
    <w:rsid w:val="00B17F84"/>
    <w:rsid w:val="00B248B9"/>
    <w:rsid w:val="00B47730"/>
    <w:rsid w:val="00B95B54"/>
    <w:rsid w:val="00BC6CDA"/>
    <w:rsid w:val="00BE72E9"/>
    <w:rsid w:val="00C44658"/>
    <w:rsid w:val="00C55F12"/>
    <w:rsid w:val="00CB0664"/>
    <w:rsid w:val="00CB2064"/>
    <w:rsid w:val="00CC357C"/>
    <w:rsid w:val="00D14410"/>
    <w:rsid w:val="00D574D3"/>
    <w:rsid w:val="00D633B4"/>
    <w:rsid w:val="00D733DF"/>
    <w:rsid w:val="00DA6168"/>
    <w:rsid w:val="00E00B74"/>
    <w:rsid w:val="00E01B07"/>
    <w:rsid w:val="00E7304F"/>
    <w:rsid w:val="00EE5247"/>
    <w:rsid w:val="00F1186A"/>
    <w:rsid w:val="00F15522"/>
    <w:rsid w:val="00F22BC8"/>
    <w:rsid w:val="00FC693F"/>
    <w:rsid w:val="00FE23E2"/>
    <w:rsid w:val="00FF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E4F92B1-EDB1-4CBF-9D9D-A02EA844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60"/>
      <w:outlineLvl w:val="0"/>
    </w:pPr>
    <w:rPr>
      <w:rFonts w:asciiTheme="majorHAnsi" w:eastAsiaTheme="majorEastAsia" w:hAnsiTheme="majorHAnsi" w:cstheme="majorBidi"/>
      <w:b/>
      <w:bCs/>
      <w:color w:val="1F37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b/>
      <w:bCs/>
      <w:color w:val="1F37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ederalregister.gov/documents/2026/03/27/2026-05959/regulatory-capital-rule-category-i-and-ii-banking-organizations-banking-organizations-with" TargetMode="External"/><Relationship Id="rId13" Type="http://schemas.openxmlformats.org/officeDocument/2006/relationships/hyperlink" Target="https://www.eba.europa.eu/sites/default/files/document_library/Publications/Guidelines/2021/1017268/Guidelines%20on%20use%20of%20data%20inputs%20in%20the%20IMA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eba.europa.eu/sites/default/files/2023-11/7c4b9e7f-a23e-41da-af5f-8c201ec48019/Final%20report%20on%20RTS%20on%20assessment%20methodology%20FRTB%20IMA.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is.org/publ/bcbs193.ht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bis.org/basel_framework/chapter/MAR/33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is.org/basel_framework/chapter/MAR/31.ht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1840</Words>
  <Characters>10490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CHOUKRI ABDELILAH</cp:lastModifiedBy>
  <cp:revision>80</cp:revision>
  <dcterms:created xsi:type="dcterms:W3CDTF">2013-12-23T23:15:00Z</dcterms:created>
  <dcterms:modified xsi:type="dcterms:W3CDTF">2026-08-17T13:13:00Z</dcterms:modified>
  <cp:category/>
</cp:coreProperties>
</file>