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83778" w14:textId="77777777" w:rsidR="00356565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>So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 xml:space="preserve"> Tech is not just building a report.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76384329" w14:textId="77777777" w:rsidR="00356565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is not a one-time mapping. </w:t>
      </w:r>
    </w:p>
    <w:p w14:paraId="4E62DF39" w14:textId="71166F64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Not an assumption. Not a spreadsheet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cannot be manual, assumption-based, or one-time. </w:t>
      </w:r>
    </w:p>
    <w:p w14:paraId="60F266E9" w14:textId="77777777" w:rsidR="00356565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07184E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93F7350" w14:textId="77777777" w:rsidR="00356565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Tech is building the </w:t>
      </w: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>evidence engine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 </w:t>
      </w:r>
    </w:p>
    <w:p w14:paraId="2587F32D" w14:textId="77777777" w:rsidR="00356565" w:rsidRDefault="00356565" w:rsidP="0035656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565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connects RPOs, mapping rules, </w:t>
      </w:r>
    </w:p>
    <w:p w14:paraId="4C279CCB" w14:textId="77777777" w:rsidR="00356565" w:rsidRDefault="00356565" w:rsidP="0035656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565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qualitative controls, </w:t>
      </w:r>
    </w:p>
    <w:p w14:paraId="565E56A2" w14:textId="77777777" w:rsidR="00356565" w:rsidRDefault="00356565" w:rsidP="0035656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565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classification logic, </w:t>
      </w:r>
    </w:p>
    <w:p w14:paraId="03DF7167" w14:textId="26B70598" w:rsidR="00356565" w:rsidRPr="00356565" w:rsidRDefault="00356565" w:rsidP="0035656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35656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and downstream capital consumption.</w:t>
      </w:r>
    </w:p>
    <w:p w14:paraId="2E0E24A8" w14:textId="5DC024A3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. Because it moves capital numbers, it has to be </w:t>
      </w:r>
      <w:proofErr w:type="gramStart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repeatable,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auditable, and regulator-ready, evidence-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based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  <w:proofErr w:type="gramEnd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every run, every day.</w:t>
      </w:r>
    </w:p>
    <w:p w14:paraId="6FA10942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BD1D03F" w14:textId="77777777" w:rsidR="00356565" w:rsidRDefault="00356565" w:rsidP="00C97F35">
      <w:pPr>
        <w:spacing w:after="0" w:line="240" w:lineRule="auto"/>
        <w:ind w:left="540"/>
        <w:rPr>
          <w:rFonts w:ascii="Calibri" w:eastAsia="Times New Roman" w:hAnsi="Calibri" w:cs="Calibri"/>
          <w:b/>
          <w:bCs/>
          <w:color w:val="FA0000"/>
          <w:kern w:val="0"/>
          <w:sz w:val="36"/>
          <w:szCs w:val="36"/>
          <w14:ligatures w14:val="none"/>
        </w:rPr>
      </w:pPr>
    </w:p>
    <w:p w14:paraId="6690C938" w14:textId="1CB8779F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44"/>
          <w:szCs w:val="44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4"/>
          <w:szCs w:val="44"/>
          <w14:ligatures w14:val="none"/>
        </w:rPr>
        <w:t>How RFIT Fits in IMA</w:t>
      </w:r>
    </w:p>
    <w:p w14:paraId="5B845EC1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36"/>
          <w:szCs w:val="36"/>
          <w14:ligatures w14:val="none"/>
        </w:rPr>
        <w:t xml:space="preserve">Good afternoon, everyone. </w:t>
      </w:r>
    </w:p>
    <w:p w14:paraId="3DB11204" w14:textId="24AFF884" w:rsidR="00C97F35" w:rsidRPr="00C97F35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Today, I will be walking through the Technical Proof of Concept (PoC) for one the main components in FRTB IMA: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Risk Factor Eligibility and Classification </w:t>
      </w:r>
    </w:p>
    <w:p w14:paraId="30434B44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0AB37B6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By the end of 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this  PoC</w:t>
      </w:r>
      <w:proofErr w:type="gramEnd"/>
    </w:p>
    <w:p w14:paraId="638509F2" w14:textId="77777777" w:rsidR="00C97F35" w:rsidRPr="004404B9" w:rsidRDefault="00C97F35" w:rsidP="00C97F35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Tech should understand </w:t>
      </w:r>
    </w:p>
    <w:p w14:paraId="01DB7809" w14:textId="5DEB6C3C" w:rsidR="00C97F35" w:rsidRPr="004404B9" w:rsidRDefault="00C97F35" w:rsidP="00C97F35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And will walk away with a clear visualization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of the main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buildout required</w:t>
      </w:r>
    </w:p>
    <w:p w14:paraId="5B98B30E" w14:textId="77777777" w:rsidR="00C97F35" w:rsidRPr="004404B9" w:rsidRDefault="00C97F35" w:rsidP="00C97F35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liquidity-horizon mapping, </w:t>
      </w:r>
    </w:p>
    <w:p w14:paraId="0C1A0C5D" w14:textId="77777777" w:rsidR="00C97F35" w:rsidRPr="004404B9" w:rsidRDefault="00C97F35" w:rsidP="00C97F35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quantitative RFET tests using RPOs, </w:t>
      </w:r>
    </w:p>
    <w:p w14:paraId="6FB0093F" w14:textId="77777777" w:rsidR="00C97F35" w:rsidRDefault="00C97F35" w:rsidP="00C97F35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qualitative tests</w:t>
      </w:r>
    </w:p>
    <w:p w14:paraId="5E5901F5" w14:textId="6C2C045B" w:rsidR="00C97F35" w:rsidRPr="004404B9" w:rsidRDefault="00C97F35" w:rsidP="00C97F35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classification engine,</w:t>
      </w:r>
    </w:p>
    <w:p w14:paraId="17ACFA5C" w14:textId="77777777" w:rsidR="00C97F35" w:rsidRPr="004404B9" w:rsidRDefault="00C97F35" w:rsidP="00C97F35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9864CF5" w14:textId="52C6414B" w:rsidR="00C97F35" w:rsidRDefault="00C97F35" w:rsidP="00C97F35">
      <w:pPr>
        <w:pStyle w:val="ListParagraph"/>
        <w:numPr>
          <w:ilvl w:val="0"/>
          <w:numId w:val="4"/>
        </w:numPr>
      </w:pPr>
      <w:r>
        <w:t xml:space="preserve">Here is </w:t>
      </w:r>
      <w:proofErr w:type="spellStart"/>
      <w:r>
        <w:t>reqs</w:t>
      </w:r>
      <w:proofErr w:type="spellEnd"/>
      <w:r>
        <w:t xml:space="preserve">: </w:t>
      </w:r>
      <w:proofErr w:type="gramStart"/>
      <w:r>
        <w:t>Concept:,</w:t>
      </w:r>
      <w:proofErr w:type="gramEnd"/>
      <w:r>
        <w:t xml:space="preserve"> How it would look like. </w:t>
      </w:r>
    </w:p>
    <w:p w14:paraId="537DE76D" w14:textId="5F199651" w:rsidR="00C97F35" w:rsidRDefault="00C97F35" w:rsidP="00C97F35">
      <w:r>
        <w:t xml:space="preserve">Before I deep dive, in the core requirements, lets me give 2 to 3 min contexts. </w:t>
      </w:r>
    </w:p>
    <w:p w14:paraId="09C6A51E" w14:textId="3756A6AA" w:rsidR="00C97F35" w:rsidRDefault="00C97F35" w:rsidP="00C97F35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Before IMA capital is calculated, every risk factor must be classified. </w:t>
      </w:r>
    </w:p>
    <w:p w14:paraId="6F45AD40" w14:textId="77777777" w:rsidR="00C97F35" w:rsidRPr="00C97F35" w:rsidRDefault="00C97F35" w:rsidP="00C97F35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03432DA5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IMA, most major downstream calculation—from Expected Shortfall (ES) and Stressed ES to final Capital Aggregation—depends entirely on one foundational step: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Risk Factor Classification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in 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which  we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must process our risk factors to:</w:t>
      </w:r>
    </w:p>
    <w:p w14:paraId="433ABE53" w14:textId="77777777" w:rsidR="00C97F35" w:rsidRPr="004404B9" w:rsidRDefault="00C97F35" w:rsidP="00C97F35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Classify: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Modellable vs. Non-Modellable Risk Factors (NMRF), this is through two tests: Quantitative and Qualitative Tests </w:t>
      </w:r>
    </w:p>
    <w:p w14:paraId="3FA45683" w14:textId="77777777" w:rsidR="00C97F35" w:rsidRPr="004404B9" w:rsidRDefault="00C97F35" w:rsidP="00C97F35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Map: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Assign each factor to its respective Liquidity Horizon (LH).</w:t>
      </w:r>
    </w:p>
    <w:p w14:paraId="1E97C0B3" w14:textId="77777777" w:rsidR="00C97F35" w:rsidRPr="004404B9" w:rsidRDefault="00C97F35" w:rsidP="00C97F35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Distinguish: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Distinguish which factors belong to the Full Set versus the Reduced Set for ES tracking.</w:t>
      </w:r>
    </w:p>
    <w:p w14:paraId="55266CBD" w14:textId="1AB6DE86" w:rsidR="00C97F35" w:rsidRDefault="00C97F35" w:rsidP="00C97F35"/>
    <w:p w14:paraId="5EADB846" w14:textId="77777777" w:rsidR="00C97F35" w:rsidRPr="004404B9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RFET is the framework that helps answer those questions.</w:t>
      </w:r>
    </w:p>
    <w:p w14:paraId="11D5635B" w14:textId="77777777" w:rsidR="00C97F35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B734330" w14:textId="4EB1B0B8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  <w:lastRenderedPageBreak/>
        <w:t>This is not a static, manual, or assumption-based mapping exercise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. </w:t>
      </w:r>
    </w:p>
    <w:p w14:paraId="1D85A511" w14:textId="77777777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D37173D" w14:textId="77777777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Because these classifications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directly impact our regulatory capital numbers and </w:t>
      </w:r>
      <w:proofErr w:type="gramStart"/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savings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  <w:proofErr w:type="gramEnd"/>
    </w:p>
    <w:p w14:paraId="2A191315" w14:textId="21D9BB09" w:rsidR="00C97F35" w:rsidRPr="004404B9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this engine must be compliant, highly auditable, and production-grade and meet IMA specifications/standards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</w:t>
      </w:r>
      <w:r w:rsidRPr="00C97F3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repeatable, evidence-ready, regulator</w:t>
      </w:r>
    </w:p>
    <w:p w14:paraId="297289B1" w14:textId="77777777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2285CF1E" w14:textId="77777777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3F961ED" w14:textId="2E4C633F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######### </w:t>
      </w:r>
    </w:p>
    <w:p w14:paraId="43941F95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48"/>
          <w:szCs w:val="48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  <w:t xml:space="preserve">RFET Classification Engine </w:t>
      </w:r>
    </w:p>
    <w:p w14:paraId="248C70E5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How these are linked to each other: </w:t>
      </w:r>
    </w:p>
    <w:p w14:paraId="3AD3CBE5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A41EDB3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Under FRTB IMA, one of the most important foundations is the classification of risk factors into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modellable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and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non-modellable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7E48E03D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To do that, we must pass the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Risk Factor Eligibility Test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or RFET, quarterly.</w:t>
      </w:r>
    </w:p>
    <w:p w14:paraId="4CCF79CC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RFET has two 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major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proofErr w:type="spell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dimensions.</w:t>
      </w: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>the</w:t>
      </w:r>
      <w:proofErr w:type="spellEnd"/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 xml:space="preserve">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14:ligatures w14:val="none"/>
        </w:rPr>
        <w:t>quantitative test</w:t>
      </w: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 xml:space="preserve"> and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14:ligatures w14:val="none"/>
        </w:rPr>
        <w:t xml:space="preserve">qualitative </w:t>
      </w:r>
    </w:p>
    <w:p w14:paraId="4E8067D7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 </w:t>
      </w:r>
    </w:p>
    <w:p w14:paraId="2F1C900D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every risk factor, we need to know: does it pass the quantitative test, does it pass the qualitative test, what liquidity horizon does it belong to, and what is the final classification?</w:t>
      </w:r>
    </w:p>
    <w:p w14:paraId="75CF209B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it passes both tests, it becomes modellable.</w:t>
      </w:r>
    </w:p>
    <w:p w14:paraId="2622CB01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it fails the quantitative test but passes the qualitative test, it becomes Type A NMRF.</w:t>
      </w:r>
    </w:p>
    <w:p w14:paraId="1FD2A009" w14:textId="77777777" w:rsidR="00C97F35" w:rsidRPr="004404B9" w:rsidRDefault="00C97F35" w:rsidP="00C97F3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If it fails the qualitative test, it becomes Type B NMRF.</w:t>
      </w:r>
    </w:p>
    <w:p w14:paraId="4C5A69A8" w14:textId="6E52355C" w:rsidR="00C97F35" w:rsidRDefault="00C97F3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That classification then drives how the risk factor is treated in IMA capital.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</w:p>
    <w:p w14:paraId="026D6991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:highlight w:val="cyan"/>
          <w14:ligatures w14:val="none"/>
        </w:rPr>
        <w:t xml:space="preserve">Extra comments </w:t>
      </w:r>
    </w:p>
    <w:p w14:paraId="3A77926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RFET has two major dimensions.</w:t>
      </w:r>
    </w:p>
    <w:p w14:paraId="18385223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 xml:space="preserve">First is the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14:ligatures w14:val="none"/>
        </w:rPr>
        <w:t>quantitative test</w:t>
      </w: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 xml:space="preserve">, which is about liquidity. </w:t>
      </w:r>
    </w:p>
    <w:p w14:paraId="43B3D59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We must prove that there are enough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 Price Observations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or RPOs, linked to the risk factor</w:t>
      </w:r>
    </w:p>
    <w:p w14:paraId="6515E9A1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4B0B549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14:ligatures w14:val="none"/>
        </w:rPr>
        <w:t>Second is the qualitative test, which is about suitability</w:t>
      </w: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>.</w:t>
      </w:r>
    </w:p>
    <w:p w14:paraId="5A27654B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This is not normal data quality like missing values or outliers.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 xml:space="preserve">We must prove that we use the right data, right proxy, right derivation. 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  <w:t> </w:t>
      </w:r>
    </w:p>
    <w:p w14:paraId="3465DBCB" w14:textId="77777777" w:rsidR="00356565" w:rsidRPr="004404B9" w:rsidRDefault="00356565" w:rsidP="00356565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 asks a deeper question: does the data actually capture the right risk in the model, including general market risk and idiosyncratic risk?</w:t>
      </w:r>
    </w:p>
    <w:p w14:paraId="42ADC3A7" w14:textId="77777777" w:rsidR="00356565" w:rsidRPr="004404B9" w:rsidRDefault="00356565" w:rsidP="00356565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do we have proper proxy,</w:t>
      </w:r>
    </w:p>
    <w:p w14:paraId="1F37AD65" w14:textId="77777777" w:rsidR="00356565" w:rsidRPr="004404B9" w:rsidRDefault="00356565" w:rsidP="00356565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 we capture the correlation between risk factors</w:t>
      </w:r>
    </w:p>
    <w:p w14:paraId="3603B95C" w14:textId="77777777" w:rsidR="00356565" w:rsidRPr="004404B9" w:rsidRDefault="00356565" w:rsidP="00356565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does our history </w:t>
      </w:r>
    </w:p>
    <w:p w14:paraId="47EAC4B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48915C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</w:t>
      </w: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>his is why the work we need to build is data-intensive.</w:t>
      </w:r>
    </w:p>
    <w:p w14:paraId="6A14DB0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3D2307F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F63F18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 These cannot simply be internal marks or indicative prices. They need to be tied to executed transactions, committed quotes, commercial transactions, or eligible vendor observations.</w:t>
      </w:r>
    </w:p>
    <w:p w14:paraId="5C158D23" w14:textId="77777777" w:rsidR="00356565" w:rsidRDefault="0035656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35D9F4A" w14:textId="77777777" w:rsidR="00356565" w:rsidRDefault="0035656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3023A703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36"/>
          <w:szCs w:val="36"/>
          <w14:ligatures w14:val="none"/>
        </w:rPr>
        <w:lastRenderedPageBreak/>
        <w:t xml:space="preserve">RF to LH Mapping </w:t>
      </w:r>
      <w:r w:rsidRPr="004404B9">
        <w:rPr>
          <w:rFonts w:ascii="Calibri" w:eastAsia="Times New Roman" w:hAnsi="Calibri" w:cs="Calibri"/>
          <w:b/>
          <w:bCs/>
          <w:color w:val="FA0000"/>
          <w:kern w:val="0"/>
          <w:sz w:val="36"/>
          <w:szCs w:val="36"/>
          <w14:ligatures w14:val="none"/>
        </w:rPr>
        <w:br/>
      </w:r>
      <w:r w:rsidRPr="004404B9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 must map it to one of five regulatory Liquidity Horizons: 10, 20, 40, 60, or 120 days.</w:t>
      </w:r>
    </w:p>
    <w:p w14:paraId="62CAE68B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CFB552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LH tells us how long it would take to exist a position in stressed conditions </w:t>
      </w:r>
    </w:p>
    <w:p w14:paraId="70FDF61B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59D7543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Mapping requires:</w:t>
      </w:r>
    </w:p>
    <w:p w14:paraId="34C64C66" w14:textId="77777777" w:rsidR="00356565" w:rsidRPr="004404B9" w:rsidRDefault="00356565" w:rsidP="00356565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rule-based logic </w:t>
      </w:r>
    </w:p>
    <w:p w14:paraId="366DA20C" w14:textId="77777777" w:rsidR="00356565" w:rsidRPr="004404B9" w:rsidRDefault="00356565" w:rsidP="00356565">
      <w:pPr>
        <w:numPr>
          <w:ilvl w:val="0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metadata enrichment </w:t>
      </w:r>
    </w:p>
    <w:p w14:paraId="26EE7AA8" w14:textId="77777777" w:rsidR="00356565" w:rsidRPr="004404B9" w:rsidRDefault="00356565" w:rsidP="00356565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override workflow </w:t>
      </w:r>
    </w:p>
    <w:p w14:paraId="25E43FC5" w14:textId="77777777" w:rsidR="00356565" w:rsidRPr="004404B9" w:rsidRDefault="00356565" w:rsidP="00356565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audit trail </w:t>
      </w:r>
    </w:p>
    <w:p w14:paraId="406F4002" w14:textId="77777777" w:rsidR="00356565" w:rsidRPr="004404B9" w:rsidRDefault="00356565" w:rsidP="00356565">
      <w:pPr>
        <w:numPr>
          <w:ilvl w:val="0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exception management</w:t>
      </w:r>
    </w:p>
    <w:p w14:paraId="06F76598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5C013C0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22"/>
          <w:szCs w:val="22"/>
          <w14:ligatures w14:val="none"/>
        </w:rPr>
        <w:t>First, rule-based mapping.</w:t>
      </w:r>
    </w:p>
    <w:p w14:paraId="3668C125" w14:textId="77777777" w:rsidR="00356565" w:rsidRPr="004404B9" w:rsidRDefault="00356565" w:rsidP="00356565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rates, we may need currency and curve type.</w:t>
      </w:r>
    </w:p>
    <w:p w14:paraId="6BC671CB" w14:textId="77777777" w:rsidR="00356565" w:rsidRPr="004404B9" w:rsidRDefault="00356565" w:rsidP="00356565">
      <w:pPr>
        <w:numPr>
          <w:ilvl w:val="0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volatility, we may need the underlying asset class and product type.</w:t>
      </w:r>
    </w:p>
    <w:p w14:paraId="37087248" w14:textId="77777777" w:rsidR="00356565" w:rsidRPr="004404B9" w:rsidRDefault="00356565" w:rsidP="00356565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A14FF9C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22"/>
          <w:szCs w:val="22"/>
          <w14:ligatures w14:val="none"/>
        </w:rPr>
        <w:t>Second, metadata-driven mapping.</w:t>
      </w:r>
    </w:p>
    <w:p w14:paraId="729EDA23" w14:textId="77777777" w:rsidR="00356565" w:rsidRPr="004404B9" w:rsidRDefault="00356565" w:rsidP="00356565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Some risk factors need extra information before we can classify the liquidity horizon correctly.</w:t>
      </w:r>
    </w:p>
    <w:p w14:paraId="53236215" w14:textId="77777777" w:rsidR="00356565" w:rsidRPr="004404B9" w:rsidRDefault="00356565" w:rsidP="00356565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example, for equity, we may need large-cap versus small-cap.</w:t>
      </w:r>
    </w:p>
    <w:p w14:paraId="0F7692BA" w14:textId="77777777" w:rsidR="00356565" w:rsidRPr="004404B9" w:rsidRDefault="00356565" w:rsidP="00356565">
      <w:pPr>
        <w:numPr>
          <w:ilvl w:val="0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credit, we may need investment grade versus high yield.</w:t>
      </w:r>
    </w:p>
    <w:p w14:paraId="52E7ADE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6D4CA35A" w14:textId="77777777" w:rsidR="00356565" w:rsidRDefault="0035656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DF4362A" w14:textId="77777777" w:rsidR="00356565" w:rsidRDefault="0035656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5D4B8ADF" w14:textId="77777777" w:rsidR="00356565" w:rsidRDefault="0035656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4D2C0499" w14:textId="77777777" w:rsidR="00356565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  <w:t>Quantitative Tests</w:t>
      </w:r>
    </w:p>
    <w:p w14:paraId="58D7CAAE" w14:textId="77777777" w:rsidR="00ED5B7B" w:rsidRPr="004404B9" w:rsidRDefault="00ED5B7B" w:rsidP="00ED5B7B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RPOs must be captured at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trade / transaction / quote / vendor-observation level </w:t>
      </w:r>
    </w:p>
    <w:p w14:paraId="6987550B" w14:textId="77777777" w:rsidR="00ED5B7B" w:rsidRPr="004404B9" w:rsidRDefault="00ED5B7B" w:rsidP="00ED5B7B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RPOs must be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validated, normalized, bucketed, and mapped </w:t>
      </w:r>
    </w:p>
    <w:p w14:paraId="07D66D0D" w14:textId="77777777" w:rsidR="00ED5B7B" w:rsidRPr="004404B9" w:rsidRDefault="00ED5B7B" w:rsidP="00ED5B7B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One RPO may support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multiple risk factors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if representative </w:t>
      </w:r>
    </w:p>
    <w:p w14:paraId="48224E55" w14:textId="77777777" w:rsidR="00ED5B7B" w:rsidRPr="004404B9" w:rsidRDefault="00ED5B7B" w:rsidP="00ED5B7B">
      <w:pPr>
        <w:numPr>
          <w:ilvl w:val="0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Final output: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RF + LH + RPO count + threshold + pass/fail + evidence</w:t>
      </w:r>
    </w:p>
    <w:p w14:paraId="6723FF13" w14:textId="77777777" w:rsidR="00ED5B7B" w:rsidRPr="004404B9" w:rsidRDefault="00ED5B7B" w:rsidP="00ED5B7B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 </w:t>
      </w:r>
    </w:p>
    <w:p w14:paraId="2D0FF932" w14:textId="77777777" w:rsidR="00ED5B7B" w:rsidRDefault="00ED5B7B" w:rsidP="00356565">
      <w:pPr>
        <w:spacing w:after="0" w:line="240" w:lineRule="auto"/>
        <w:ind w:left="540"/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</w:pPr>
    </w:p>
    <w:p w14:paraId="03F3774D" w14:textId="167CD91E" w:rsidR="00ED5B7B" w:rsidRPr="004404B9" w:rsidRDefault="00ED5B7B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ED5B7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This is heavy on RPOs </w:t>
      </w:r>
    </w:p>
    <w:p w14:paraId="2CB94AB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DD6B54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each risk factor, we ask: do we have enough valid Real Price Observations linked to this risk factor?</w:t>
      </w:r>
    </w:p>
    <w:p w14:paraId="00F62D9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>The engine   map RPOs to the risk factor, counts them over the required window, applies the threshold, and produces a pass or fail.</w:t>
      </w:r>
    </w:p>
    <w:p w14:paraId="7F3F621A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>Conceptually, it is a count.</w:t>
      </w:r>
    </w:p>
    <w:p w14:paraId="3DA3696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  <w:t> </w:t>
      </w:r>
    </w:p>
    <w:p w14:paraId="410F26E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>Practically, it requires a full RPO platform: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ingestion, normalization, enrichment, bucketing, mapping, counting, exception handling, and audit evidence.</w:t>
      </w:r>
    </w:p>
    <w:p w14:paraId="7D5526C3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So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Tech is not just building a counter. Tech is building the RPO evidence system behind the RFET classification engine.</w:t>
      </w:r>
    </w:p>
    <w:p w14:paraId="46BD10C8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E39B1E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48"/>
          <w:szCs w:val="48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  <w:t xml:space="preserve">RPOs </w:t>
      </w:r>
    </w:p>
    <w:p w14:paraId="666BD92A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2771B11" w14:textId="77777777" w:rsidR="00356565" w:rsidRPr="004404B9" w:rsidRDefault="00356565" w:rsidP="00356565">
      <w:pPr>
        <w:numPr>
          <w:ilvl w:val="0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 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quantitative  tests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evaluation relies only on proving the existence of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 Price Observations (RPOs)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. </w:t>
      </w:r>
    </w:p>
    <w:p w14:paraId="3E5629DA" w14:textId="16D91486" w:rsidR="00356565" w:rsidRPr="004404B9" w:rsidRDefault="00356565" w:rsidP="00356565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22"/>
          <w:szCs w:val="22"/>
          <w14:ligatures w14:val="none"/>
        </w:rPr>
        <w:t>A price observation is considered "real" if it originates from an actual, executed trade/transaction, commercial transaction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0A905F66" w14:textId="77777777" w:rsidR="00356565" w:rsidRPr="004404B9" w:rsidRDefault="00356565" w:rsidP="00356565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Observation type = trade, </w:t>
      </w:r>
      <w:proofErr w:type="spell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commited</w:t>
      </w:r>
      <w:proofErr w:type="spell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quotes, </w:t>
      </w:r>
    </w:p>
    <w:p w14:paraId="5FA87F4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  <w:t> </w:t>
      </w:r>
    </w:p>
    <w:p w14:paraId="5E28B677" w14:textId="7BA1C613" w:rsidR="00356565" w:rsidRPr="004404B9" w:rsidRDefault="00356565" w:rsidP="00356565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>RPOs must be linked</w:t>
      </w:r>
      <w:r w:rsidR="00ED5B7B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 xml:space="preserve"> </w:t>
      </w:r>
      <w:proofErr w:type="gramStart"/>
      <w:r w:rsidR="00ED5B7B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 xml:space="preserve">to </w:t>
      </w:r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 xml:space="preserve"> "</w:t>
      </w:r>
      <w:proofErr w:type="gramEnd"/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>trades /transactions/instruments" -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--&gt; not my desk saves the mark daily, or we source Bond prices/ rate from Bloomberg. </w:t>
      </w:r>
    </w:p>
    <w:p w14:paraId="5AECD8FB" w14:textId="77777777" w:rsidR="00356565" w:rsidRPr="004404B9" w:rsidRDefault="00356565" w:rsidP="00356565">
      <w:pPr>
        <w:numPr>
          <w:ilvl w:val="0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test must be done at the transactions/quotes level. </w:t>
      </w:r>
    </w:p>
    <w:p w14:paraId="4B4D08A6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5519E9F" w14:textId="77777777" w:rsidR="00356565" w:rsidRPr="004404B9" w:rsidRDefault="00356565" w:rsidP="00356565">
      <w:pPr>
        <w:numPr>
          <w:ilvl w:val="0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Linking granular market risk factors to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Real Price Observations (RPOs)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is one of the most data-intensive exercises</w:t>
      </w:r>
    </w:p>
    <w:p w14:paraId="073F1D32" w14:textId="77777777" w:rsidR="00356565" w:rsidRPr="004404B9" w:rsidRDefault="00356565" w:rsidP="00356565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architecture requires a systematic pipeline to ingest transaction data, filter it, map it to a specific risk factor, and then evaluate eligibility via a bucketing engine.</w:t>
      </w:r>
    </w:p>
    <w:p w14:paraId="1B4FBC11" w14:textId="77777777" w:rsidR="00356565" w:rsidRPr="004404B9" w:rsidRDefault="00356565" w:rsidP="00356565">
      <w:pPr>
        <w:spacing w:after="0" w:line="240" w:lineRule="auto"/>
        <w:ind w:left="108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CEE94CB" w14:textId="047BFE7A" w:rsidR="00356565" w:rsidRPr="004404B9" w:rsidRDefault="00ED5B7B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The logic seems simples </w:t>
      </w:r>
      <w:r w:rsidR="00356565" w:rsidRPr="004404B9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 xml:space="preserve">—the engineering complexity here is the scale and data aggregation. </w:t>
      </w:r>
    </w:p>
    <w:p w14:paraId="47CF0790" w14:textId="77777777" w:rsidR="00356565" w:rsidRPr="004404B9" w:rsidRDefault="00356565" w:rsidP="0035656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Ingest millions of daily transaction logs and broker quotes.</w:t>
      </w:r>
    </w:p>
    <w:p w14:paraId="6C61F4A7" w14:textId="77777777" w:rsidR="00356565" w:rsidRPr="004404B9" w:rsidRDefault="00356565" w:rsidP="0035656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Standardize vendor data formats.</w:t>
      </w:r>
    </w:p>
    <w:p w14:paraId="04F3A69A" w14:textId="77777777" w:rsidR="00356565" w:rsidRPr="004404B9" w:rsidRDefault="00356565" w:rsidP="00356565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Correctly map and bucket those transaction prices to our specific risk factors.</w:t>
      </w:r>
    </w:p>
    <w:p w14:paraId="124B263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  <w:t xml:space="preserve">RPO Example: IR and FX </w:t>
      </w:r>
    </w:p>
    <w:p w14:paraId="680584EF" w14:textId="01F7E088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We </w:t>
      </w:r>
      <w:r w:rsidR="00ED5B7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are going to process a lot of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executed transactions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across different asset classes. Tech must build an ingestion engine that categorizes transactions by product type and extracts asset-specific attributes and observables.</w:t>
      </w:r>
    </w:p>
    <w:p w14:paraId="36C9C22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52B3420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key point is that we cannot build one generic RPO table and expect it to work for every market.</w:t>
      </w:r>
    </w:p>
    <w:p w14:paraId="157BB28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  <w:t>Each asset class has different transaction types, different market observables, and different attributes needed for mapping.</w:t>
      </w:r>
    </w:p>
    <w:p w14:paraId="457CA51B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color w:val="0000FF"/>
          <w:kern w:val="0"/>
          <w:sz w:val="22"/>
          <w:szCs w:val="22"/>
          <w14:ligatures w14:val="none"/>
        </w:rPr>
        <w:t> </w:t>
      </w:r>
    </w:p>
    <w:p w14:paraId="59D6E243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Interest Rates, we may have executed trades and quotes across swaps, FRAs, cap/floors, swaptions, and cross-currency basis swaps.</w:t>
      </w:r>
    </w:p>
    <w:p w14:paraId="23B2FBEF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477C04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swaps, we need attributes like start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date, maturity date, currency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fixed leg, floating leg, floating index, OIS index, payment frequency, tenor, swap par rate, and basis spread.</w:t>
      </w:r>
    </w:p>
    <w:p w14:paraId="2117AC46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438BC6B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IR options, such as cap/floors or swaptions, we need different attributes: expiry, underlying tenor, strike, moneyness, ATM level, volatility quote, and option type.</w:t>
      </w:r>
    </w:p>
    <w:p w14:paraId="2FA1172F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 </w:t>
      </w:r>
    </w:p>
    <w:p w14:paraId="52033666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FX, the schema is different again.</w:t>
      </w:r>
    </w:p>
    <w:p w14:paraId="604AB61A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 need to capture spot, forwards, FX swaps, and FX options.</w:t>
      </w:r>
    </w:p>
    <w:p w14:paraId="2D38F57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D2E816A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For bonds and credit, the schema is different again.</w:t>
      </w:r>
    </w:p>
    <w:p w14:paraId="7C27CADF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 need issuer, bond identifier, maturity, coupon, seniority, rating, sector, currency, price, yield, spread, and trade or quote source.</w:t>
      </w:r>
    </w:p>
    <w:p w14:paraId="1D9EC786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F59128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############ </w:t>
      </w:r>
    </w:p>
    <w:p w14:paraId="4729B83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36"/>
          <w:szCs w:val="36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36"/>
          <w:szCs w:val="36"/>
          <w14:ligatures w14:val="none"/>
        </w:rPr>
        <w:t xml:space="preserve">For IR </w:t>
      </w:r>
      <w:proofErr w:type="spellStart"/>
      <w:r w:rsidRPr="004404B9">
        <w:rPr>
          <w:rFonts w:ascii="Calibri" w:eastAsia="Times New Roman" w:hAnsi="Calibri" w:cs="Calibri"/>
          <w:b/>
          <w:bCs/>
          <w:color w:val="0000FF"/>
          <w:kern w:val="0"/>
          <w:sz w:val="36"/>
          <w:szCs w:val="36"/>
          <w14:ligatures w14:val="none"/>
        </w:rPr>
        <w:t>Capfloor</w:t>
      </w:r>
      <w:proofErr w:type="spellEnd"/>
      <w:r w:rsidRPr="004404B9">
        <w:rPr>
          <w:rFonts w:ascii="Calibri" w:eastAsia="Times New Roman" w:hAnsi="Calibri" w:cs="Calibri"/>
          <w:b/>
          <w:bCs/>
          <w:color w:val="0000FF"/>
          <w:kern w:val="0"/>
          <w:sz w:val="36"/>
          <w:szCs w:val="36"/>
          <w14:ligatures w14:val="none"/>
        </w:rPr>
        <w:t xml:space="preserve">: </w:t>
      </w:r>
    </w:p>
    <w:p w14:paraId="268DD04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36"/>
          <w:szCs w:val="36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36"/>
          <w:szCs w:val="36"/>
          <w14:ligatures w14:val="none"/>
        </w:rPr>
        <w:t>Standard Strike Grid/ moneyness</w:t>
      </w:r>
    </w:p>
    <w:p w14:paraId="297D1981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0000FF"/>
          <w:kern w:val="0"/>
          <w:sz w:val="36"/>
          <w:szCs w:val="36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36"/>
          <w:szCs w:val="36"/>
          <w14:ligatures w14:val="none"/>
        </w:rPr>
        <w:t xml:space="preserve">(ATM to plus or minus 100, 200 pbs) </w:t>
      </w:r>
      <w:r w:rsidRPr="004404B9">
        <w:rPr>
          <w:rFonts w:ascii="Calibri" w:eastAsia="Times New Roman" w:hAnsi="Calibri" w:cs="Calibri"/>
          <w:b/>
          <w:bCs/>
          <w:color w:val="0000FF"/>
          <w:kern w:val="0"/>
          <w:sz w:val="36"/>
          <w:szCs w:val="36"/>
          <w14:ligatures w14:val="none"/>
        </w:rPr>
        <w:br/>
      </w:r>
      <w:r w:rsidRPr="004404B9">
        <w:rPr>
          <w:rFonts w:ascii="Calibri" w:eastAsia="Times New Roman" w:hAnsi="Calibri" w:cs="Calibri"/>
          <w:color w:val="0000FF"/>
          <w:kern w:val="0"/>
          <w:sz w:val="36"/>
          <w:szCs w:val="36"/>
          <w14:ligatures w14:val="none"/>
        </w:rPr>
        <w:t> </w:t>
      </w:r>
    </w:p>
    <w:p w14:paraId="3F48232F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 a standard European cap or floor, the instrument is actually a portfolio of individual options called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caplets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or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floorlets</w:t>
      </w:r>
    </w:p>
    <w:p w14:paraId="4D7A9A30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For Caplet, </w:t>
      </w:r>
      <w:proofErr w:type="spell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Flooret</w:t>
      </w:r>
      <w:proofErr w:type="spell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737A14A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D77361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these are European exercise 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types,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they can </w:t>
      </w:r>
      <w:r w:rsidRPr="004404B9">
        <w:rPr>
          <w:rFonts w:ascii="Calibri" w:eastAsia="Times New Roman" w:hAnsi="Calibri" w:cs="Calibri"/>
          <w:i/>
          <w:iCs/>
          <w:kern w:val="0"/>
          <w:sz w:val="22"/>
          <w:szCs w:val="22"/>
          <w14:ligatures w14:val="none"/>
        </w:rPr>
        <w:t>only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be exercised at the exact expiration/fixing date of each specific period. The payout happens at the end of the period based</w:t>
      </w:r>
    </w:p>
    <w:p w14:paraId="5163E2A8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7FFB24FD" w14:textId="77777777" w:rsidR="00356565" w:rsidRPr="004404B9" w:rsidRDefault="00356565" w:rsidP="00356565">
      <w:pPr>
        <w:spacing w:after="0" w:line="240" w:lineRule="auto"/>
        <w:ind w:left="540"/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</w:pP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don't look at strikes as absolute numbers (like 4.50%). Instead, they look at </w:t>
      </w:r>
      <w:r w:rsidRPr="004404B9">
        <w:rPr>
          <w:rFonts w:ascii="Google Sans Text" w:eastAsia="Times New Roman" w:hAnsi="Google Sans Text" w:cs="Calibri"/>
          <w:b/>
          <w:bCs/>
          <w:kern w:val="0"/>
          <w:sz w:val="22"/>
          <w:szCs w:val="22"/>
          <w14:ligatures w14:val="none"/>
        </w:rPr>
        <w:t>Relative Strikes</w:t>
      </w: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>, which measure how far a strike is from the current market level.</w:t>
      </w:r>
    </w:p>
    <w:p w14:paraId="60C6F592" w14:textId="77777777" w:rsidR="00356565" w:rsidRPr="004404B9" w:rsidRDefault="00356565" w:rsidP="00356565">
      <w:pPr>
        <w:spacing w:after="0" w:line="240" w:lineRule="auto"/>
        <w:ind w:left="540"/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</w:pP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Here, </w:t>
      </w:r>
      <w:r w:rsidRPr="004404B9">
        <w:rPr>
          <w:rFonts w:ascii="Google Sans Text" w:eastAsia="Times New Roman" w:hAnsi="Google Sans Text" w:cs="Calibri"/>
          <w:b/>
          <w:bCs/>
          <w:kern w:val="0"/>
          <w:sz w:val="22"/>
          <w:szCs w:val="22"/>
          <w14:ligatures w14:val="none"/>
        </w:rPr>
        <w:t>ATM</w:t>
      </w: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 stands for </w:t>
      </w:r>
      <w:r w:rsidRPr="004404B9">
        <w:rPr>
          <w:rFonts w:ascii="Google Sans Text" w:eastAsia="Times New Roman" w:hAnsi="Google Sans Text" w:cs="Calibri"/>
          <w:b/>
          <w:bCs/>
          <w:kern w:val="0"/>
          <w:sz w:val="22"/>
          <w:szCs w:val="22"/>
          <w14:ligatures w14:val="none"/>
        </w:rPr>
        <w:t>At-The-Money</w:t>
      </w: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, and the numbers (100, 200) represent </w:t>
      </w:r>
      <w:r w:rsidRPr="004404B9">
        <w:rPr>
          <w:rFonts w:ascii="Google Sans Text" w:eastAsia="Times New Roman" w:hAnsi="Google Sans Text" w:cs="Calibri"/>
          <w:b/>
          <w:bCs/>
          <w:kern w:val="0"/>
          <w:sz w:val="22"/>
          <w:szCs w:val="22"/>
          <w14:ligatures w14:val="none"/>
        </w:rPr>
        <w:t>basis points (bps)</w:t>
      </w: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 away from that ATM level.</w:t>
      </w:r>
    </w:p>
    <w:p w14:paraId="4BC7BF06" w14:textId="77777777" w:rsidR="00356565" w:rsidRPr="004404B9" w:rsidRDefault="00356565" w:rsidP="00356565">
      <w:pPr>
        <w:spacing w:after="0" w:line="240" w:lineRule="auto"/>
        <w:ind w:left="1080"/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</w:pP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Remember: </w:t>
      </w:r>
      <w:r w:rsidRPr="004404B9">
        <w:rPr>
          <w:rFonts w:ascii="Google Sans Text" w:eastAsia="Times New Roman" w:hAnsi="Google Sans Text" w:cs="Calibri"/>
          <w:b/>
          <w:bCs/>
          <w:kern w:val="0"/>
          <w:sz w:val="22"/>
          <w:szCs w:val="22"/>
          <w14:ligatures w14:val="none"/>
        </w:rPr>
        <w:t>100 basis points = 1.00%</w:t>
      </w: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 xml:space="preserve"> (e.g., if the ATM rate is 4.00%, 100 bps is 1.00%).</w:t>
      </w:r>
    </w:p>
    <w:p w14:paraId="48F832FA" w14:textId="77777777" w:rsidR="00356565" w:rsidRPr="004404B9" w:rsidRDefault="00356565" w:rsidP="00356565">
      <w:pPr>
        <w:spacing w:after="0" w:line="240" w:lineRule="auto"/>
        <w:ind w:left="540"/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</w:pPr>
      <w:r w:rsidRPr="004404B9">
        <w:rPr>
          <w:rFonts w:ascii="Google Sans Text" w:eastAsia="Times New Roman" w:hAnsi="Google Sans Text" w:cs="Calibri"/>
          <w:kern w:val="0"/>
          <w:sz w:val="22"/>
          <w:szCs w:val="22"/>
          <w14:ligatures w14:val="none"/>
        </w:rPr>
        <w:t>Here is exactly what those specific terms mean:</w:t>
      </w:r>
    </w:p>
    <w:p w14:paraId="74C88CF0" w14:textId="77777777" w:rsidR="00356565" w:rsidRPr="004404B9" w:rsidRDefault="00356565" w:rsidP="00356565">
      <w:pPr>
        <w:spacing w:after="0" w:line="240" w:lineRule="auto"/>
        <w:ind w:left="540"/>
        <w:rPr>
          <w:rFonts w:ascii="Google Sans" w:eastAsia="Times New Roman" w:hAnsi="Google Sans" w:cs="Calibri"/>
          <w:kern w:val="0"/>
          <w:sz w:val="32"/>
          <w:szCs w:val="32"/>
          <w14:ligatures w14:val="none"/>
        </w:rPr>
      </w:pPr>
      <w:r w:rsidRPr="004404B9">
        <w:rPr>
          <w:rFonts w:ascii="Google Sans" w:eastAsia="Times New Roman" w:hAnsi="Google Sans" w:cs="Calibri"/>
          <w:b/>
          <w:bCs/>
          <w:kern w:val="0"/>
          <w:sz w:val="32"/>
          <w:szCs w:val="32"/>
          <w14:ligatures w14:val="none"/>
        </w:rPr>
        <w:t>The Terms Broken Down</w:t>
      </w:r>
    </w:p>
    <w:tbl>
      <w:tblPr>
        <w:tblW w:w="0" w:type="auto"/>
        <w:tblInd w:w="48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00"/>
        <w:gridCol w:w="1578"/>
        <w:gridCol w:w="6302"/>
      </w:tblGrid>
      <w:tr w:rsidR="00356565" w:rsidRPr="004404B9" w14:paraId="50D48BA3" w14:textId="77777777" w:rsidTr="002F195E"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D3D783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Term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F8E09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Technical Meaning</w:t>
            </w:r>
          </w:p>
        </w:tc>
        <w:tc>
          <w:tcPr>
            <w:tcW w:w="11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F8DA1D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What it represents</w:t>
            </w:r>
          </w:p>
        </w:tc>
      </w:tr>
      <w:tr w:rsidR="00356565" w:rsidRPr="004404B9" w14:paraId="5F55B66D" w14:textId="77777777" w:rsidTr="002F195E"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FDC4C9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2FAF6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At-The-Money</w:t>
            </w:r>
          </w:p>
        </w:tc>
        <w:tc>
          <w:tcPr>
            <w:tcW w:w="1134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25BB9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>The strike price is exactly equal to the current forward market rate.</w:t>
            </w:r>
          </w:p>
        </w:tc>
      </w:tr>
      <w:tr w:rsidR="00356565" w:rsidRPr="004404B9" w14:paraId="5BD822BB" w14:textId="77777777" w:rsidTr="002F195E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454DA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 + 100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78268F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 + 100 bps</w:t>
            </w:r>
          </w:p>
        </w:tc>
        <w:tc>
          <w:tcPr>
            <w:tcW w:w="11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6BFD10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 xml:space="preserve">The strike is </w:t>
            </w: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1.00% higher</w:t>
            </w: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 xml:space="preserve"> than the ATM rate.</w:t>
            </w:r>
          </w:p>
        </w:tc>
      </w:tr>
      <w:tr w:rsidR="00356565" w:rsidRPr="004404B9" w14:paraId="18E639E4" w14:textId="77777777" w:rsidTr="002F195E"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B94A8F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 - 100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6E15A3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 - 100 bps</w:t>
            </w:r>
          </w:p>
        </w:tc>
        <w:tc>
          <w:tcPr>
            <w:tcW w:w="115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40BED8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 xml:space="preserve">The strike is </w:t>
            </w: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1.00% lower</w:t>
            </w: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 xml:space="preserve"> than the ATM rate. </w:t>
            </w:r>
            <w:r w:rsidRPr="004404B9">
              <w:rPr>
                <w:rFonts w:ascii="Google Sans Text" w:eastAsia="Times New Roman" w:hAnsi="Google Sans Text" w:cs="Times New Roman"/>
                <w:i/>
                <w:iCs/>
                <w:kern w:val="0"/>
                <w:sz w:val="22"/>
                <w:szCs w:val="22"/>
                <w14:ligatures w14:val="none"/>
              </w:rPr>
              <w:t>(Note: Often written with an underscore as ATM_100 in database column names).</w:t>
            </w:r>
          </w:p>
        </w:tc>
      </w:tr>
      <w:tr w:rsidR="00356565" w:rsidRPr="004404B9" w14:paraId="69AD537F" w14:textId="77777777" w:rsidTr="002F195E"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479600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 + 200</w:t>
            </w:r>
          </w:p>
        </w:tc>
        <w:tc>
          <w:tcPr>
            <w:tcW w:w="200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26459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ATM + 200 bps</w:t>
            </w:r>
          </w:p>
        </w:tc>
        <w:tc>
          <w:tcPr>
            <w:tcW w:w="113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E0AF2D" w14:textId="77777777" w:rsidR="00356565" w:rsidRPr="004404B9" w:rsidRDefault="00356565" w:rsidP="002F195E">
            <w:pPr>
              <w:spacing w:after="0" w:line="240" w:lineRule="auto"/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</w:pP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 xml:space="preserve">The strike is </w:t>
            </w:r>
            <w:r w:rsidRPr="004404B9">
              <w:rPr>
                <w:rFonts w:ascii="Google Sans Text" w:eastAsia="Times New Roman" w:hAnsi="Google Sans Text" w:cs="Times New Roman"/>
                <w:b/>
                <w:bCs/>
                <w:kern w:val="0"/>
                <w:sz w:val="22"/>
                <w:szCs w:val="22"/>
                <w14:ligatures w14:val="none"/>
              </w:rPr>
              <w:t>2.00% higher</w:t>
            </w:r>
            <w:r w:rsidRPr="004404B9">
              <w:rPr>
                <w:rFonts w:ascii="Google Sans Text" w:eastAsia="Times New Roman" w:hAnsi="Google Sans Text" w:cs="Times New Roman"/>
                <w:kern w:val="0"/>
                <w:sz w:val="22"/>
                <w:szCs w:val="22"/>
                <w14:ligatures w14:val="none"/>
              </w:rPr>
              <w:t xml:space="preserve"> than the ATM rate.</w:t>
            </w:r>
          </w:p>
        </w:tc>
      </w:tr>
    </w:tbl>
    <w:p w14:paraId="39691C9C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107B4E9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######</w:t>
      </w:r>
    </w:p>
    <w:p w14:paraId="65838A8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  <w:lastRenderedPageBreak/>
        <w:t xml:space="preserve">Bucketing </w:t>
      </w:r>
      <w:r w:rsidRPr="004404B9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br/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265CD9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Next, let’s move to bucketing.</w:t>
      </w:r>
    </w:p>
    <w:p w14:paraId="168DA37B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2C555F0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Once we ingest the raw RPO data across all asset classes, the engine cannot just count them blindly. </w:t>
      </w:r>
    </w:p>
    <w:p w14:paraId="777EC821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5D08210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We should </w:t>
      </w:r>
      <w:proofErr w:type="gramStart"/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take  the</w:t>
      </w:r>
      <w:proofErr w:type="gramEnd"/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transaction's </w:t>
      </w:r>
      <w:r w:rsidRPr="004404B9">
        <w:rPr>
          <w:rFonts w:ascii="Calibri" w:eastAsia="Times New Roman" w:hAnsi="Calibri" w:cs="Calibri"/>
          <w:b/>
          <w:bCs/>
          <w:i/>
          <w:iCs/>
          <w:kern w:val="0"/>
          <w:sz w:val="22"/>
          <w:szCs w:val="22"/>
          <w14:ligatures w14:val="none"/>
        </w:rPr>
        <w:t>observation date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and </w:t>
      </w:r>
      <w:r w:rsidRPr="004404B9">
        <w:rPr>
          <w:rFonts w:ascii="Calibri" w:eastAsia="Times New Roman" w:hAnsi="Calibri" w:cs="Calibri"/>
          <w:b/>
          <w:bCs/>
          <w:i/>
          <w:iCs/>
          <w:kern w:val="0"/>
          <w:sz w:val="22"/>
          <w:szCs w:val="22"/>
          <w14:ligatures w14:val="none"/>
        </w:rPr>
        <w:t>maturity date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, calculates the time to maturity, and maps that transaction to a specific maturity bucket (e.g., 1Y, 2Y, 5Y, 10Y).</w:t>
      </w:r>
    </w:p>
    <w:p w14:paraId="3B1A8531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0374796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there is an important design decision.</w:t>
      </w:r>
    </w:p>
    <w:p w14:paraId="26630F29" w14:textId="77777777" w:rsidR="00356565" w:rsidRPr="004404B9" w:rsidRDefault="00356565" w:rsidP="00356565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 we map RPOs into broad regulatory buckets?</w:t>
      </w:r>
    </w:p>
    <w:p w14:paraId="41495317" w14:textId="77777777" w:rsidR="00356565" w:rsidRPr="004404B9" w:rsidRDefault="00356565" w:rsidP="00356565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Or do we map them into our own internal risk-factor buckets?</w:t>
      </w:r>
    </w:p>
    <w:p w14:paraId="35055FDD" w14:textId="77777777" w:rsidR="00356565" w:rsidRPr="004404B9" w:rsidRDefault="00356565" w:rsidP="00356565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Do risk factor </w:t>
      </w: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bucket  have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match </w:t>
      </w:r>
    </w:p>
    <w:p w14:paraId="2A3B783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467F315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Broad regulatory buckets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may give more room to aggregate observations and improve the chance of passing the quantitative test.</w:t>
      </w:r>
    </w:p>
    <w:p w14:paraId="1894B74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Internal buckets</w:t>
      </w: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are usually more precise and closer to our model risk factors.</w:t>
      </w:r>
    </w:p>
    <w:p w14:paraId="1C476B52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But they may be more granular, which can reduce RPO counts and create more non-modellable risk factors.</w:t>
      </w:r>
    </w:p>
    <w:p w14:paraId="7AECE46E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D044047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722C86C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 xml:space="preserve">Because the we have has not finalized this strategic choice, 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:highlight w:val="yellow"/>
          <w14:ligatures w14:val="none"/>
        </w:rPr>
        <w:t>Tech must build a highly configurable bucketing layer.</w:t>
      </w:r>
      <w:r w:rsidRPr="004404B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</w:t>
      </w:r>
    </w:p>
    <w:p w14:paraId="6C6FAEF9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3987B33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5BBB0700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But the risk is that the bucket may become too broad, and we may not be able to prove that the RPOs are truly representative of the specific risk factor.</w:t>
      </w:r>
    </w:p>
    <w:p w14:paraId="31088309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E97C9A9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gramStart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</w:t>
      </w:r>
      <w:proofErr w:type="gramEnd"/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 approach is not just technical. It requires Risk, Quants, Tech, and Model Governance alignment.</w:t>
      </w:r>
    </w:p>
    <w:p w14:paraId="1020269F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There are two possible interpretations we need to support in the PoC.</w:t>
      </w:r>
    </w:p>
    <w:p w14:paraId="3C766D84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 </w:t>
      </w:r>
    </w:p>
    <w:p w14:paraId="26542CEF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48"/>
          <w:szCs w:val="48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FA0000"/>
          <w:kern w:val="0"/>
          <w:sz w:val="48"/>
          <w:szCs w:val="48"/>
          <w14:ligatures w14:val="none"/>
        </w:rPr>
        <w:t>### Aggregation</w:t>
      </w:r>
    </w:p>
    <w:p w14:paraId="064C8759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b/>
          <w:bCs/>
          <w:color w:val="0000FF"/>
          <w:kern w:val="0"/>
          <w:sz w:val="22"/>
          <w:szCs w:val="22"/>
          <w14:ligatures w14:val="none"/>
        </w:rPr>
        <w:t>Now let’s move to RPO aggregation.</w:t>
      </w:r>
    </w:p>
    <w:p w14:paraId="40F10F7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At this point in the pipeline, we have already ingested the raw observations, normalized them, enriched them, bucketed them, and mapped them to the right RFET dimensions.</w:t>
      </w:r>
    </w:p>
    <w:p w14:paraId="7AEC040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:highlight w:val="yellow"/>
          <w14:ligatures w14:val="none"/>
        </w:rPr>
        <w:t>Aggregation is the step where we turn all of that detailed observation-level data into a clean, usable RFET evidence layer.</w:t>
      </w:r>
    </w:p>
    <w:p w14:paraId="4B64582A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63971D65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4404B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purpose is to create a summarized view that Tech, Risk, and Quants can quickly use to map observations to risk factors and run the quantitative test.</w:t>
      </w:r>
    </w:p>
    <w:p w14:paraId="374F993D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color w:val="FA0000"/>
          <w:kern w:val="0"/>
          <w:sz w:val="48"/>
          <w:szCs w:val="48"/>
          <w14:ligatures w14:val="none"/>
        </w:rPr>
      </w:pPr>
      <w:r w:rsidRPr="004404B9">
        <w:rPr>
          <w:rFonts w:ascii="Calibri" w:eastAsia="Times New Roman" w:hAnsi="Calibri" w:cs="Calibri"/>
          <w:color w:val="FA0000"/>
          <w:kern w:val="0"/>
          <w:sz w:val="48"/>
          <w:szCs w:val="48"/>
          <w14:ligatures w14:val="none"/>
        </w:rPr>
        <w:t> </w:t>
      </w:r>
    </w:p>
    <w:p w14:paraId="03B68212" w14:textId="77777777" w:rsidR="00356565" w:rsidRPr="004404B9" w:rsidRDefault="00356565" w:rsidP="00356565">
      <w:pPr>
        <w:spacing w:after="0" w:line="240" w:lineRule="auto"/>
        <w:ind w:left="540"/>
        <w:rPr>
          <w:rFonts w:ascii="Calibri" w:eastAsia="Times New Roman" w:hAnsi="Calibri" w:cs="Calibri"/>
          <w:kern w:val="0"/>
          <w:sz w:val="32"/>
          <w:szCs w:val="32"/>
          <w14:ligatures w14:val="none"/>
        </w:rPr>
      </w:pPr>
      <w:r w:rsidRPr="004404B9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lastRenderedPageBreak/>
        <w:t xml:space="preserve">#### now, </w:t>
      </w:r>
      <w:proofErr w:type="spellStart"/>
      <w:r w:rsidRPr="004404B9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>lets</w:t>
      </w:r>
      <w:proofErr w:type="spellEnd"/>
      <w:r w:rsidRPr="004404B9">
        <w:rPr>
          <w:rFonts w:ascii="Calibri" w:eastAsia="Times New Roman" w:hAnsi="Calibri" w:cs="Calibri"/>
          <w:b/>
          <w:bCs/>
          <w:kern w:val="0"/>
          <w:sz w:val="32"/>
          <w:szCs w:val="32"/>
          <w14:ligatures w14:val="none"/>
        </w:rPr>
        <w:t xml:space="preserve"> go the </w:t>
      </w:r>
    </w:p>
    <w:p w14:paraId="0BA895E7" w14:textId="77777777" w:rsidR="00356565" w:rsidRDefault="00356565" w:rsidP="00356565"/>
    <w:p w14:paraId="5886F9DA" w14:textId="77777777" w:rsidR="00356565" w:rsidRPr="00C97F35" w:rsidRDefault="00356565" w:rsidP="00C97F35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sectPr w:rsidR="00356565" w:rsidRPr="00C97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E58A" w14:textId="77777777" w:rsidR="00356565" w:rsidRDefault="00356565" w:rsidP="00356565">
      <w:pPr>
        <w:spacing w:after="0" w:line="240" w:lineRule="auto"/>
      </w:pPr>
      <w:r>
        <w:separator/>
      </w:r>
    </w:p>
  </w:endnote>
  <w:endnote w:type="continuationSeparator" w:id="0">
    <w:p w14:paraId="0B5E9572" w14:textId="77777777" w:rsidR="00356565" w:rsidRDefault="00356565" w:rsidP="0035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D45AA" w14:textId="77777777" w:rsidR="00356565" w:rsidRDefault="00356565" w:rsidP="00356565">
      <w:pPr>
        <w:spacing w:after="0" w:line="240" w:lineRule="auto"/>
      </w:pPr>
      <w:r>
        <w:separator/>
      </w:r>
    </w:p>
  </w:footnote>
  <w:footnote w:type="continuationSeparator" w:id="0">
    <w:p w14:paraId="44E84882" w14:textId="77777777" w:rsidR="00356565" w:rsidRDefault="00356565" w:rsidP="003565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C03"/>
    <w:multiLevelType w:val="multilevel"/>
    <w:tmpl w:val="21D0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42C9A"/>
    <w:multiLevelType w:val="multilevel"/>
    <w:tmpl w:val="B0DC8D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45B1983"/>
    <w:multiLevelType w:val="hybridMultilevel"/>
    <w:tmpl w:val="FB64D01C"/>
    <w:lvl w:ilvl="0" w:tplc="D81E758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F371E"/>
    <w:multiLevelType w:val="multilevel"/>
    <w:tmpl w:val="794E49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95808CC"/>
    <w:multiLevelType w:val="multilevel"/>
    <w:tmpl w:val="43F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B06ED5"/>
    <w:multiLevelType w:val="multilevel"/>
    <w:tmpl w:val="86C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355697"/>
    <w:multiLevelType w:val="multilevel"/>
    <w:tmpl w:val="47D2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2319DC"/>
    <w:multiLevelType w:val="multilevel"/>
    <w:tmpl w:val="A6B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021AD8"/>
    <w:multiLevelType w:val="multilevel"/>
    <w:tmpl w:val="29BA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3157B2"/>
    <w:multiLevelType w:val="multilevel"/>
    <w:tmpl w:val="0D6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264FA7"/>
    <w:multiLevelType w:val="multilevel"/>
    <w:tmpl w:val="EF6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08D2BEB"/>
    <w:multiLevelType w:val="multilevel"/>
    <w:tmpl w:val="111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F339C4"/>
    <w:multiLevelType w:val="hybridMultilevel"/>
    <w:tmpl w:val="21CE1C8A"/>
    <w:lvl w:ilvl="0" w:tplc="D81E758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010AB"/>
    <w:multiLevelType w:val="hybridMultilevel"/>
    <w:tmpl w:val="395281BA"/>
    <w:lvl w:ilvl="0" w:tplc="D81E7586">
      <w:start w:val="1"/>
      <w:numFmt w:val="bullet"/>
      <w:lvlText w:val=""/>
      <w:lvlJc w:val="left"/>
      <w:pPr>
        <w:ind w:left="12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1570A59"/>
    <w:multiLevelType w:val="multilevel"/>
    <w:tmpl w:val="6ABC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042B46"/>
    <w:multiLevelType w:val="multilevel"/>
    <w:tmpl w:val="98EAF8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75E17981"/>
    <w:multiLevelType w:val="multilevel"/>
    <w:tmpl w:val="23C6AA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04592666">
    <w:abstractNumId w:val="9"/>
  </w:num>
  <w:num w:numId="2" w16cid:durableId="504782359">
    <w:abstractNumId w:val="12"/>
  </w:num>
  <w:num w:numId="3" w16cid:durableId="1053579946">
    <w:abstractNumId w:val="11"/>
  </w:num>
  <w:num w:numId="4" w16cid:durableId="1629240927">
    <w:abstractNumId w:val="2"/>
  </w:num>
  <w:num w:numId="5" w16cid:durableId="398598433">
    <w:abstractNumId w:val="0"/>
    <w:lvlOverride w:ilvl="0">
      <w:startOverride w:val="1"/>
    </w:lvlOverride>
  </w:num>
  <w:num w:numId="6" w16cid:durableId="808857941">
    <w:abstractNumId w:val="13"/>
  </w:num>
  <w:num w:numId="7" w16cid:durableId="8875172">
    <w:abstractNumId w:val="7"/>
  </w:num>
  <w:num w:numId="8" w16cid:durableId="1405444493">
    <w:abstractNumId w:val="5"/>
  </w:num>
  <w:num w:numId="9" w16cid:durableId="667635788">
    <w:abstractNumId w:val="10"/>
  </w:num>
  <w:num w:numId="10" w16cid:durableId="585309968">
    <w:abstractNumId w:val="8"/>
  </w:num>
  <w:num w:numId="11" w16cid:durableId="542598249">
    <w:abstractNumId w:val="15"/>
  </w:num>
  <w:num w:numId="12" w16cid:durableId="1904750461">
    <w:abstractNumId w:val="14"/>
  </w:num>
  <w:num w:numId="13" w16cid:durableId="1847599920">
    <w:abstractNumId w:val="6"/>
  </w:num>
  <w:num w:numId="14" w16cid:durableId="693380061">
    <w:abstractNumId w:val="4"/>
  </w:num>
  <w:num w:numId="15" w16cid:durableId="2082948968">
    <w:abstractNumId w:val="1"/>
  </w:num>
  <w:num w:numId="16" w16cid:durableId="798914721">
    <w:abstractNumId w:val="3"/>
  </w:num>
  <w:num w:numId="17" w16cid:durableId="19173532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35"/>
    <w:rsid w:val="00356565"/>
    <w:rsid w:val="00732894"/>
    <w:rsid w:val="008D20AA"/>
    <w:rsid w:val="00C97F35"/>
    <w:rsid w:val="00ED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55498"/>
  <w15:chartTrackingRefBased/>
  <w15:docId w15:val="{EE6611C2-D881-4AFB-813D-324DF2829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F35"/>
  </w:style>
  <w:style w:type="paragraph" w:styleId="Heading1">
    <w:name w:val="heading 1"/>
    <w:basedOn w:val="Normal"/>
    <w:next w:val="Normal"/>
    <w:link w:val="Heading1Char"/>
    <w:uiPriority w:val="9"/>
    <w:qFormat/>
    <w:rsid w:val="00C97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F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565"/>
  </w:style>
  <w:style w:type="paragraph" w:styleId="Footer">
    <w:name w:val="footer"/>
    <w:basedOn w:val="Normal"/>
    <w:link w:val="FooterChar"/>
    <w:uiPriority w:val="99"/>
    <w:unhideWhenUsed/>
    <w:rsid w:val="00356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1600</Words>
  <Characters>9124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1</cp:revision>
  <dcterms:created xsi:type="dcterms:W3CDTF">2026-06-03T17:42:00Z</dcterms:created>
  <dcterms:modified xsi:type="dcterms:W3CDTF">2026-06-03T18:18:00Z</dcterms:modified>
</cp:coreProperties>
</file>