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DC81B" w14:textId="716B96F1" w:rsidR="004E3C6A" w:rsidRDefault="00052E4B">
      <w:r>
        <w:t xml:space="preserve">Get inspired from </w:t>
      </w:r>
      <w:proofErr w:type="spellStart"/>
      <w:r>
        <w:t>jP</w:t>
      </w:r>
      <w:proofErr w:type="spellEnd"/>
      <w:r>
        <w:t xml:space="preserve"> Morgan</w:t>
      </w:r>
    </w:p>
    <w:p w14:paraId="2AF66A42" w14:textId="26620E4E" w:rsidR="00052E4B" w:rsidRDefault="00052E4B">
      <w:r>
        <w:t xml:space="preserve">Fusion </w:t>
      </w:r>
    </w:p>
    <w:p w14:paraId="107C33A5" w14:textId="7BD3B9E9" w:rsidR="00052E4B" w:rsidRDefault="00052E4B">
      <w:proofErr w:type="spellStart"/>
      <w:r>
        <w:t>DataQuery</w:t>
      </w:r>
      <w:proofErr w:type="spellEnd"/>
    </w:p>
    <w:p w14:paraId="27A41F45" w14:textId="2E5367DB" w:rsidR="00052E4B" w:rsidRDefault="00414194">
      <w:hyperlink r:id="rId4" w:history="1">
        <w:r w:rsidRPr="00A02CC6">
          <w:rPr>
            <w:rStyle w:val="Hyperlink"/>
          </w:rPr>
          <w:t>https://fusion.jpmorgan.com/solutions/containerized-data</w:t>
        </w:r>
      </w:hyperlink>
    </w:p>
    <w:p w14:paraId="15D4036D" w14:textId="77777777" w:rsidR="00315EF7" w:rsidRDefault="00315EF7"/>
    <w:p w14:paraId="2CCCF17D" w14:textId="0C90A790" w:rsidR="00315EF7" w:rsidRDefault="00315EF7">
      <w:hyperlink r:id="rId5" w:history="1">
        <w:r w:rsidRPr="00A02CC6">
          <w:rPr>
            <w:rStyle w:val="Hyperlink"/>
          </w:rPr>
          <w:t>https://www.talentify.io/job/cre-data-domain-architect-vp-seattle-washington-jp-morgan-210449207</w:t>
        </w:r>
      </w:hyperlink>
    </w:p>
    <w:p w14:paraId="44111A3F" w14:textId="73CE7186" w:rsidR="00315EF7" w:rsidRDefault="002016B7">
      <w:hyperlink r:id="rId6" w:history="1">
        <w:r w:rsidRPr="00A02CC6">
          <w:rPr>
            <w:rStyle w:val="Hyperlink"/>
          </w:rPr>
          <w:t>https://www.talentify.io/job/wealth-management-data-domain-architect-senior-associate-new-york-new-york-jp-morgan-210470111</w:t>
        </w:r>
      </w:hyperlink>
    </w:p>
    <w:p w14:paraId="1335A139" w14:textId="77777777" w:rsidR="002016B7" w:rsidRDefault="002016B7"/>
    <w:p w14:paraId="5A821543" w14:textId="77777777" w:rsidR="00315EF7" w:rsidRDefault="00315EF7"/>
    <w:p w14:paraId="472EE54E" w14:textId="77777777" w:rsidR="00414194" w:rsidRDefault="00414194"/>
    <w:p w14:paraId="4EE303CF" w14:textId="7615E9D2" w:rsidR="00052E4B" w:rsidRDefault="00052E4B">
      <w:r>
        <w:br w:type="page"/>
      </w:r>
    </w:p>
    <w:p w14:paraId="41B82463" w14:textId="7427B019" w:rsidR="00052E4B" w:rsidRDefault="00052E4B">
      <w:pPr>
        <w:rPr>
          <w:rFonts w:ascii="OpenSans-Regular" w:hAnsi="OpenSans-Regular"/>
          <w:i/>
          <w:iCs/>
          <w:color w:val="000000"/>
          <w:sz w:val="27"/>
          <w:szCs w:val="27"/>
        </w:rPr>
      </w:pPr>
      <w:r>
        <w:rPr>
          <w:rFonts w:ascii="OpenSans-Regular" w:hAnsi="OpenSans-Regular"/>
          <w:i/>
          <w:iCs/>
          <w:color w:val="000000"/>
          <w:sz w:val="27"/>
          <w:szCs w:val="27"/>
        </w:rPr>
        <w:lastRenderedPageBreak/>
        <w:t xml:space="preserve">We have found the </w:t>
      </w:r>
      <w:r w:rsidRPr="00052E4B">
        <w:rPr>
          <w:rFonts w:ascii="OpenSans-Regular" w:hAnsi="OpenSans-Regular"/>
          <w:i/>
          <w:iCs/>
          <w:color w:val="000000"/>
          <w:sz w:val="27"/>
          <w:szCs w:val="27"/>
          <w:highlight w:val="yellow"/>
        </w:rPr>
        <w:t>Fusion platform</w:t>
      </w:r>
      <w:r>
        <w:rPr>
          <w:rFonts w:ascii="OpenSans-Regular" w:hAnsi="OpenSans-Regular"/>
          <w:i/>
          <w:iCs/>
          <w:color w:val="000000"/>
          <w:sz w:val="27"/>
          <w:szCs w:val="27"/>
        </w:rPr>
        <w:t xml:space="preserve"> to provide a stable, modern and reliable way to connect into the J.P. Morgan's Securities Services data universe. We were able to establish secure connectivity between Fusion and our proprietary code base within hours. </w:t>
      </w:r>
      <w:proofErr w:type="spellStart"/>
      <w:r>
        <w:rPr>
          <w:rFonts w:ascii="OpenSans-Regular" w:hAnsi="OpenSans-Regular"/>
          <w:i/>
          <w:iCs/>
          <w:color w:val="000000"/>
          <w:sz w:val="27"/>
          <w:szCs w:val="27"/>
        </w:rPr>
        <w:t>Storebrand</w:t>
      </w:r>
      <w:proofErr w:type="spellEnd"/>
      <w:r>
        <w:rPr>
          <w:rFonts w:ascii="OpenSans-Regular" w:hAnsi="OpenSans-Regular"/>
          <w:i/>
          <w:iCs/>
          <w:color w:val="000000"/>
          <w:sz w:val="27"/>
          <w:szCs w:val="27"/>
        </w:rPr>
        <w:t xml:space="preserve"> is looking forward to expanding the use of Fusion as the platform extends to new areas.</w:t>
      </w:r>
    </w:p>
    <w:p w14:paraId="49BF62D5" w14:textId="77777777" w:rsidR="00052E4B" w:rsidRDefault="00052E4B">
      <w:pPr>
        <w:rPr>
          <w:rFonts w:ascii="OpenSans-Regular" w:hAnsi="OpenSans-Regular"/>
          <w:i/>
          <w:iCs/>
          <w:color w:val="000000"/>
          <w:sz w:val="27"/>
          <w:szCs w:val="27"/>
        </w:rPr>
      </w:pPr>
    </w:p>
    <w:p w14:paraId="71B027F1" w14:textId="5701A6DD" w:rsidR="00052E4B" w:rsidRDefault="00052E4B">
      <w:pPr>
        <w:rPr>
          <w:rFonts w:ascii="OpenSans-Regular" w:hAnsi="OpenSans-Regular"/>
          <w:color w:val="161616"/>
          <w:sz w:val="30"/>
          <w:szCs w:val="30"/>
        </w:rPr>
      </w:pPr>
      <w:r w:rsidRPr="00052E4B">
        <w:rPr>
          <w:rStyle w:val="Strong"/>
          <w:rFonts w:ascii="OpenSans-Bold" w:hAnsi="OpenSans-Bold"/>
          <w:color w:val="161616"/>
          <w:sz w:val="30"/>
          <w:szCs w:val="30"/>
          <w:highlight w:val="yellow"/>
        </w:rPr>
        <w:t>Fusion</w:t>
      </w:r>
      <w:r>
        <w:rPr>
          <w:rStyle w:val="Strong"/>
          <w:rFonts w:ascii="OpenSans-Bold" w:hAnsi="OpenSans-Bold"/>
          <w:color w:val="161616"/>
          <w:sz w:val="30"/>
          <w:szCs w:val="30"/>
        </w:rPr>
        <w:t xml:space="preserve"> is a cloud-native data solution for institutional investors, providing end-to-end </w:t>
      </w:r>
      <w:r w:rsidRPr="00245B9D">
        <w:rPr>
          <w:rStyle w:val="Strong"/>
          <w:rFonts w:ascii="OpenSans-Bold" w:hAnsi="OpenSans-Bold"/>
          <w:color w:val="161616"/>
          <w:sz w:val="30"/>
          <w:szCs w:val="30"/>
          <w:highlight w:val="yellow"/>
        </w:rPr>
        <w:t>data management</w:t>
      </w:r>
      <w:r>
        <w:rPr>
          <w:rStyle w:val="Strong"/>
          <w:rFonts w:ascii="OpenSans-Bold" w:hAnsi="OpenSans-Bold"/>
          <w:color w:val="161616"/>
          <w:sz w:val="30"/>
          <w:szCs w:val="30"/>
        </w:rPr>
        <w:t xml:space="preserve">, </w:t>
      </w:r>
      <w:r w:rsidRPr="00245B9D">
        <w:rPr>
          <w:rStyle w:val="Strong"/>
          <w:rFonts w:ascii="OpenSans-Bold" w:hAnsi="OpenSans-Bold"/>
          <w:color w:val="161616"/>
          <w:sz w:val="30"/>
          <w:szCs w:val="30"/>
          <w:highlight w:val="yellow"/>
        </w:rPr>
        <w:t>analytics</w:t>
      </w:r>
      <w:r>
        <w:rPr>
          <w:rStyle w:val="Strong"/>
          <w:rFonts w:ascii="OpenSans-Bold" w:hAnsi="OpenSans-Bold"/>
          <w:color w:val="161616"/>
          <w:sz w:val="30"/>
          <w:szCs w:val="30"/>
        </w:rPr>
        <w:t xml:space="preserve">, and </w:t>
      </w:r>
      <w:r w:rsidRPr="00245B9D">
        <w:rPr>
          <w:rStyle w:val="Strong"/>
          <w:rFonts w:ascii="OpenSans-Bold" w:hAnsi="OpenSans-Bold"/>
          <w:color w:val="161616"/>
          <w:sz w:val="30"/>
          <w:szCs w:val="30"/>
          <w:highlight w:val="yellow"/>
        </w:rPr>
        <w:t>reporting</w:t>
      </w:r>
      <w:r>
        <w:rPr>
          <w:rStyle w:val="Strong"/>
          <w:rFonts w:ascii="OpenSans-Bold" w:hAnsi="OpenSans-Bold"/>
          <w:color w:val="161616"/>
          <w:sz w:val="30"/>
          <w:szCs w:val="30"/>
        </w:rPr>
        <w:t xml:space="preserve"> across the investment lifecycle. </w:t>
      </w:r>
      <w:r>
        <w:rPr>
          <w:rFonts w:ascii="OpenSans-Regular" w:hAnsi="OpenSans-Regular"/>
          <w:color w:val="161616"/>
          <w:sz w:val="30"/>
          <w:szCs w:val="30"/>
        </w:rPr>
        <w:t>Seamlessly integrate and combine data from multiple sources into a single data model that delivers the benefits of scale and reduced costs, along with the ability to more easily unlock timely analysis and insights</w:t>
      </w:r>
    </w:p>
    <w:p w14:paraId="5D1053D9" w14:textId="77777777" w:rsidR="00B32194" w:rsidRDefault="00B32194">
      <w:pPr>
        <w:rPr>
          <w:rFonts w:ascii="OpenSans-Regular" w:hAnsi="OpenSans-Regular"/>
          <w:color w:val="161616"/>
          <w:sz w:val="30"/>
          <w:szCs w:val="30"/>
        </w:rPr>
      </w:pPr>
    </w:p>
    <w:p w14:paraId="42BF2861" w14:textId="5F524C33" w:rsidR="00B32194" w:rsidRDefault="00B32194">
      <w:r>
        <w:rPr>
          <w:noProof/>
        </w:rPr>
        <w:drawing>
          <wp:inline distT="0" distB="0" distL="0" distR="0" wp14:anchorId="73423184" wp14:editId="78784CF3">
            <wp:extent cx="4736320" cy="2543242"/>
            <wp:effectExtent l="0" t="0" r="7620" b="0"/>
            <wp:docPr id="769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2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365" cy="25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F072" w14:textId="77777777" w:rsidR="00C01EF4" w:rsidRDefault="00C01EF4"/>
    <w:p w14:paraId="6701B4B0" w14:textId="77777777" w:rsidR="00A64E89" w:rsidRDefault="00A64E89">
      <w:r>
        <w:t xml:space="preserve">Our next generation cloud data platform that delivers data management and reporting solutions across the investment lifecycle. </w:t>
      </w:r>
    </w:p>
    <w:p w14:paraId="3A84DCAC" w14:textId="77777777" w:rsidR="00A64E89" w:rsidRDefault="00A64E89">
      <w:r>
        <w:t xml:space="preserve">Fusion will gather and integrate data from multiple sources, and combine it into a common data representation, ready to be consumed anywhere, anytime, and in any format, without additional data preparation. </w:t>
      </w:r>
    </w:p>
    <w:p w14:paraId="5D794209" w14:textId="77777777" w:rsidR="00A64E89" w:rsidRDefault="00A64E89">
      <w:r>
        <w:t>The new data catalog enables you to easily discover data that is immediately usable, by connecting to the platform’s modern APIs.</w:t>
      </w:r>
    </w:p>
    <w:p w14:paraId="331C1873" w14:textId="77777777" w:rsidR="00A64E89" w:rsidRDefault="00A64E89">
      <w:r>
        <w:lastRenderedPageBreak/>
        <w:t xml:space="preserve"> Fusion supports an open architecture, with flexible distribution partnerships with cloud and data providers, all managed by J.P. Morgan data experts.</w:t>
      </w:r>
    </w:p>
    <w:p w14:paraId="4B904829" w14:textId="77777777" w:rsidR="001D265A" w:rsidRDefault="00A64E89">
      <w:r>
        <w:t xml:space="preserve"> Improve decision-making and gain efficiencies, with expanded access to the data you need at the highest quality and consistency you expect, </w:t>
      </w:r>
    </w:p>
    <w:p w14:paraId="5FA60000" w14:textId="00E77C18" w:rsidR="00A64E89" w:rsidRDefault="00A64E89">
      <w:r>
        <w:t>while reducing the cost to organize and manage that data. Discover a unified data experience with Fusion</w:t>
      </w:r>
    </w:p>
    <w:p w14:paraId="3976659D" w14:textId="10509F57" w:rsidR="00C01EF4" w:rsidRDefault="00C01EF4">
      <w:r>
        <w:rPr>
          <w:noProof/>
        </w:rPr>
        <w:drawing>
          <wp:inline distT="0" distB="0" distL="0" distR="0" wp14:anchorId="7FFD8852" wp14:editId="494EA2CA">
            <wp:extent cx="4665620" cy="2316859"/>
            <wp:effectExtent l="0" t="0" r="1905" b="7620"/>
            <wp:docPr id="210150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08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5" cy="23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6A6" w14:textId="77777777" w:rsidR="008969DD" w:rsidRDefault="008969DD"/>
    <w:p w14:paraId="3C3E8096" w14:textId="0A5E9989" w:rsidR="008969DD" w:rsidRDefault="008969DD">
      <w:r w:rsidRPr="008969DD">
        <w:rPr>
          <w:highlight w:val="yellow"/>
        </w:rPr>
        <w:t>Data Catalog</w:t>
      </w:r>
    </w:p>
    <w:p w14:paraId="62B8E21A" w14:textId="79C245D0" w:rsidR="008969DD" w:rsidRDefault="008969DD">
      <w:pPr>
        <w:rPr>
          <w:rFonts w:ascii="OpenSans-Regular" w:hAnsi="OpenSans-Regular"/>
          <w:color w:val="161616"/>
          <w:sz w:val="28"/>
          <w:szCs w:val="28"/>
        </w:rPr>
      </w:pPr>
      <w:r>
        <w:rPr>
          <w:rFonts w:ascii="OpenSans-Regular" w:hAnsi="OpenSans-Regular"/>
          <w:color w:val="161616"/>
          <w:sz w:val="28"/>
          <w:szCs w:val="28"/>
        </w:rPr>
        <w:t>Data is everywhere, but that doesn't mean it's easy to find. Fusion's data catalog provides access to a diverse range of data feeds, making it easier for you to access the data you need. Proprietary and third-party data products are centralized and easily searchable, making it easy to browse for data by asset class coverage, investment theme or provider.</w:t>
      </w:r>
    </w:p>
    <w:p w14:paraId="68A2F213" w14:textId="77777777" w:rsidR="00AF1FBD" w:rsidRDefault="00AF1FBD">
      <w:pPr>
        <w:rPr>
          <w:rFonts w:ascii="OpenSans-Regular" w:hAnsi="OpenSans-Regular"/>
          <w:color w:val="161616"/>
          <w:sz w:val="28"/>
          <w:szCs w:val="28"/>
        </w:rPr>
      </w:pPr>
    </w:p>
    <w:p w14:paraId="4BB13F58" w14:textId="25C9BD66" w:rsidR="00AF1FBD" w:rsidRDefault="00AF1FBD">
      <w:r>
        <w:rPr>
          <w:noProof/>
        </w:rPr>
        <w:drawing>
          <wp:inline distT="0" distB="0" distL="0" distR="0" wp14:anchorId="4773A8AD" wp14:editId="41D3A944">
            <wp:extent cx="4246564" cy="2117384"/>
            <wp:effectExtent l="0" t="0" r="1905" b="0"/>
            <wp:docPr id="110666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60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383" cy="21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5D3" w14:textId="106F3AAC" w:rsidR="00826728" w:rsidRDefault="00826728">
      <w:r>
        <w:rPr>
          <w:noProof/>
        </w:rPr>
        <w:lastRenderedPageBreak/>
        <w:drawing>
          <wp:inline distT="0" distB="0" distL="0" distR="0" wp14:anchorId="162A988D" wp14:editId="3AB0C265">
            <wp:extent cx="5943600" cy="4027805"/>
            <wp:effectExtent l="0" t="0" r="0" b="0"/>
            <wp:docPr id="13637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9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FD6B" w14:textId="77777777" w:rsidR="00826728" w:rsidRDefault="00826728"/>
    <w:p w14:paraId="7CC76B26" w14:textId="7BA3D38C" w:rsidR="00826728" w:rsidRDefault="004D0B81">
      <w:r>
        <w:rPr>
          <w:noProof/>
        </w:rPr>
        <w:drawing>
          <wp:inline distT="0" distB="0" distL="0" distR="0" wp14:anchorId="56F79EB0" wp14:editId="690C924D">
            <wp:extent cx="5943600" cy="2622550"/>
            <wp:effectExtent l="0" t="0" r="0" b="6350"/>
            <wp:docPr id="117905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3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1FF" w14:textId="77777777" w:rsidR="00AC1932" w:rsidRDefault="00AC1932"/>
    <w:p w14:paraId="73F0D5C7" w14:textId="14771962" w:rsidR="00AC1932" w:rsidRDefault="00AC1932">
      <w:r>
        <w:rPr>
          <w:noProof/>
        </w:rPr>
        <w:lastRenderedPageBreak/>
        <w:drawing>
          <wp:inline distT="0" distB="0" distL="0" distR="0" wp14:anchorId="38156E90" wp14:editId="2FE08B3D">
            <wp:extent cx="5943600" cy="2430145"/>
            <wp:effectExtent l="0" t="0" r="0" b="8255"/>
            <wp:docPr id="12964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54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858" w14:textId="1E8B8D34" w:rsidR="00AC1932" w:rsidRDefault="004E0521">
      <w:r>
        <w:rPr>
          <w:noProof/>
        </w:rPr>
        <w:drawing>
          <wp:inline distT="0" distB="0" distL="0" distR="0" wp14:anchorId="6AB4D975" wp14:editId="26439D56">
            <wp:extent cx="5943600" cy="2441575"/>
            <wp:effectExtent l="0" t="0" r="0" b="0"/>
            <wp:docPr id="212441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3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DB4" w14:textId="29AFB4A0" w:rsidR="004E0521" w:rsidRDefault="00617479">
      <w:r>
        <w:rPr>
          <w:noProof/>
        </w:rPr>
        <w:drawing>
          <wp:inline distT="0" distB="0" distL="0" distR="0" wp14:anchorId="54B11B7E" wp14:editId="5E27B021">
            <wp:extent cx="5943600" cy="2399030"/>
            <wp:effectExtent l="0" t="0" r="0" b="1270"/>
            <wp:docPr id="56990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0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DA3B" w14:textId="77777777" w:rsidR="00B06779" w:rsidRDefault="00B06779"/>
    <w:p w14:paraId="32F25A47" w14:textId="40A332B7" w:rsidR="00B06779" w:rsidRDefault="00B06779">
      <w:r>
        <w:rPr>
          <w:noProof/>
        </w:rPr>
        <w:lastRenderedPageBreak/>
        <w:drawing>
          <wp:inline distT="0" distB="0" distL="0" distR="0" wp14:anchorId="4FDD6F0C" wp14:editId="5EDFB25E">
            <wp:extent cx="5943600" cy="4159250"/>
            <wp:effectExtent l="0" t="0" r="0" b="0"/>
            <wp:docPr id="30460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5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ECF" w14:textId="77777777" w:rsidR="0069195C" w:rsidRDefault="0069195C"/>
    <w:p w14:paraId="1051C0E3" w14:textId="6966AD01" w:rsidR="0069195C" w:rsidRDefault="0069195C">
      <w:r>
        <w:rPr>
          <w:noProof/>
        </w:rPr>
        <w:drawing>
          <wp:inline distT="0" distB="0" distL="0" distR="0" wp14:anchorId="2307EA4A" wp14:editId="69E0755C">
            <wp:extent cx="5943600" cy="2657475"/>
            <wp:effectExtent l="0" t="0" r="0" b="9525"/>
            <wp:docPr id="95692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0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D0FD" w14:textId="384E4BD4" w:rsidR="004E0521" w:rsidRDefault="00914CF0">
      <w:r>
        <w:rPr>
          <w:noProof/>
        </w:rPr>
        <w:lastRenderedPageBreak/>
        <w:drawing>
          <wp:inline distT="0" distB="0" distL="0" distR="0" wp14:anchorId="2EBFD2EB" wp14:editId="6660B79E">
            <wp:extent cx="5943600" cy="3002280"/>
            <wp:effectExtent l="0" t="0" r="0" b="7620"/>
            <wp:docPr id="70581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7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94AF" w14:textId="4CD2B13D" w:rsidR="000D29D5" w:rsidRDefault="000D29D5">
      <w:r>
        <w:rPr>
          <w:noProof/>
        </w:rPr>
        <w:drawing>
          <wp:inline distT="0" distB="0" distL="0" distR="0" wp14:anchorId="49E6563D" wp14:editId="5FC2BB32">
            <wp:extent cx="5943600" cy="2959735"/>
            <wp:effectExtent l="0" t="0" r="0" b="0"/>
            <wp:docPr id="1087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7C3F" w14:textId="77777777" w:rsidR="00FE3E4D" w:rsidRDefault="00FE3E4D"/>
    <w:p w14:paraId="5EA5094B" w14:textId="718783DC" w:rsidR="00FE3E4D" w:rsidRDefault="00FE3E4D">
      <w:r>
        <w:rPr>
          <w:noProof/>
        </w:rPr>
        <w:lastRenderedPageBreak/>
        <w:drawing>
          <wp:inline distT="0" distB="0" distL="0" distR="0" wp14:anchorId="76DA7FC3" wp14:editId="326B9B7A">
            <wp:extent cx="5943600" cy="2579370"/>
            <wp:effectExtent l="0" t="0" r="0" b="0"/>
            <wp:docPr id="129693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34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408" w14:textId="77777777" w:rsidR="00241352" w:rsidRDefault="00241352"/>
    <w:p w14:paraId="21E050FD" w14:textId="0A974B8B" w:rsidR="00241352" w:rsidRDefault="00241352">
      <w:r>
        <w:rPr>
          <w:noProof/>
        </w:rPr>
        <w:drawing>
          <wp:inline distT="0" distB="0" distL="0" distR="0" wp14:anchorId="6939C5B2" wp14:editId="0A7FA1B7">
            <wp:extent cx="5943600" cy="2971800"/>
            <wp:effectExtent l="0" t="0" r="0" b="0"/>
            <wp:docPr id="201274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3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Regular">
    <w:altName w:val="Cambria"/>
    <w:panose1 w:val="00000000000000000000"/>
    <w:charset w:val="00"/>
    <w:family w:val="roman"/>
    <w:notTrueType/>
    <w:pitch w:val="default"/>
  </w:font>
  <w:font w:name="OpenSans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4B"/>
    <w:rsid w:val="00052E4B"/>
    <w:rsid w:val="000D29D5"/>
    <w:rsid w:val="001D265A"/>
    <w:rsid w:val="002016B7"/>
    <w:rsid w:val="00241352"/>
    <w:rsid w:val="00245B9D"/>
    <w:rsid w:val="00315EF7"/>
    <w:rsid w:val="00414194"/>
    <w:rsid w:val="004D0B81"/>
    <w:rsid w:val="004E0521"/>
    <w:rsid w:val="004E3C6A"/>
    <w:rsid w:val="00617479"/>
    <w:rsid w:val="0069195C"/>
    <w:rsid w:val="006C0841"/>
    <w:rsid w:val="00826728"/>
    <w:rsid w:val="008969DD"/>
    <w:rsid w:val="00914CF0"/>
    <w:rsid w:val="00A64E89"/>
    <w:rsid w:val="00AC1932"/>
    <w:rsid w:val="00AF1FBD"/>
    <w:rsid w:val="00B06779"/>
    <w:rsid w:val="00B32194"/>
    <w:rsid w:val="00C01EF4"/>
    <w:rsid w:val="00D170E0"/>
    <w:rsid w:val="00FE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B832A"/>
  <w15:chartTrackingRefBased/>
  <w15:docId w15:val="{B991EC74-D4A4-4525-A56B-6BC5E0B0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2E4B"/>
    <w:rPr>
      <w:b/>
      <w:bCs/>
    </w:rPr>
  </w:style>
  <w:style w:type="character" w:styleId="Hyperlink">
    <w:name w:val="Hyperlink"/>
    <w:basedOn w:val="DefaultParagraphFont"/>
    <w:uiPriority w:val="99"/>
    <w:unhideWhenUsed/>
    <w:rsid w:val="00414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talentify.io/job/wealth-management-data-domain-architect-senior-associate-new-york-new-york-jp-morgan-21047011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talentify.io/job/cre-data-domain-architect-vp-seattle-washington-jp-morgan-210449207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fusion.jpmorgan.com/solutions/containerized-data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CHOUKRI ABDELILAH</dc:creator>
  <cp:keywords/>
  <dc:description/>
  <cp:lastModifiedBy>CHOUKRI ABDELILAH</cp:lastModifiedBy>
  <cp:revision>23</cp:revision>
  <dcterms:created xsi:type="dcterms:W3CDTF">2024-05-20T14:15:00Z</dcterms:created>
  <dcterms:modified xsi:type="dcterms:W3CDTF">2024-05-20T15:11:00Z</dcterms:modified>
</cp:coreProperties>
</file>