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1687" w14:textId="77777777" w:rsidR="0005397C" w:rsidRPr="0005397C" w:rsidRDefault="0005397C" w:rsidP="00053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Introduction: Revisiting Credit Time Series Granularity – A Decade in the Making</w:t>
      </w:r>
    </w:p>
    <w:p w14:paraId="69FC0518" w14:textId="77777777" w:rsidR="0005397C" w:rsidRPr="0005397C" w:rsidRDefault="0005397C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Hook: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  <w:t>"Granularity has always promised better risk transparency. But in Credit, it's a promise we put on hold—until now."</w:t>
      </w:r>
    </w:p>
    <w:p w14:paraId="045C5193" w14:textId="77777777" w:rsidR="0005397C" w:rsidRPr="0005397C" w:rsidRDefault="0005397C" w:rsidP="000539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pict w14:anchorId="3C2A6E6D">
          <v:rect id="_x0000_i1025" style="width:0;height:1.5pt" o:hralign="center" o:hrstd="t" o:hr="t" fillcolor="#a0a0a0" stroked="f"/>
        </w:pict>
      </w:r>
    </w:p>
    <w:p w14:paraId="64B21E6F" w14:textId="77777777" w:rsidR="0005397C" w:rsidRPr="0005397C" w:rsidRDefault="0005397C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– Credit Risk Enhancement Program (2020–2021):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  <w:t>A major initiative was launched with broad goals to enhance credit risk data and modeling:</w:t>
      </w:r>
    </w:p>
    <w:p w14:paraId="204684B5" w14:textId="77777777" w:rsidR="0005397C" w:rsidRPr="0005397C" w:rsidRDefault="0005397C" w:rsidP="00053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Scope included: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397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Loan time series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397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CTM for CDS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397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Distressed bond treatment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397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BQR-CQR unification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397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More CDX tenors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397C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39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More granular corporate curves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(Issuer, Sector, Region) —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implemented</w:t>
      </w:r>
    </w:p>
    <w:p w14:paraId="4C5DDB4F" w14:textId="77777777" w:rsidR="0005397C" w:rsidRPr="0005397C" w:rsidRDefault="0005397C" w:rsidP="00053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Credit Granularity Was Deferred:</w:t>
      </w:r>
    </w:p>
    <w:p w14:paraId="47B35172" w14:textId="77777777" w:rsidR="0005397C" w:rsidRPr="0005397C" w:rsidRDefault="0005397C" w:rsidP="00053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Moving to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issuer/sector-level granularity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in Mars would have triggered a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 model change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under Basel 2.5, requiring DSR/IRC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revalidation and regulatory approval</w:t>
      </w:r>
    </w:p>
    <w:p w14:paraId="454863E5" w14:textId="77777777" w:rsidR="0005397C" w:rsidRPr="0005397C" w:rsidRDefault="0005397C" w:rsidP="00053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FRTB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was expected to replace Basel 2.5 and reduce capital →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was to wait</w:t>
      </w:r>
    </w:p>
    <w:p w14:paraId="052D2E19" w14:textId="77777777" w:rsidR="0005397C" w:rsidRPr="0005397C" w:rsidRDefault="0005397C" w:rsidP="00053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Funding and priority shifted to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Vasara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EMR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, seen as more future-proof</w:t>
      </w:r>
    </w:p>
    <w:p w14:paraId="314E29C2" w14:textId="77777777" w:rsidR="0005397C" w:rsidRPr="0005397C" w:rsidRDefault="0005397C" w:rsidP="00053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constraint:</w:t>
      </w:r>
    </w:p>
    <w:p w14:paraId="1EA4C58E" w14:textId="77777777" w:rsidR="0005397C" w:rsidRPr="0005397C" w:rsidRDefault="0005397C" w:rsidP="000539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Mars uses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RVF+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(delta-gamma approx) and can’t handle full issuer-level config</w:t>
      </w:r>
    </w:p>
    <w:p w14:paraId="323B9667" w14:textId="77777777" w:rsidR="0005397C" w:rsidRPr="0005397C" w:rsidRDefault="0005397C" w:rsidP="000539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Vasara/EMR supports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revaluation and flexible curve configs</w:t>
      </w:r>
    </w:p>
    <w:p w14:paraId="3305C1A3" w14:textId="77777777" w:rsidR="0005397C" w:rsidRPr="0005397C" w:rsidRDefault="0005397C" w:rsidP="00053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back then: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Enhancing issuer-level time series within Mars/RFDM was seen as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ROI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regulatory risk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</w:t>
      </w:r>
      <w:r w:rsidRPr="000539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Put on hold until FRTB and new platforms mature</w:t>
      </w:r>
    </w:p>
    <w:p w14:paraId="27FC5734" w14:textId="77777777" w:rsidR="0005397C" w:rsidRDefault="0005397C"/>
    <w:p w14:paraId="4ED9AAB7" w14:textId="77777777" w:rsidR="0005397C" w:rsidRDefault="0005397C"/>
    <w:p w14:paraId="64FFBE07" w14:textId="77777777" w:rsidR="0005397C" w:rsidRDefault="0005397C"/>
    <w:p w14:paraId="601B9DB7" w14:textId="77777777" w:rsidR="0005397C" w:rsidRDefault="0005397C"/>
    <w:p w14:paraId="732DDAFD" w14:textId="77777777" w:rsidR="0005397C" w:rsidRDefault="0005397C"/>
    <w:p w14:paraId="38AC83AF" w14:textId="77777777" w:rsidR="0005397C" w:rsidRPr="0005397C" w:rsidRDefault="0005397C" w:rsidP="000539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2023–2024: The Push for Granularity – Challenges Uncovered</w:t>
      </w:r>
    </w:p>
    <w:p w14:paraId="4D44A372" w14:textId="77777777" w:rsidR="0005397C" w:rsidRPr="0005397C" w:rsidRDefault="0005397C" w:rsidP="00053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 Source Debate: FO vs. Vendor</w:t>
      </w:r>
    </w:p>
    <w:p w14:paraId="5D3F2235" w14:textId="77777777" w:rsidR="0005397C" w:rsidRPr="0005397C" w:rsidRDefault="0005397C" w:rsidP="00053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Requirement: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 Office marks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397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39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 realistic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: FO can't mark the entire bond universe consistently</w:t>
      </w:r>
    </w:p>
    <w:p w14:paraId="5A102444" w14:textId="77777777" w:rsidR="0005397C" w:rsidRPr="0005397C" w:rsidRDefault="0005397C" w:rsidP="00053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Fallback: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ALGO-derived YTW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397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Issues:</w:t>
      </w:r>
    </w:p>
    <w:p w14:paraId="384C3CD0" w14:textId="77777777" w:rsidR="0005397C" w:rsidRPr="0005397C" w:rsidRDefault="0005397C" w:rsidP="000539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YTW hard to convert into prices</w:t>
      </w:r>
    </w:p>
    <w:p w14:paraId="5FC5D7EB" w14:textId="77777777" w:rsidR="0005397C" w:rsidRPr="0005397C" w:rsidRDefault="0005397C" w:rsidP="000539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Not a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measure (no clear spread vs benchmark)</w:t>
      </w:r>
    </w:p>
    <w:p w14:paraId="43F942D7" w14:textId="77777777" w:rsidR="0005397C" w:rsidRDefault="0005397C" w:rsidP="00053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Resulting Solution: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Build a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waterfall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pricing approach (e.g., EPX logic)</w:t>
      </w:r>
    </w:p>
    <w:p w14:paraId="75D788FA" w14:textId="77777777" w:rsidR="0005397C" w:rsidRDefault="0005397C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8A0ABA" w14:textId="77777777" w:rsidR="0005397C" w:rsidRDefault="0005397C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8D1539" w14:textId="77777777" w:rsidR="0005397C" w:rsidRPr="0005397C" w:rsidRDefault="0005397C" w:rsidP="00053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Constituent Selection &amp; Reference Data</w:t>
      </w:r>
    </w:p>
    <w:p w14:paraId="36742504" w14:textId="77777777" w:rsidR="0005397C" w:rsidRPr="0005397C" w:rsidRDefault="0005397C" w:rsidP="00053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Aim: Normalize issuers based on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idiosyncratic features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BCE737" w14:textId="77777777" w:rsidR="0005397C" w:rsidRPr="0005397C" w:rsidRDefault="0005397C" w:rsidP="000539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Coupon type, frequency, age, sinking fund status, seniority, etc.</w:t>
      </w:r>
    </w:p>
    <w:p w14:paraId="09FEFDE1" w14:textId="77777777" w:rsidR="0005397C" w:rsidRPr="0005397C" w:rsidRDefault="0005397C" w:rsidP="000539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Adjust yields to par coupon to create a cleaner comparison</w:t>
      </w:r>
    </w:p>
    <w:p w14:paraId="165E4C80" w14:textId="77777777" w:rsidR="0005397C" w:rsidRPr="0005397C" w:rsidRDefault="0005397C" w:rsidP="00053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Unresolved Questions:</w:t>
      </w:r>
    </w:p>
    <w:p w14:paraId="3AA980F9" w14:textId="77777777" w:rsidR="0005397C" w:rsidRPr="0005397C" w:rsidRDefault="0005397C" w:rsidP="000539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Which bonds to include?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  <w:t>→ Fixed, option-free only? What about floaters or senior/sub bonds?</w:t>
      </w:r>
    </w:p>
    <w:p w14:paraId="13C5AC52" w14:textId="77777777" w:rsidR="0005397C" w:rsidRPr="0005397C" w:rsidRDefault="0005397C" w:rsidP="000539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How to weight bonds in curve construction?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br/>
        <w:t>→ Equal weight vs. duration-weighted? Factor in age or issue size?</w:t>
      </w:r>
    </w:p>
    <w:p w14:paraId="35537FAE" w14:textId="00F813D3" w:rsidR="0005397C" w:rsidRDefault="0005397C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775A0B" w14:textId="77777777" w:rsidR="0005397C" w:rsidRPr="0005397C" w:rsidRDefault="0005397C" w:rsidP="00053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Curve Methodology Dilemmas</w:t>
      </w:r>
    </w:p>
    <w:p w14:paraId="57C61E34" w14:textId="77777777" w:rsidR="0005397C" w:rsidRPr="0005397C" w:rsidRDefault="0005397C" w:rsidP="00053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How to build the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of the curve:</w:t>
      </w:r>
    </w:p>
    <w:p w14:paraId="6681924C" w14:textId="77777777" w:rsidR="0005397C" w:rsidRPr="0005397C" w:rsidRDefault="0005397C" w:rsidP="000539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Use existing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curve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13D64C8C" w14:textId="77777777" w:rsidR="0005397C" w:rsidRPr="0005397C" w:rsidRDefault="0005397C" w:rsidP="000539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 curve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and scale?</w:t>
      </w:r>
    </w:p>
    <w:p w14:paraId="1F434FA8" w14:textId="77777777" w:rsidR="0005397C" w:rsidRPr="0005397C" w:rsidRDefault="0005397C" w:rsidP="000539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construct shape from scratch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453ADBB" w14:textId="77777777" w:rsidR="0005397C" w:rsidRPr="0005397C" w:rsidRDefault="0005397C" w:rsidP="00053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Mechanism for Illiquids (XVA Proxy logic):</w:t>
      </w:r>
    </w:p>
    <w:p w14:paraId="493CC6A2" w14:textId="77777777" w:rsidR="0005397C" w:rsidRPr="0005397C" w:rsidRDefault="0005397C" w:rsidP="000539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proxy curves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for unobservable issuers</w:t>
      </w:r>
    </w:p>
    <w:p w14:paraId="3B9D1DAD" w14:textId="77777777" w:rsidR="0005397C" w:rsidRPr="0005397C" w:rsidRDefault="0005397C" w:rsidP="000539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Bootstrap implied CDS spreads from </w:t>
      </w:r>
      <w:r w:rsidRPr="000539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Config Pricer</w:t>
      </w:r>
    </w:p>
    <w:p w14:paraId="1588541C" w14:textId="77777777" w:rsidR="0005397C" w:rsidRPr="0005397C" w:rsidRDefault="0005397C" w:rsidP="0005397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0539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Lehman Brothers</w:t>
      </w:r>
      <w:r w:rsidRPr="0005397C">
        <w:rPr>
          <w:rFonts w:ascii="Times New Roman" w:eastAsia="Times New Roman" w:hAnsi="Times New Roman" w:cs="Times New Roman"/>
          <w:kern w:val="0"/>
          <w14:ligatures w14:val="none"/>
        </w:rPr>
        <w:t xml:space="preserve"> curve reconstruction</w:t>
      </w:r>
    </w:p>
    <w:p w14:paraId="6E456842" w14:textId="77777777" w:rsidR="0005397C" w:rsidRDefault="0005397C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E8308D" w14:textId="77777777" w:rsidR="006F55E7" w:rsidRDefault="006F55E7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B22A24" w14:textId="77777777" w:rsidR="006F55E7" w:rsidRDefault="006F55E7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5E67F9" w14:textId="77777777" w:rsidR="006F55E7" w:rsidRPr="006F55E7" w:rsidRDefault="006F55E7" w:rsidP="006F5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55E7">
        <w:rPr>
          <w:rFonts w:ascii="Times New Roman" w:eastAsia="Times New Roman" w:hAnsi="Times New Roman" w:cs="Times New Roman"/>
          <w:kern w:val="0"/>
          <w14:ligatures w14:val="none"/>
        </w:rPr>
        <w:t xml:space="preserve">Here is a visual slide summarizing the </w:t>
      </w:r>
      <w:r w:rsidRPr="006F5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2023–2024 efforts toward Credit Time Series Granularity</w:t>
      </w:r>
      <w:r w:rsidRPr="006F55E7">
        <w:rPr>
          <w:rFonts w:ascii="Times New Roman" w:eastAsia="Times New Roman" w:hAnsi="Times New Roman" w:cs="Times New Roman"/>
          <w:kern w:val="0"/>
          <w14:ligatures w14:val="none"/>
        </w:rPr>
        <w:t xml:space="preserve"> across three major themes:</w:t>
      </w:r>
    </w:p>
    <w:p w14:paraId="29C7A435" w14:textId="77777777" w:rsidR="006F55E7" w:rsidRPr="006F55E7" w:rsidRDefault="006F55E7" w:rsidP="006F55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5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 Debate</w:t>
      </w:r>
      <w:r w:rsidRPr="006F55E7">
        <w:rPr>
          <w:rFonts w:ascii="Times New Roman" w:eastAsia="Times New Roman" w:hAnsi="Times New Roman" w:cs="Times New Roman"/>
          <w:kern w:val="0"/>
          <w14:ligatures w14:val="none"/>
        </w:rPr>
        <w:t xml:space="preserve"> – Why FO marks and ALGO YTW weren’t sufficient.</w:t>
      </w:r>
    </w:p>
    <w:p w14:paraId="6AF35CB1" w14:textId="77777777" w:rsidR="006F55E7" w:rsidRPr="006F55E7" w:rsidRDefault="006F55E7" w:rsidP="006F55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5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Constituent Selection</w:t>
      </w:r>
      <w:r w:rsidRPr="006F55E7">
        <w:rPr>
          <w:rFonts w:ascii="Times New Roman" w:eastAsia="Times New Roman" w:hAnsi="Times New Roman" w:cs="Times New Roman"/>
          <w:kern w:val="0"/>
          <w14:ligatures w14:val="none"/>
        </w:rPr>
        <w:t xml:space="preserve"> – Complexities in defining and normalizing bond groups.</w:t>
      </w:r>
    </w:p>
    <w:p w14:paraId="1537F188" w14:textId="77777777" w:rsidR="006F55E7" w:rsidRPr="006F55E7" w:rsidRDefault="006F55E7" w:rsidP="006F55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5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Curve Methodology</w:t>
      </w:r>
      <w:r w:rsidRPr="006F55E7">
        <w:rPr>
          <w:rFonts w:ascii="Times New Roman" w:eastAsia="Times New Roman" w:hAnsi="Times New Roman" w:cs="Times New Roman"/>
          <w:kern w:val="0"/>
          <w14:ligatures w14:val="none"/>
        </w:rPr>
        <w:t xml:space="preserve"> – Choices in curve shaping and handling illiquid issuers using proxy logic and full reval CDS bootstrapping.</w:t>
      </w:r>
    </w:p>
    <w:p w14:paraId="4EBB3417" w14:textId="77777777" w:rsidR="006F55E7" w:rsidRDefault="006F55E7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A98E4A" w14:textId="77777777" w:rsidR="006F55E7" w:rsidRDefault="006F55E7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B0A18C" w14:textId="603E7127" w:rsidR="006F55E7" w:rsidRPr="0005397C" w:rsidRDefault="006F55E7" w:rsidP="0005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5687DC4E" wp14:editId="54495641">
            <wp:extent cx="5943600" cy="2950845"/>
            <wp:effectExtent l="0" t="0" r="0" b="1905"/>
            <wp:docPr id="166011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12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03A1" w14:textId="77777777" w:rsidR="0005397C" w:rsidRDefault="0005397C"/>
    <w:sectPr w:rsidR="0005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524E"/>
    <w:multiLevelType w:val="multilevel"/>
    <w:tmpl w:val="5CD0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5526"/>
    <w:multiLevelType w:val="multilevel"/>
    <w:tmpl w:val="A85E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1E94"/>
    <w:multiLevelType w:val="multilevel"/>
    <w:tmpl w:val="AE36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A3470"/>
    <w:multiLevelType w:val="multilevel"/>
    <w:tmpl w:val="DA24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7559F"/>
    <w:multiLevelType w:val="multilevel"/>
    <w:tmpl w:val="0874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2522">
    <w:abstractNumId w:val="4"/>
  </w:num>
  <w:num w:numId="2" w16cid:durableId="40594664">
    <w:abstractNumId w:val="2"/>
  </w:num>
  <w:num w:numId="3" w16cid:durableId="2116824949">
    <w:abstractNumId w:val="0"/>
  </w:num>
  <w:num w:numId="4" w16cid:durableId="2015765490">
    <w:abstractNumId w:val="1"/>
  </w:num>
  <w:num w:numId="5" w16cid:durableId="4671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7C"/>
    <w:rsid w:val="00026AD2"/>
    <w:rsid w:val="0005397C"/>
    <w:rsid w:val="006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916D"/>
  <w15:chartTrackingRefBased/>
  <w15:docId w15:val="{DE6BDF24-98B6-4148-B401-D71DF13B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3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97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5397C"/>
    <w:rPr>
      <w:b/>
      <w:bCs/>
    </w:rPr>
  </w:style>
  <w:style w:type="character" w:styleId="Emphasis">
    <w:name w:val="Emphasis"/>
    <w:basedOn w:val="DefaultParagraphFont"/>
    <w:uiPriority w:val="20"/>
    <w:qFormat/>
    <w:rsid w:val="000539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2</cp:revision>
  <dcterms:created xsi:type="dcterms:W3CDTF">2025-05-14T12:20:00Z</dcterms:created>
  <dcterms:modified xsi:type="dcterms:W3CDTF">2025-05-14T12:23:00Z</dcterms:modified>
</cp:coreProperties>
</file>