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9E2E3" w14:textId="77777777" w:rsidR="00E55D74" w:rsidRPr="00E55D74" w:rsidRDefault="00E55D74" w:rsidP="00E55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D74">
        <w:rPr>
          <w:rFonts w:ascii="Times New Roman" w:eastAsia="Times New Roman" w:hAnsi="Times New Roman" w:cs="Times New Roman"/>
          <w:kern w:val="0"/>
          <w14:ligatures w14:val="none"/>
        </w:rPr>
        <w:t xml:space="preserve">Sure! Let me explain </w:t>
      </w:r>
      <w:r w:rsidRPr="00E55D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PCA (Principal Component Analysis)</w:t>
      </w:r>
      <w:r w:rsidRPr="00E55D74">
        <w:rPr>
          <w:rFonts w:ascii="Times New Roman" w:eastAsia="Times New Roman" w:hAnsi="Times New Roman" w:cs="Times New Roman"/>
          <w:kern w:val="0"/>
          <w14:ligatures w14:val="none"/>
        </w:rPr>
        <w:t xml:space="preserve"> like you’re hearing about it for the first time — using simple words, visual ideas, and then connecting it to real-life uses.</w:t>
      </w:r>
    </w:p>
    <w:p w14:paraId="43622303" w14:textId="77777777" w:rsidR="00E55D74" w:rsidRPr="00E55D74" w:rsidRDefault="00E55D74" w:rsidP="00E55D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D74">
        <w:rPr>
          <w:rFonts w:ascii="Times New Roman" w:eastAsia="Times New Roman" w:hAnsi="Times New Roman" w:cs="Times New Roman"/>
          <w:kern w:val="0"/>
          <w14:ligatures w14:val="none"/>
        </w:rPr>
        <w:pict w14:anchorId="5C9FF77F">
          <v:rect id="_x0000_i1071" style="width:0;height:1.5pt" o:hralign="center" o:hrstd="t" o:hr="t" fillcolor="#a0a0a0" stroked="f"/>
        </w:pict>
      </w:r>
    </w:p>
    <w:p w14:paraId="26E6105E" w14:textId="77777777" w:rsidR="00E55D74" w:rsidRPr="00E55D74" w:rsidRDefault="00E55D74" w:rsidP="00E55D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5D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What is PCA? (Simple Idea)</w:t>
      </w:r>
    </w:p>
    <w:p w14:paraId="630EBDAA" w14:textId="77777777" w:rsidR="00E55D74" w:rsidRPr="00E55D74" w:rsidRDefault="00E55D74" w:rsidP="00E55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D74">
        <w:rPr>
          <w:rFonts w:ascii="Times New Roman" w:eastAsia="Times New Roman" w:hAnsi="Times New Roman" w:cs="Times New Roman"/>
          <w:kern w:val="0"/>
          <w14:ligatures w14:val="none"/>
        </w:rPr>
        <w:t>Imagine you’re looking at a big cloud of data points in the sky. Each point has many numbers attached to it (like height, weight, speed, etc.).</w:t>
      </w:r>
    </w:p>
    <w:p w14:paraId="478F0297" w14:textId="77777777" w:rsidR="00E55D74" w:rsidRPr="00E55D74" w:rsidRDefault="00E55D74" w:rsidP="00E55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D74">
        <w:rPr>
          <w:rFonts w:ascii="Times New Roman" w:eastAsia="Times New Roman" w:hAnsi="Times New Roman" w:cs="Times New Roman"/>
          <w:kern w:val="0"/>
          <w14:ligatures w14:val="none"/>
        </w:rPr>
        <w:t xml:space="preserve">Now let’s say you want to understand how these points are </w:t>
      </w:r>
      <w:r w:rsidRPr="00E55D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moving together</w:t>
      </w:r>
      <w:r w:rsidRPr="00E55D74">
        <w:rPr>
          <w:rFonts w:ascii="Times New Roman" w:eastAsia="Times New Roman" w:hAnsi="Times New Roman" w:cs="Times New Roman"/>
          <w:kern w:val="0"/>
          <w14:ligatures w14:val="none"/>
        </w:rPr>
        <w:t xml:space="preserve"> — without looking at </w:t>
      </w:r>
      <w:r w:rsidRPr="00E55D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</w:t>
      </w:r>
      <w:r w:rsidRPr="00E55D74">
        <w:rPr>
          <w:rFonts w:ascii="Times New Roman" w:eastAsia="Times New Roman" w:hAnsi="Times New Roman" w:cs="Times New Roman"/>
          <w:kern w:val="0"/>
          <w14:ligatures w14:val="none"/>
        </w:rPr>
        <w:t xml:space="preserve"> the numbers.</w:t>
      </w:r>
    </w:p>
    <w:p w14:paraId="546340E8" w14:textId="77777777" w:rsidR="00E55D74" w:rsidRPr="00E55D74" w:rsidRDefault="00E55D74" w:rsidP="00E55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D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PCA is like a smart camera</w:t>
      </w:r>
      <w:r w:rsidRPr="00E55D74">
        <w:rPr>
          <w:rFonts w:ascii="Times New Roman" w:eastAsia="Times New Roman" w:hAnsi="Times New Roman" w:cs="Times New Roman"/>
          <w:kern w:val="0"/>
          <w14:ligatures w14:val="none"/>
        </w:rPr>
        <w:t xml:space="preserve"> that rotates to look at the cloud of points from the </w:t>
      </w:r>
      <w:r w:rsidRPr="00E55D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angle</w:t>
      </w:r>
      <w:r w:rsidRPr="00E55D74">
        <w:rPr>
          <w:rFonts w:ascii="Times New Roman" w:eastAsia="Times New Roman" w:hAnsi="Times New Roman" w:cs="Times New Roman"/>
          <w:kern w:val="0"/>
          <w14:ligatures w14:val="none"/>
        </w:rPr>
        <w:t xml:space="preserve"> — so you can explain most of what’s happening with just </w:t>
      </w:r>
      <w:r w:rsidRPr="00E55D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 or 2 lines (directions)</w:t>
      </w:r>
      <w:r w:rsidRPr="00E55D74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all the messy details.</w:t>
      </w:r>
    </w:p>
    <w:p w14:paraId="7EBDED41" w14:textId="77777777" w:rsidR="00E55D74" w:rsidRPr="00E55D74" w:rsidRDefault="00E55D74" w:rsidP="00E55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D74">
        <w:rPr>
          <w:rFonts w:ascii="Times New Roman" w:eastAsia="Times New Roman" w:hAnsi="Times New Roman" w:cs="Times New Roman"/>
          <w:kern w:val="0"/>
          <w14:ligatures w14:val="none"/>
        </w:rPr>
        <w:t xml:space="preserve">These best lines are called </w:t>
      </w:r>
      <w:r w:rsidRPr="00E55D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“principal components”</w:t>
      </w:r>
      <w:r w:rsidRPr="00E55D74">
        <w:rPr>
          <w:rFonts w:ascii="Times New Roman" w:eastAsia="Times New Roman" w:hAnsi="Times New Roman" w:cs="Times New Roman"/>
          <w:kern w:val="0"/>
          <w14:ligatures w14:val="none"/>
        </w:rPr>
        <w:t xml:space="preserve"> — they are new axes (directions) that explain how the data spreads out the most.</w:t>
      </w:r>
    </w:p>
    <w:p w14:paraId="5743C2CF" w14:textId="77777777" w:rsidR="00E55D74" w:rsidRPr="00E55D74" w:rsidRDefault="00E55D74" w:rsidP="00E55D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D74">
        <w:rPr>
          <w:rFonts w:ascii="Times New Roman" w:eastAsia="Times New Roman" w:hAnsi="Times New Roman" w:cs="Times New Roman"/>
          <w:kern w:val="0"/>
          <w14:ligatures w14:val="none"/>
        </w:rPr>
        <w:pict w14:anchorId="7FE6AE5B">
          <v:rect id="_x0000_i1072" style="width:0;height:1.5pt" o:hralign="center" o:hrstd="t" o:hr="t" fillcolor="#a0a0a0" stroked="f"/>
        </w:pict>
      </w:r>
    </w:p>
    <w:p w14:paraId="5D956420" w14:textId="77777777" w:rsidR="00E55D74" w:rsidRPr="00E55D74" w:rsidRDefault="00E55D74" w:rsidP="00E55D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5D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How Does PCA Work?</w:t>
      </w:r>
    </w:p>
    <w:p w14:paraId="472F132A" w14:textId="77777777" w:rsidR="00E55D74" w:rsidRPr="00E55D74" w:rsidRDefault="00E55D74" w:rsidP="00E55D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5D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Step-by-step (simple version):</w:t>
      </w:r>
    </w:p>
    <w:p w14:paraId="73FF0F8A" w14:textId="77777777" w:rsidR="00E55D74" w:rsidRPr="00E55D74" w:rsidRDefault="00E55D74" w:rsidP="00E55D7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D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with a table</w:t>
      </w:r>
      <w:r w:rsidRPr="00E55D74">
        <w:rPr>
          <w:rFonts w:ascii="Times New Roman" w:eastAsia="Times New Roman" w:hAnsi="Times New Roman" w:cs="Times New Roman"/>
          <w:kern w:val="0"/>
          <w14:ligatures w14:val="none"/>
        </w:rPr>
        <w:t>: Each row is a data point (e.g., a day), and each column is a measurement (e.g., a risk factor or a bond spread).</w:t>
      </w:r>
    </w:p>
    <w:p w14:paraId="1B0426CF" w14:textId="77777777" w:rsidR="00E55D74" w:rsidRPr="00E55D74" w:rsidRDefault="00E55D74" w:rsidP="00E55D7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D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Standardize the data</w:t>
      </w:r>
      <w:r w:rsidRPr="00E55D74">
        <w:rPr>
          <w:rFonts w:ascii="Times New Roman" w:eastAsia="Times New Roman" w:hAnsi="Times New Roman" w:cs="Times New Roman"/>
          <w:kern w:val="0"/>
          <w14:ligatures w14:val="none"/>
        </w:rPr>
        <w:t>: Make all columns have similar scale — like turning all values into a 0 to 1 range.</w:t>
      </w:r>
    </w:p>
    <w:p w14:paraId="0951887A" w14:textId="77777777" w:rsidR="00E55D74" w:rsidRPr="00E55D74" w:rsidRDefault="00E55D74" w:rsidP="00E55D7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D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Find correlations</w:t>
      </w:r>
      <w:r w:rsidRPr="00E55D74">
        <w:rPr>
          <w:rFonts w:ascii="Times New Roman" w:eastAsia="Times New Roman" w:hAnsi="Times New Roman" w:cs="Times New Roman"/>
          <w:kern w:val="0"/>
          <w14:ligatures w14:val="none"/>
        </w:rPr>
        <w:t>: PCA looks at how all the columns (variables) move together.</w:t>
      </w:r>
    </w:p>
    <w:p w14:paraId="17ED696B" w14:textId="77777777" w:rsidR="00E55D74" w:rsidRPr="00E55D74" w:rsidRDefault="00E55D74" w:rsidP="00E55D7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D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Rotate the space</w:t>
      </w:r>
      <w:r w:rsidRPr="00E55D74">
        <w:rPr>
          <w:rFonts w:ascii="Times New Roman" w:eastAsia="Times New Roman" w:hAnsi="Times New Roman" w:cs="Times New Roman"/>
          <w:kern w:val="0"/>
          <w14:ligatures w14:val="none"/>
        </w:rPr>
        <w:t>: PCA finds new directions (principal components) that capture the most action in the data.</w:t>
      </w:r>
    </w:p>
    <w:p w14:paraId="09F1F116" w14:textId="77777777" w:rsidR="00E55D74" w:rsidRPr="00E55D74" w:rsidRDefault="00E55D74" w:rsidP="00E55D7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D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Keep the top ones</w:t>
      </w:r>
      <w:r w:rsidRPr="00E55D74">
        <w:rPr>
          <w:rFonts w:ascii="Times New Roman" w:eastAsia="Times New Roman" w:hAnsi="Times New Roman" w:cs="Times New Roman"/>
          <w:kern w:val="0"/>
          <w14:ligatures w14:val="none"/>
        </w:rPr>
        <w:t>: Usually, just the first 1–3 components explain most of what’s going on.</w:t>
      </w:r>
    </w:p>
    <w:p w14:paraId="21BA89D9" w14:textId="77777777" w:rsidR="00E55D74" w:rsidRPr="00E55D74" w:rsidRDefault="00E55D74" w:rsidP="00E55D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5D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Analogy:</w:t>
      </w:r>
    </w:p>
    <w:p w14:paraId="0C470DCC" w14:textId="77777777" w:rsidR="00E55D74" w:rsidRPr="00E55D74" w:rsidRDefault="00E55D74" w:rsidP="00E55D7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D74">
        <w:rPr>
          <w:rFonts w:ascii="Times New Roman" w:eastAsia="Times New Roman" w:hAnsi="Times New Roman" w:cs="Times New Roman"/>
          <w:kern w:val="0"/>
          <w14:ligatures w14:val="none"/>
        </w:rPr>
        <w:t xml:space="preserve">PCA is like taking a </w:t>
      </w:r>
      <w:r w:rsidRPr="00E55D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messy picture with many shadows</w:t>
      </w:r>
      <w:r w:rsidRPr="00E55D74">
        <w:rPr>
          <w:rFonts w:ascii="Times New Roman" w:eastAsia="Times New Roman" w:hAnsi="Times New Roman" w:cs="Times New Roman"/>
          <w:kern w:val="0"/>
          <w14:ligatures w14:val="none"/>
        </w:rPr>
        <w:t xml:space="preserve">, and finding the </w:t>
      </w:r>
      <w:r w:rsidRPr="00E55D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brightest direction</w:t>
      </w:r>
      <w:r w:rsidRPr="00E55D74">
        <w:rPr>
          <w:rFonts w:ascii="Times New Roman" w:eastAsia="Times New Roman" w:hAnsi="Times New Roman" w:cs="Times New Roman"/>
          <w:kern w:val="0"/>
          <w14:ligatures w14:val="none"/>
        </w:rPr>
        <w:t xml:space="preserve"> so you can understand the picture with just a few simple beams of light.</w:t>
      </w:r>
    </w:p>
    <w:p w14:paraId="1CE8F4EC" w14:textId="77777777" w:rsidR="00E55D74" w:rsidRPr="00E55D74" w:rsidRDefault="00E55D74" w:rsidP="00E55D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D74">
        <w:rPr>
          <w:rFonts w:ascii="Times New Roman" w:eastAsia="Times New Roman" w:hAnsi="Times New Roman" w:cs="Times New Roman"/>
          <w:kern w:val="0"/>
          <w14:ligatures w14:val="none"/>
        </w:rPr>
        <w:pict w14:anchorId="4FBBD67D">
          <v:rect id="_x0000_i1073" style="width:0;height:1.5pt" o:hralign="center" o:hrstd="t" o:hr="t" fillcolor="#a0a0a0" stroked="f"/>
        </w:pict>
      </w:r>
    </w:p>
    <w:p w14:paraId="3008C2D9" w14:textId="77777777" w:rsidR="00E55D74" w:rsidRPr="00E55D74" w:rsidRDefault="00E55D74" w:rsidP="00E55D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5D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How to Model It (Simple Explanation)</w:t>
      </w:r>
    </w:p>
    <w:p w14:paraId="5B27D2C0" w14:textId="77777777" w:rsidR="00E55D74" w:rsidRPr="00E55D74" w:rsidRDefault="00E55D74" w:rsidP="00E55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D7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Let’s say you have:</w:t>
      </w:r>
    </w:p>
    <w:p w14:paraId="21CCFA60" w14:textId="77777777" w:rsidR="00E55D74" w:rsidRPr="00E55D74" w:rsidRDefault="00E55D74" w:rsidP="00E55D7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D74">
        <w:rPr>
          <w:rFonts w:ascii="Times New Roman" w:eastAsia="Times New Roman" w:hAnsi="Times New Roman" w:cs="Times New Roman"/>
          <w:kern w:val="0"/>
          <w14:ligatures w14:val="none"/>
        </w:rPr>
        <w:t>100 days of bond prices for 20 different bonds.</w:t>
      </w:r>
    </w:p>
    <w:p w14:paraId="4FADFA8F" w14:textId="77777777" w:rsidR="00E55D74" w:rsidRPr="00E55D74" w:rsidRDefault="00E55D74" w:rsidP="00E55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D74">
        <w:rPr>
          <w:rFonts w:ascii="Times New Roman" w:eastAsia="Times New Roman" w:hAnsi="Times New Roman" w:cs="Times New Roman"/>
          <w:kern w:val="0"/>
          <w14:ligatures w14:val="none"/>
        </w:rPr>
        <w:t>You put them in a table:</w:t>
      </w:r>
    </w:p>
    <w:p w14:paraId="607216F0" w14:textId="77777777" w:rsidR="00E55D74" w:rsidRPr="00E55D74" w:rsidRDefault="00E55D74" w:rsidP="00E55D7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D74">
        <w:rPr>
          <w:rFonts w:ascii="Times New Roman" w:eastAsia="Times New Roman" w:hAnsi="Times New Roman" w:cs="Times New Roman"/>
          <w:kern w:val="0"/>
          <w14:ligatures w14:val="none"/>
        </w:rPr>
        <w:t>Rows = days</w:t>
      </w:r>
    </w:p>
    <w:p w14:paraId="13E6F0F9" w14:textId="77777777" w:rsidR="00E55D74" w:rsidRPr="00E55D74" w:rsidRDefault="00E55D74" w:rsidP="00E55D7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D74">
        <w:rPr>
          <w:rFonts w:ascii="Times New Roman" w:eastAsia="Times New Roman" w:hAnsi="Times New Roman" w:cs="Times New Roman"/>
          <w:kern w:val="0"/>
          <w14:ligatures w14:val="none"/>
        </w:rPr>
        <w:t>Columns = bond prices</w:t>
      </w:r>
    </w:p>
    <w:p w14:paraId="1DB736A2" w14:textId="77777777" w:rsidR="00E55D74" w:rsidRPr="00E55D74" w:rsidRDefault="00E55D74" w:rsidP="00E55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D74">
        <w:rPr>
          <w:rFonts w:ascii="Times New Roman" w:eastAsia="Times New Roman" w:hAnsi="Times New Roman" w:cs="Times New Roman"/>
          <w:kern w:val="0"/>
          <w14:ligatures w14:val="none"/>
        </w:rPr>
        <w:t>Now you:</w:t>
      </w:r>
    </w:p>
    <w:p w14:paraId="18B7A4D8" w14:textId="77777777" w:rsidR="00E55D74" w:rsidRPr="00E55D74" w:rsidRDefault="00E55D74" w:rsidP="00E55D7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D74">
        <w:rPr>
          <w:rFonts w:ascii="Times New Roman" w:eastAsia="Times New Roman" w:hAnsi="Times New Roman" w:cs="Times New Roman"/>
          <w:kern w:val="0"/>
          <w14:ligatures w14:val="none"/>
        </w:rPr>
        <w:t xml:space="preserve">Use PCA to find a </w:t>
      </w:r>
      <w:r w:rsidRPr="00E55D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few main directions</w:t>
      </w:r>
      <w:r w:rsidRPr="00E55D74">
        <w:rPr>
          <w:rFonts w:ascii="Times New Roman" w:eastAsia="Times New Roman" w:hAnsi="Times New Roman" w:cs="Times New Roman"/>
          <w:kern w:val="0"/>
          <w14:ligatures w14:val="none"/>
        </w:rPr>
        <w:t xml:space="preserve"> (like “region” or “interest rates”) that most of the bonds are following.</w:t>
      </w:r>
    </w:p>
    <w:p w14:paraId="583BAA97" w14:textId="77777777" w:rsidR="00E55D74" w:rsidRPr="00E55D74" w:rsidRDefault="00E55D74" w:rsidP="00E55D7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D74">
        <w:rPr>
          <w:rFonts w:ascii="Times New Roman" w:eastAsia="Times New Roman" w:hAnsi="Times New Roman" w:cs="Times New Roman"/>
          <w:kern w:val="0"/>
          <w14:ligatures w14:val="none"/>
        </w:rPr>
        <w:t xml:space="preserve">You save only the </w:t>
      </w:r>
      <w:r w:rsidRPr="00E55D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 2 or 3 components</w:t>
      </w:r>
      <w:r w:rsidRPr="00E55D7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40C3E92" w14:textId="77777777" w:rsidR="00E55D74" w:rsidRPr="00E55D74" w:rsidRDefault="00E55D74" w:rsidP="00E55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D74">
        <w:rPr>
          <w:rFonts w:ascii="Times New Roman" w:eastAsia="Times New Roman" w:hAnsi="Times New Roman" w:cs="Times New Roman"/>
          <w:kern w:val="0"/>
          <w14:ligatures w14:val="none"/>
        </w:rPr>
        <w:t>This gives you a simpler version of the same story — but easier to understand and use.</w:t>
      </w:r>
    </w:p>
    <w:p w14:paraId="64C9271A" w14:textId="77777777" w:rsidR="00E55D74" w:rsidRPr="00E55D74" w:rsidRDefault="00E55D74" w:rsidP="00E55D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D74">
        <w:rPr>
          <w:rFonts w:ascii="Times New Roman" w:eastAsia="Times New Roman" w:hAnsi="Times New Roman" w:cs="Times New Roman"/>
          <w:kern w:val="0"/>
          <w14:ligatures w14:val="none"/>
        </w:rPr>
        <w:pict w14:anchorId="742055F2">
          <v:rect id="_x0000_i1074" style="width:0;height:1.5pt" o:hralign="center" o:hrstd="t" o:hr="t" fillcolor="#a0a0a0" stroked="f"/>
        </w:pict>
      </w:r>
    </w:p>
    <w:p w14:paraId="13EDF5E7" w14:textId="77777777" w:rsidR="00E55D74" w:rsidRPr="00E55D74" w:rsidRDefault="00E55D74" w:rsidP="00E55D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5D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How is PCA Used? (Real Examples)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4238"/>
        <w:gridCol w:w="3381"/>
      </w:tblGrid>
      <w:tr w:rsidR="00E55D74" w:rsidRPr="00E55D74" w14:paraId="67D6597D" w14:textId="77777777" w:rsidTr="00E55D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FF5026" w14:textId="77777777" w:rsidR="00E55D74" w:rsidRPr="00E55D74" w:rsidRDefault="00E55D74" w:rsidP="00E55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55D7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FB2823F" w14:textId="77777777" w:rsidR="00E55D74" w:rsidRPr="00E55D74" w:rsidRDefault="00E55D74" w:rsidP="00E55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55D7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 of PCA</w:t>
            </w:r>
          </w:p>
        </w:tc>
        <w:tc>
          <w:tcPr>
            <w:tcW w:w="0" w:type="auto"/>
            <w:vAlign w:val="center"/>
            <w:hideMark/>
          </w:tcPr>
          <w:p w14:paraId="1E3B6675" w14:textId="77777777" w:rsidR="00E55D74" w:rsidRPr="00E55D74" w:rsidRDefault="00E55D74" w:rsidP="00E55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55D7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Why it’s helpful</w:t>
            </w:r>
          </w:p>
        </w:tc>
      </w:tr>
      <w:tr w:rsidR="00E55D74" w:rsidRPr="00E55D74" w14:paraId="3EF8D700" w14:textId="77777777" w:rsidTr="00E55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3F916" w14:textId="77777777" w:rsidR="00E55D74" w:rsidRPr="00E55D74" w:rsidRDefault="00E55D74" w:rsidP="00E55D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5D7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55E79150" w14:textId="77777777" w:rsidR="00E55D74" w:rsidRPr="00E55D74" w:rsidRDefault="00E55D74" w:rsidP="00E55D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5D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Reduce 50,000 risk drivers into top 20 movements</w:t>
            </w:r>
          </w:p>
        </w:tc>
        <w:tc>
          <w:tcPr>
            <w:tcW w:w="0" w:type="auto"/>
            <w:vAlign w:val="center"/>
            <w:hideMark/>
          </w:tcPr>
          <w:p w14:paraId="2FBE9F7A" w14:textId="77777777" w:rsidR="00E55D74" w:rsidRPr="00E55D74" w:rsidRDefault="00E55D74" w:rsidP="00E55D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5D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Easier to manage SVAR and hedge</w:t>
            </w:r>
          </w:p>
        </w:tc>
      </w:tr>
      <w:tr w:rsidR="00E55D74" w:rsidRPr="00E55D74" w14:paraId="5A9BE36E" w14:textId="77777777" w:rsidTr="00E55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CE002" w14:textId="77777777" w:rsidR="00E55D74" w:rsidRPr="00E55D74" w:rsidRDefault="00E55D74" w:rsidP="00E55D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5D7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Bonds</w:t>
            </w:r>
          </w:p>
        </w:tc>
        <w:tc>
          <w:tcPr>
            <w:tcW w:w="0" w:type="auto"/>
            <w:vAlign w:val="center"/>
            <w:hideMark/>
          </w:tcPr>
          <w:p w14:paraId="650A91BA" w14:textId="77777777" w:rsidR="00E55D74" w:rsidRPr="00E55D74" w:rsidRDefault="00E55D74" w:rsidP="00E55D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5D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 fake history for illiquid bonds</w:t>
            </w:r>
          </w:p>
        </w:tc>
        <w:tc>
          <w:tcPr>
            <w:tcW w:w="0" w:type="auto"/>
            <w:vAlign w:val="center"/>
            <w:hideMark/>
          </w:tcPr>
          <w:p w14:paraId="61858714" w14:textId="77777777" w:rsidR="00E55D74" w:rsidRPr="00E55D74" w:rsidRDefault="00E55D74" w:rsidP="00E55D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5D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similar bonds to fill in missing data</w:t>
            </w:r>
          </w:p>
        </w:tc>
      </w:tr>
      <w:tr w:rsidR="00E55D74" w:rsidRPr="00E55D74" w14:paraId="2F98D36C" w14:textId="77777777" w:rsidTr="00E55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0D2A5" w14:textId="77777777" w:rsidR="00E55D74" w:rsidRPr="00E55D74" w:rsidRDefault="00E55D74" w:rsidP="00E55D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5D7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Face Recognition</w:t>
            </w:r>
          </w:p>
        </w:tc>
        <w:tc>
          <w:tcPr>
            <w:tcW w:w="0" w:type="auto"/>
            <w:vAlign w:val="center"/>
            <w:hideMark/>
          </w:tcPr>
          <w:p w14:paraId="684DDC0E" w14:textId="77777777" w:rsidR="00E55D74" w:rsidRPr="00E55D74" w:rsidRDefault="00E55D74" w:rsidP="00E55D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5D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Find best directions to recognize faces</w:t>
            </w:r>
          </w:p>
        </w:tc>
        <w:tc>
          <w:tcPr>
            <w:tcW w:w="0" w:type="auto"/>
            <w:vAlign w:val="center"/>
            <w:hideMark/>
          </w:tcPr>
          <w:p w14:paraId="0DFFF64E" w14:textId="77777777" w:rsidR="00E55D74" w:rsidRPr="00E55D74" w:rsidRDefault="00E55D74" w:rsidP="00E55D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5D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Simplifies large image files</w:t>
            </w:r>
          </w:p>
        </w:tc>
      </w:tr>
      <w:tr w:rsidR="00E55D74" w:rsidRPr="00E55D74" w14:paraId="29AAED3A" w14:textId="77777777" w:rsidTr="00E55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39BD9" w14:textId="77777777" w:rsidR="00E55D74" w:rsidRPr="00E55D74" w:rsidRDefault="00E55D74" w:rsidP="00E55D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5D7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Weather</w:t>
            </w:r>
          </w:p>
        </w:tc>
        <w:tc>
          <w:tcPr>
            <w:tcW w:w="0" w:type="auto"/>
            <w:vAlign w:val="center"/>
            <w:hideMark/>
          </w:tcPr>
          <w:p w14:paraId="60AE7D7E" w14:textId="77777777" w:rsidR="00E55D74" w:rsidRPr="00E55D74" w:rsidRDefault="00E55D74" w:rsidP="00E55D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5D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Capture main climate patterns</w:t>
            </w:r>
          </w:p>
        </w:tc>
        <w:tc>
          <w:tcPr>
            <w:tcW w:w="0" w:type="auto"/>
            <w:vAlign w:val="center"/>
            <w:hideMark/>
          </w:tcPr>
          <w:p w14:paraId="21112451" w14:textId="77777777" w:rsidR="00E55D74" w:rsidRPr="00E55D74" w:rsidRDefault="00E55D74" w:rsidP="00E55D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5D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Simplify forecasts (e.g., El Niño)</w:t>
            </w:r>
          </w:p>
        </w:tc>
      </w:tr>
      <w:tr w:rsidR="00E55D74" w:rsidRPr="00E55D74" w14:paraId="2F3B1ABA" w14:textId="77777777" w:rsidTr="00E55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B8D95" w14:textId="77777777" w:rsidR="00E55D74" w:rsidRPr="00E55D74" w:rsidRDefault="00E55D74" w:rsidP="00E55D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5D7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Sports</w:t>
            </w:r>
          </w:p>
        </w:tc>
        <w:tc>
          <w:tcPr>
            <w:tcW w:w="0" w:type="auto"/>
            <w:vAlign w:val="center"/>
            <w:hideMark/>
          </w:tcPr>
          <w:p w14:paraId="5C5359DB" w14:textId="77777777" w:rsidR="00E55D74" w:rsidRPr="00E55D74" w:rsidRDefault="00E55D74" w:rsidP="00E55D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5D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Understand performance trends</w:t>
            </w:r>
          </w:p>
        </w:tc>
        <w:tc>
          <w:tcPr>
            <w:tcW w:w="0" w:type="auto"/>
            <w:vAlign w:val="center"/>
            <w:hideMark/>
          </w:tcPr>
          <w:p w14:paraId="04AB0067" w14:textId="77777777" w:rsidR="00E55D74" w:rsidRPr="00E55D74" w:rsidRDefault="00E55D74" w:rsidP="00E55D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5D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Focus on top skills rather than all stats</w:t>
            </w:r>
          </w:p>
        </w:tc>
      </w:tr>
    </w:tbl>
    <w:p w14:paraId="097D2AF7" w14:textId="77777777" w:rsidR="00E55D74" w:rsidRPr="00E55D74" w:rsidRDefault="00E55D74" w:rsidP="00E55D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D74">
        <w:rPr>
          <w:rFonts w:ascii="Times New Roman" w:eastAsia="Times New Roman" w:hAnsi="Times New Roman" w:cs="Times New Roman"/>
          <w:kern w:val="0"/>
          <w14:ligatures w14:val="none"/>
        </w:rPr>
        <w:pict w14:anchorId="178E0B45">
          <v:rect id="_x0000_i1075" style="width:0;height:1.5pt" o:hralign="center" o:hrstd="t" o:hr="t" fillcolor="#a0a0a0" stroked="f"/>
        </w:pict>
      </w:r>
    </w:p>
    <w:p w14:paraId="21E5ED98" w14:textId="77777777" w:rsidR="00E55D74" w:rsidRPr="00E55D74" w:rsidRDefault="00E55D74" w:rsidP="00E55D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5D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Summary</w:t>
      </w:r>
    </w:p>
    <w:p w14:paraId="0CD8ABFA" w14:textId="77777777" w:rsidR="00E55D74" w:rsidRPr="00E55D74" w:rsidRDefault="00E55D74" w:rsidP="00E55D7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D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PCA is a tool to simplify big data</w:t>
      </w:r>
      <w:r w:rsidRPr="00E55D7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4A3B6F" w14:textId="77777777" w:rsidR="00E55D74" w:rsidRPr="00E55D74" w:rsidRDefault="00E55D74" w:rsidP="00E55D7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D74">
        <w:rPr>
          <w:rFonts w:ascii="Times New Roman" w:eastAsia="Times New Roman" w:hAnsi="Times New Roman" w:cs="Times New Roman"/>
          <w:kern w:val="0"/>
          <w14:ligatures w14:val="none"/>
        </w:rPr>
        <w:t xml:space="preserve">It finds </w:t>
      </w:r>
      <w:r w:rsidRPr="00E55D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directions</w:t>
      </w:r>
      <w:r w:rsidRPr="00E55D74">
        <w:rPr>
          <w:rFonts w:ascii="Times New Roman" w:eastAsia="Times New Roman" w:hAnsi="Times New Roman" w:cs="Times New Roman"/>
          <w:kern w:val="0"/>
          <w14:ligatures w14:val="none"/>
        </w:rPr>
        <w:t xml:space="preserve"> that capture most of the movement or spread in the data.</w:t>
      </w:r>
    </w:p>
    <w:p w14:paraId="0DD6F236" w14:textId="77777777" w:rsidR="00E55D74" w:rsidRPr="00E55D74" w:rsidRDefault="00E55D74" w:rsidP="00E55D7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D74">
        <w:rPr>
          <w:rFonts w:ascii="Times New Roman" w:eastAsia="Times New Roman" w:hAnsi="Times New Roman" w:cs="Times New Roman"/>
          <w:kern w:val="0"/>
          <w14:ligatures w14:val="none"/>
        </w:rPr>
        <w:t xml:space="preserve">It helps you focus on </w:t>
      </w:r>
      <w:r w:rsidRPr="00E55D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matters most</w:t>
      </w:r>
      <w:r w:rsidRPr="00E55D74">
        <w:rPr>
          <w:rFonts w:ascii="Times New Roman" w:eastAsia="Times New Roman" w:hAnsi="Times New Roman" w:cs="Times New Roman"/>
          <w:kern w:val="0"/>
          <w14:ligatures w14:val="none"/>
        </w:rPr>
        <w:t>, and ignore noise.</w:t>
      </w:r>
    </w:p>
    <w:p w14:paraId="0A16AFDA" w14:textId="77777777" w:rsidR="00E55D74" w:rsidRPr="00E55D74" w:rsidRDefault="00E55D74" w:rsidP="00E55D7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D74">
        <w:rPr>
          <w:rFonts w:ascii="Times New Roman" w:eastAsia="Times New Roman" w:hAnsi="Times New Roman" w:cs="Times New Roman"/>
          <w:kern w:val="0"/>
          <w14:ligatures w14:val="none"/>
        </w:rPr>
        <w:t xml:space="preserve">It’s used in finance, science, AI, and more — anywhere there's </w:t>
      </w:r>
      <w:r w:rsidRPr="00E55D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 much data and not enough clarity</w:t>
      </w:r>
      <w:r w:rsidRPr="00E55D7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64F472" w14:textId="77777777" w:rsidR="00E55D74" w:rsidRPr="00E55D74" w:rsidRDefault="00E55D74" w:rsidP="00E55D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D74">
        <w:rPr>
          <w:rFonts w:ascii="Times New Roman" w:eastAsia="Times New Roman" w:hAnsi="Times New Roman" w:cs="Times New Roman"/>
          <w:kern w:val="0"/>
          <w14:ligatures w14:val="none"/>
        </w:rPr>
        <w:pict w14:anchorId="3F530E57">
          <v:rect id="_x0000_i1076" style="width:0;height:1.5pt" o:hralign="center" o:hrstd="t" o:hr="t" fillcolor="#a0a0a0" stroked="f"/>
        </w:pict>
      </w:r>
    </w:p>
    <w:p w14:paraId="7302805E" w14:textId="77777777" w:rsidR="00E55D74" w:rsidRPr="00E55D74" w:rsidRDefault="00E55D74" w:rsidP="00E55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5D7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Would you like to see a </w:t>
      </w:r>
      <w:r w:rsidRPr="00E55D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cartoon</w:t>
      </w:r>
      <w:r w:rsidRPr="00E55D74">
        <w:rPr>
          <w:rFonts w:ascii="Times New Roman" w:eastAsia="Times New Roman" w:hAnsi="Times New Roman" w:cs="Times New Roman"/>
          <w:kern w:val="0"/>
          <w14:ligatures w14:val="none"/>
        </w:rPr>
        <w:t xml:space="preserve">, a </w:t>
      </w:r>
      <w:r w:rsidRPr="00E55D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real-world analogy</w:t>
      </w:r>
      <w:r w:rsidRPr="00E55D74">
        <w:rPr>
          <w:rFonts w:ascii="Times New Roman" w:eastAsia="Times New Roman" w:hAnsi="Times New Roman" w:cs="Times New Roman"/>
          <w:kern w:val="0"/>
          <w14:ligatures w14:val="none"/>
        </w:rPr>
        <w:t xml:space="preserve">, or a </w:t>
      </w:r>
      <w:r w:rsidRPr="00E55D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Python code</w:t>
      </w:r>
      <w:r w:rsidRPr="00E55D74">
        <w:rPr>
          <w:rFonts w:ascii="Times New Roman" w:eastAsia="Times New Roman" w:hAnsi="Times New Roman" w:cs="Times New Roman"/>
          <w:kern w:val="0"/>
          <w14:ligatures w14:val="none"/>
        </w:rPr>
        <w:t xml:space="preserve"> that shows PCA in action?</w:t>
      </w:r>
    </w:p>
    <w:p w14:paraId="21BCD1B0" w14:textId="77777777" w:rsidR="00E55D74" w:rsidRDefault="00E55D74" w:rsidP="00B050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EE20D53" w14:textId="77777777" w:rsidR="00E55D74" w:rsidRDefault="00E55D74" w:rsidP="00B050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808F612" w14:textId="77777777" w:rsidR="00E55D74" w:rsidRDefault="00E55D74" w:rsidP="00B050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3647D1A" w14:textId="77777777" w:rsidR="00E55D74" w:rsidRDefault="00E55D74" w:rsidP="00B050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AC7107D" w14:textId="77777777" w:rsidR="00E55D74" w:rsidRDefault="00E55D74" w:rsidP="00B050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EFD85A3" w14:textId="77777777" w:rsidR="00E55D74" w:rsidRDefault="00E55D74" w:rsidP="00B050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1E968DF" w14:textId="61D04BEC" w:rsidR="00B050D4" w:rsidRPr="00B050D4" w:rsidRDefault="00B050D4" w:rsidP="00B050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 of the Discussion: PCA/Factor-Based Model for Illiquid Bond Issuers</w:t>
      </w:r>
    </w:p>
    <w:p w14:paraId="1268F028" w14:textId="77777777" w:rsidR="00B050D4" w:rsidRPr="00B050D4" w:rsidRDefault="00B050D4" w:rsidP="00B05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The discussion focused on </w:t>
      </w: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modeling credit spreads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 for illiquid bond issuers, where historical market data is limited or unavailable. To address this, a </w:t>
      </w: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factor-based approach using PCA (Principal Component Analysis)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 was implemented. The aim was to model credit spreads systematically by leveraging observable data from liquid bonds and extending insights to illiquid ones.</w:t>
      </w:r>
    </w:p>
    <w:p w14:paraId="5ED1EA66" w14:textId="77777777" w:rsidR="00B050D4" w:rsidRPr="00B050D4" w:rsidRDefault="00B050D4" w:rsidP="00B050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pict w14:anchorId="09F1A607">
          <v:rect id="_x0000_i1025" style="width:0;height:1.5pt" o:hralign="center" o:hrstd="t" o:hr="t" fillcolor="#a0a0a0" stroked="f"/>
        </w:pict>
      </w:r>
    </w:p>
    <w:p w14:paraId="361A29EA" w14:textId="77777777" w:rsidR="00B050D4" w:rsidRPr="00B050D4" w:rsidRDefault="00B050D4" w:rsidP="00B050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Steps Discussed</w:t>
      </w:r>
    </w:p>
    <w:p w14:paraId="24C6CE33" w14:textId="77777777" w:rsidR="00B050D4" w:rsidRPr="00B050D4" w:rsidRDefault="00B050D4" w:rsidP="00B050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 with Illiquid Bonds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9E14C59" w14:textId="77777777" w:rsidR="00B050D4" w:rsidRPr="00B050D4" w:rsidRDefault="00B050D4" w:rsidP="00B050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Illiquid issuers lack reliable historical data.</w:t>
      </w:r>
    </w:p>
    <w:p w14:paraId="533AD9A8" w14:textId="77777777" w:rsidR="00B050D4" w:rsidRPr="00B050D4" w:rsidRDefault="00B050D4" w:rsidP="00B050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Bonds appear and disappear frequently, making modeling difficult.</w:t>
      </w:r>
    </w:p>
    <w:p w14:paraId="13BCEE75" w14:textId="77777777" w:rsidR="00B050D4" w:rsidRPr="00B050D4" w:rsidRDefault="00B050D4" w:rsidP="00B050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The goal was to separate </w:t>
      </w: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systematic risk (shared factors)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 from </w:t>
      </w: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idiosyncratic risk (issuer-specific).</w:t>
      </w:r>
    </w:p>
    <w:p w14:paraId="5214AB9C" w14:textId="77777777" w:rsidR="00B050D4" w:rsidRPr="00B050D4" w:rsidRDefault="00B050D4" w:rsidP="00B050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Two-Factor PCA Model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E0866D8" w14:textId="77777777" w:rsidR="00B050D4" w:rsidRPr="00B050D4" w:rsidRDefault="00B050D4" w:rsidP="00B050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Factors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: Systematic risk was split into </w:t>
      </w: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region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industry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 components.</w:t>
      </w:r>
    </w:p>
    <w:p w14:paraId="235E713E" w14:textId="77777777" w:rsidR="00B050D4" w:rsidRPr="00B050D4" w:rsidRDefault="00B050D4" w:rsidP="00B050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92B2C44" w14:textId="77777777" w:rsidR="00B050D4" w:rsidRPr="00B050D4" w:rsidRDefault="00B050D4" w:rsidP="00B050D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Identify liquid names within a given region and industry.</w:t>
      </w:r>
    </w:p>
    <w:p w14:paraId="084E1741" w14:textId="77777777" w:rsidR="00B050D4" w:rsidRPr="00B050D4" w:rsidRDefault="00B050D4" w:rsidP="00B050D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Use PCA on correlation matrices of credit spreads for liquid names to extract key factors:</w:t>
      </w:r>
    </w:p>
    <w:p w14:paraId="36DED77B" w14:textId="77777777" w:rsidR="00B050D4" w:rsidRPr="00B050D4" w:rsidRDefault="00B050D4" w:rsidP="00B050D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 Principal Component (PC1)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 represents the regional systematic risk.</w:t>
      </w:r>
    </w:p>
    <w:p w14:paraId="1DFD4C5F" w14:textId="77777777" w:rsidR="00B050D4" w:rsidRPr="00B050D4" w:rsidRDefault="00B050D4" w:rsidP="00B050D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Residuals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 from the regional component are further analyzed for industry-specific factors.</w:t>
      </w:r>
    </w:p>
    <w:p w14:paraId="1967A551" w14:textId="77777777" w:rsidR="00B050D4" w:rsidRPr="00B050D4" w:rsidRDefault="00B050D4" w:rsidP="00B050D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Repeat PCA for each industry to identify the </w:t>
      </w: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industry-specific risk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3DCEDF" w14:textId="77777777" w:rsidR="00B050D4" w:rsidRPr="00B050D4" w:rsidRDefault="00B050D4" w:rsidP="00B050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Residual Risk and Noise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6360E90" w14:textId="77777777" w:rsidR="00B050D4" w:rsidRPr="00B050D4" w:rsidRDefault="00B050D4" w:rsidP="00B050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After accounting for regional and industry factors, residual risk (idiosyncratic) is modeled as noise.</w:t>
      </w:r>
    </w:p>
    <w:p w14:paraId="52D98413" w14:textId="77777777" w:rsidR="00B050D4" w:rsidRPr="00B050D4" w:rsidRDefault="00B050D4" w:rsidP="00B050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Residual volatility is estimated as an average for the region and industry, ensuring consistency for names without direct data.</w:t>
      </w:r>
    </w:p>
    <w:p w14:paraId="7DACBDF7" w14:textId="77777777" w:rsidR="00B050D4" w:rsidRPr="00B050D4" w:rsidRDefault="00B050D4" w:rsidP="00B050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Synthetic Time Series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700B09A" w14:textId="77777777" w:rsidR="00B050D4" w:rsidRPr="00B050D4" w:rsidRDefault="00B050D4" w:rsidP="00B050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For illiquid issuers, synthetic historical time series are generated:</w:t>
      </w:r>
    </w:p>
    <w:p w14:paraId="2083F829" w14:textId="77777777" w:rsidR="00B050D4" w:rsidRPr="00B050D4" w:rsidRDefault="00B050D4" w:rsidP="00B050D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Combine regional, industry, and residual components.</w:t>
      </w:r>
    </w:p>
    <w:p w14:paraId="01D40C2C" w14:textId="77777777" w:rsidR="00B050D4" w:rsidRPr="00B050D4" w:rsidRDefault="00B050D4" w:rsidP="00B050D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Add noise scaled by residual volatility.</w:t>
      </w:r>
    </w:p>
    <w:p w14:paraId="3EE3AE34" w14:textId="77777777" w:rsidR="00B050D4" w:rsidRPr="00B050D4" w:rsidRDefault="00B050D4" w:rsidP="00B050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This allows simulation of spreads for issuers with no historical time series.</w:t>
      </w:r>
    </w:p>
    <w:p w14:paraId="3F9EDFE7" w14:textId="77777777" w:rsidR="00B050D4" w:rsidRPr="00B050D4" w:rsidRDefault="00B050D4" w:rsidP="00B050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pict w14:anchorId="167B07CD">
          <v:rect id="_x0000_i1026" style="width:0;height:1.5pt" o:hralign="center" o:hrstd="t" o:hr="t" fillcolor="#a0a0a0" stroked="f"/>
        </w:pict>
      </w:r>
    </w:p>
    <w:p w14:paraId="4D0077AF" w14:textId="77777777" w:rsidR="00B050D4" w:rsidRPr="00B050D4" w:rsidRDefault="00B050D4" w:rsidP="00B050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Highlights</w:t>
      </w:r>
    </w:p>
    <w:p w14:paraId="25FC5B74" w14:textId="77777777" w:rsidR="00B050D4" w:rsidRPr="00B050D4" w:rsidRDefault="00B050D4" w:rsidP="00B050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PCA Methodology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D4D33AD" w14:textId="77777777" w:rsidR="00B050D4" w:rsidRPr="00B050D4" w:rsidRDefault="00B050D4" w:rsidP="00B050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correlation matrices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 (preferred over covariance) to ensure equal weighting of all issuers, avoiding bias from high-volatility names.</w:t>
      </w:r>
    </w:p>
    <w:p w14:paraId="75C45913" w14:textId="77777777" w:rsidR="00B050D4" w:rsidRPr="00B050D4" w:rsidRDefault="00B050D4" w:rsidP="00B050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Identify the </w:t>
      </w: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dominant eigenvector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 as the primary factor for the region or industry.</w:t>
      </w:r>
    </w:p>
    <w:p w14:paraId="089A16F5" w14:textId="77777777" w:rsidR="00B050D4" w:rsidRPr="00B050D4" w:rsidRDefault="00B050D4" w:rsidP="00B050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Exponential Decay for Recent Data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A6F5B98" w14:textId="77777777" w:rsidR="00B050D4" w:rsidRPr="00B050D4" w:rsidRDefault="00B050D4" w:rsidP="00B050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Historical data is sampled with exponentially decaying probabilities, giving more weight to recent observations.</w:t>
      </w:r>
    </w:p>
    <w:p w14:paraId="3D199E9A" w14:textId="77777777" w:rsidR="00B050D4" w:rsidRPr="00B050D4" w:rsidRDefault="00B050D4" w:rsidP="00B050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Ensures that models reflect current market conditions while preserving historical patterns.</w:t>
      </w:r>
    </w:p>
    <w:p w14:paraId="1AE63F42" w14:textId="77777777" w:rsidR="00B050D4" w:rsidRPr="00B050D4" w:rsidRDefault="00B050D4" w:rsidP="00B050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Bootstrapping Hazard Rates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E157B21" w14:textId="77777777" w:rsidR="00B050D4" w:rsidRPr="00B050D4" w:rsidRDefault="00B050D4" w:rsidP="00B050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Convert modeled spreads into </w:t>
      </w: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hazard rates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 for consistency with credit risk modeling frameworks.</w:t>
      </w:r>
    </w:p>
    <w:p w14:paraId="692164A5" w14:textId="77777777" w:rsidR="00B050D4" w:rsidRPr="00B050D4" w:rsidRDefault="00B050D4" w:rsidP="00B050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Stress Testing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11F0EF8" w14:textId="77777777" w:rsidR="00B050D4" w:rsidRPr="00B050D4" w:rsidRDefault="00B050D4" w:rsidP="00B050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During stress periods, volatility is scaled to reflect extreme market conditions, ensuring accurate risk assessment.</w:t>
      </w:r>
    </w:p>
    <w:p w14:paraId="5F8E11B0" w14:textId="77777777" w:rsidR="00B050D4" w:rsidRPr="00B050D4" w:rsidRDefault="00B050D4" w:rsidP="00B050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pict w14:anchorId="08E7123A">
          <v:rect id="_x0000_i1027" style="width:0;height:1.5pt" o:hralign="center" o:hrstd="t" o:hr="t" fillcolor="#a0a0a0" stroked="f"/>
        </w:pict>
      </w:r>
    </w:p>
    <w:p w14:paraId="684985B8" w14:textId="77777777" w:rsidR="00B050D4" w:rsidRPr="00B050D4" w:rsidRDefault="00B050D4" w:rsidP="00B050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Applications and Benefits</w:t>
      </w:r>
    </w:p>
    <w:p w14:paraId="679BDC8D" w14:textId="77777777" w:rsidR="00B050D4" w:rsidRPr="00B050D4" w:rsidRDefault="00B050D4" w:rsidP="00B050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Modeling Illiquid Issuers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168FEF6" w14:textId="77777777" w:rsidR="00B050D4" w:rsidRPr="00B050D4" w:rsidRDefault="00B050D4" w:rsidP="00B050D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Enables credit spread modeling for issuers with limited or no trading history by relying on systematic factors and synthetic time series.</w:t>
      </w:r>
    </w:p>
    <w:p w14:paraId="140A193B" w14:textId="77777777" w:rsidR="00B050D4" w:rsidRPr="00B050D4" w:rsidRDefault="00B050D4" w:rsidP="00B050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Scalable Framework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276BB8E" w14:textId="77777777" w:rsidR="00B050D4" w:rsidRPr="00B050D4" w:rsidRDefault="00B050D4" w:rsidP="00B050D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Supports daily recalibration and updating of PCA factors and volatilities, ensuring models remain reactive to market changes.</w:t>
      </w:r>
    </w:p>
    <w:p w14:paraId="00062F99" w14:textId="77777777" w:rsidR="00B050D4" w:rsidRPr="00B050D4" w:rsidRDefault="00B050D4" w:rsidP="00B050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Practical Use in Pricing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85CC179" w14:textId="77777777" w:rsidR="00B050D4" w:rsidRPr="00B050D4" w:rsidRDefault="00B050D4" w:rsidP="00B050D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Generated credit spreads are used to price bonds and CDS contracts.</w:t>
      </w:r>
    </w:p>
    <w:p w14:paraId="6976FDF9" w14:textId="77777777" w:rsidR="00B050D4" w:rsidRPr="00B050D4" w:rsidRDefault="00B050D4" w:rsidP="00B050D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Incorporates funding spreads and non-defaultable components for complete pricing models.</w:t>
      </w:r>
    </w:p>
    <w:p w14:paraId="14FA17BD" w14:textId="77777777" w:rsidR="00B050D4" w:rsidRPr="00B050D4" w:rsidRDefault="00B050D4" w:rsidP="00B050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Customizability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96D6C99" w14:textId="77777777" w:rsidR="00B050D4" w:rsidRPr="00B050D4" w:rsidRDefault="00B050D4" w:rsidP="00B050D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Allows for the addition of more factors (e.g., seniority, ratings) as needed to improve explanatory power.</w:t>
      </w:r>
    </w:p>
    <w:p w14:paraId="55EC1999" w14:textId="77777777" w:rsidR="00B050D4" w:rsidRPr="00B050D4" w:rsidRDefault="00B050D4" w:rsidP="00B050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pict w14:anchorId="23B2EAE0">
          <v:rect id="_x0000_i1028" style="width:0;height:1.5pt" o:hralign="center" o:hrstd="t" o:hr="t" fillcolor="#a0a0a0" stroked="f"/>
        </w:pict>
      </w:r>
    </w:p>
    <w:p w14:paraId="5D9EF1A0" w14:textId="77777777" w:rsidR="00B050D4" w:rsidRPr="00B050D4" w:rsidRDefault="00B050D4" w:rsidP="00B050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Takeaways</w:t>
      </w:r>
    </w:p>
    <w:p w14:paraId="35A8684F" w14:textId="77777777" w:rsidR="00B050D4" w:rsidRPr="00B050D4" w:rsidRDefault="00B050D4" w:rsidP="00B050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PCA Models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: Simplify the complexity of modeling credit spreads by reducing them to a few key factors like region and industry.</w:t>
      </w:r>
    </w:p>
    <w:p w14:paraId="18B668BB" w14:textId="77777777" w:rsidR="00B050D4" w:rsidRPr="00B050D4" w:rsidRDefault="00B050D4" w:rsidP="00B050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Residual Risk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: Idiosyncratic risk is treated as noise, calibrated based on average volatilities within the region/industry.</w:t>
      </w:r>
    </w:p>
    <w:p w14:paraId="28DC9318" w14:textId="77777777" w:rsidR="00B050D4" w:rsidRPr="00B050D4" w:rsidRDefault="00B050D4" w:rsidP="00B050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Calibration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: Models are updated frequently (e.g., daily) to remain aligned with current market dynamics.</w:t>
      </w:r>
    </w:p>
    <w:p w14:paraId="3103CC4C" w14:textId="77777777" w:rsidR="00B050D4" w:rsidRPr="00B050D4" w:rsidRDefault="00B050D4" w:rsidP="00B050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Synthetic Spreads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: Allows simulation of spreads for illiquid names, enabling comprehensive risk modeling across portfolios.</w:t>
      </w:r>
    </w:p>
    <w:p w14:paraId="79C14B82" w14:textId="77777777" w:rsidR="00B050D4" w:rsidRPr="00B050D4" w:rsidRDefault="00B050D4" w:rsidP="00B05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This approach ensures that even without direct historical data, credit spreads for illiquid issuers can be modeled accurately using a systematic, data-driven methodology.</w:t>
      </w:r>
    </w:p>
    <w:p w14:paraId="304C5862" w14:textId="77777777" w:rsidR="00B050D4" w:rsidRDefault="00B050D4"/>
    <w:p w14:paraId="16B47882" w14:textId="77777777" w:rsidR="00B050D4" w:rsidRDefault="00B050D4"/>
    <w:p w14:paraId="55CE4F5D" w14:textId="77777777" w:rsidR="00B050D4" w:rsidRDefault="00B050D4"/>
    <w:p w14:paraId="0DA03C54" w14:textId="77777777" w:rsidR="00B050D4" w:rsidRDefault="00B050D4"/>
    <w:p w14:paraId="75E0B3A0" w14:textId="77777777" w:rsidR="00B050D4" w:rsidRDefault="00B050D4"/>
    <w:p w14:paraId="7254AF67" w14:textId="77777777" w:rsidR="00B050D4" w:rsidRDefault="00B050D4">
      <w:pPr>
        <w:pBdr>
          <w:bottom w:val="thinThickThinMediumGap" w:sz="18" w:space="1" w:color="auto"/>
        </w:pBdr>
      </w:pPr>
    </w:p>
    <w:p w14:paraId="06182053" w14:textId="77777777" w:rsidR="00B050D4" w:rsidRDefault="00B050D4"/>
    <w:p w14:paraId="0EB617FE" w14:textId="77777777" w:rsidR="00B050D4" w:rsidRPr="00B050D4" w:rsidRDefault="00B050D4" w:rsidP="00B05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This is a well-framed proposal to address the SVAR opacity and hedging challenges using a factor model framework. Below are my structured thoughts — from validation to benefits, limitations, and practical advice — tailored for a bank setting where regulatory capital, audit-readiness, and implementation feasibility are critical.</w:t>
      </w:r>
    </w:p>
    <w:p w14:paraId="7AC31920" w14:textId="77777777" w:rsidR="00B050D4" w:rsidRPr="00B050D4" w:rsidRDefault="00B050D4" w:rsidP="00B050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pict w14:anchorId="67F713F7">
          <v:rect id="_x0000_i1033" style="width:0;height:1.5pt" o:hralign="center" o:hrstd="t" o:hr="t" fillcolor="#a0a0a0" stroked="f"/>
        </w:pict>
      </w:r>
    </w:p>
    <w:p w14:paraId="29A7E71F" w14:textId="77777777" w:rsidR="00B050D4" w:rsidRPr="00B050D4" w:rsidRDefault="00B050D4" w:rsidP="00B050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Executive Evaluation of PCA/Factor Model to Reduce SVAR</w:t>
      </w:r>
    </w:p>
    <w:p w14:paraId="295A6BE7" w14:textId="77777777" w:rsidR="00B050D4" w:rsidRPr="00B050D4" w:rsidRDefault="00B050D4" w:rsidP="00B050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Value Proposition</w:t>
      </w:r>
    </w:p>
    <w:p w14:paraId="0CEA3604" w14:textId="77777777" w:rsidR="00B050D4" w:rsidRPr="00B050D4" w:rsidRDefault="00B050D4" w:rsidP="00B05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The proposed framework directly tackles the core challenges:</w:t>
      </w:r>
    </w:p>
    <w:p w14:paraId="1026FAAB" w14:textId="77777777" w:rsidR="00B050D4" w:rsidRPr="00B050D4" w:rsidRDefault="00B050D4" w:rsidP="00B050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Dimensionality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: Reduces 50,000 risk drivers into 20–30 meaningful factors.</w:t>
      </w:r>
    </w:p>
    <w:p w14:paraId="426B22F9" w14:textId="77777777" w:rsidR="00B050D4" w:rsidRPr="00B050D4" w:rsidRDefault="00B050D4" w:rsidP="00B050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Transparency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: Makes SVAR exposure decomposable and communicable.</w:t>
      </w:r>
    </w:p>
    <w:p w14:paraId="232994C8" w14:textId="77777777" w:rsidR="00B050D4" w:rsidRPr="00B050D4" w:rsidRDefault="00B050D4" w:rsidP="00B050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Actionability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: Connects exposures to tradable instruments, supporting practical hedge strategies.</w:t>
      </w:r>
    </w:p>
    <w:p w14:paraId="0D3D8CD5" w14:textId="77777777" w:rsidR="00B050D4" w:rsidRPr="00B050D4" w:rsidRDefault="00B050D4" w:rsidP="00B050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Capital Efficiency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: Enables reduction of SVAR and therefore Market Risk RWA.</w:t>
      </w:r>
    </w:p>
    <w:p w14:paraId="0D50887F" w14:textId="77777777" w:rsidR="00B050D4" w:rsidRPr="00B050D4" w:rsidRDefault="00B050D4" w:rsidP="00B05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This approach aligns with both regulatory objectives (explainability, defensibility) and internal goals (capital optimization, hedge efficiency).</w:t>
      </w:r>
    </w:p>
    <w:p w14:paraId="65911DB1" w14:textId="77777777" w:rsidR="00B050D4" w:rsidRPr="00B050D4" w:rsidRDefault="00B050D4" w:rsidP="00B050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pict w14:anchorId="0CC5E863">
          <v:rect id="_x0000_i1034" style="width:0;height:1.5pt" o:hralign="center" o:hrstd="t" o:hr="t" fillcolor="#a0a0a0" stroked="f"/>
        </w:pict>
      </w:r>
    </w:p>
    <w:p w14:paraId="0B2CF9ED" w14:textId="77777777" w:rsidR="00B050D4" w:rsidRPr="00B050D4" w:rsidRDefault="00B050D4" w:rsidP="00B050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Comparison to PCA</w:t>
      </w:r>
    </w:p>
    <w:p w14:paraId="577CBEC8" w14:textId="77777777" w:rsidR="00B050D4" w:rsidRPr="00B050D4" w:rsidRDefault="00B050D4" w:rsidP="00B05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While PCA and factor models are similar in that they reduce dimensionality:</w:t>
      </w:r>
    </w:p>
    <w:p w14:paraId="67AFD5A5" w14:textId="77777777" w:rsidR="00B050D4" w:rsidRPr="00B050D4" w:rsidRDefault="00B050D4" w:rsidP="00B050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PCA is statistical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: It finds uncorrelated orthogonal directions explaining maximum variance, but the components often lack economic meaning.</w:t>
      </w:r>
    </w:p>
    <w:p w14:paraId="5FA416B9" w14:textId="77777777" w:rsidR="00B050D4" w:rsidRPr="00B050D4" w:rsidRDefault="00B050D4" w:rsidP="00B050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Factor model is explanatory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: It starts with economically interpretable and </w:t>
      </w:r>
      <w:proofErr w:type="spellStart"/>
      <w:r w:rsidRPr="00B050D4">
        <w:rPr>
          <w:rFonts w:ascii="Times New Roman" w:eastAsia="Times New Roman" w:hAnsi="Times New Roman" w:cs="Times New Roman"/>
          <w:kern w:val="0"/>
          <w14:ligatures w14:val="none"/>
        </w:rPr>
        <w:t>hedgeable</w:t>
      </w:r>
      <w:proofErr w:type="spellEnd"/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 factors (e.g., SPX, SOFR 10Y) and regresses all drivers on them.</w:t>
      </w:r>
    </w:p>
    <w:p w14:paraId="350893BF" w14:textId="77777777" w:rsidR="00B050D4" w:rsidRPr="00B050D4" w:rsidRDefault="00B050D4" w:rsidP="00B05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: A factor model is </w:t>
      </w:r>
      <w:r w:rsidRPr="00B050D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preferable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 to PCA in regulatory/risk contexts due to better interpretability, hedge-ability, and business acceptance.</w:t>
      </w:r>
    </w:p>
    <w:p w14:paraId="2518C661" w14:textId="77777777" w:rsidR="00B050D4" w:rsidRPr="00B050D4" w:rsidRDefault="00B050D4" w:rsidP="00B050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pict w14:anchorId="1F70E8E5">
          <v:rect id="_x0000_i1035" style="width:0;height:1.5pt" o:hralign="center" o:hrstd="t" o:hr="t" fillcolor="#a0a0a0" stroked="f"/>
        </w:pict>
      </w:r>
    </w:p>
    <w:p w14:paraId="427F2F5C" w14:textId="77777777" w:rsidR="00B050D4" w:rsidRPr="00B050D4" w:rsidRDefault="00B050D4" w:rsidP="00B050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Key Inputs and Considerations</w:t>
      </w:r>
    </w:p>
    <w:p w14:paraId="2448B823" w14:textId="77777777" w:rsidR="00B050D4" w:rsidRPr="00B050D4" w:rsidRDefault="00B050D4" w:rsidP="00B05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A. Factor Selection</w:t>
      </w:r>
    </w:p>
    <w:p w14:paraId="14CCD6C8" w14:textId="77777777" w:rsidR="00B050D4" w:rsidRPr="00B050D4" w:rsidRDefault="00B050D4" w:rsidP="00B050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Blend of macro (e.g., SPX, SOFR, DXY) and sector-specific (e.g., CDX IG, WTI Oil).</w:t>
      </w:r>
    </w:p>
    <w:p w14:paraId="115875C0" w14:textId="77777777" w:rsidR="00B050D4" w:rsidRPr="00B050D4" w:rsidRDefault="00B050D4" w:rsidP="00B050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Keep it orthogonalized (via Cholesky) to avoid multicollinearity in regressions.</w:t>
      </w:r>
    </w:p>
    <w:p w14:paraId="09A9F7FB" w14:textId="77777777" w:rsidR="00B050D4" w:rsidRPr="00B050D4" w:rsidRDefault="00B050D4" w:rsidP="00B05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 Regression</w:t>
      </w:r>
    </w:p>
    <w:p w14:paraId="589B189F" w14:textId="77777777" w:rsidR="00B050D4" w:rsidRPr="00B050D4" w:rsidRDefault="00B050D4" w:rsidP="00B050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Regress daily delta/gamma vectors (AX) of each risk driver against factor returns.</w:t>
      </w:r>
    </w:p>
    <w:p w14:paraId="510C6DB1" w14:textId="77777777" w:rsidR="00B050D4" w:rsidRPr="00B050D4" w:rsidRDefault="00B050D4" w:rsidP="00B050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This gives you the </w:t>
      </w:r>
      <w:r w:rsidRPr="00B050D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beta sensitivity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 of each risk driver to each factor.</w:t>
      </w:r>
    </w:p>
    <w:p w14:paraId="64D908A6" w14:textId="77777777" w:rsidR="00B050D4" w:rsidRPr="00B050D4" w:rsidRDefault="00B050D4" w:rsidP="00B05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C. SVAR Reconstruction</w:t>
      </w:r>
    </w:p>
    <w:p w14:paraId="752DB0FA" w14:textId="77777777" w:rsidR="00B050D4" w:rsidRPr="00B050D4" w:rsidRDefault="00B050D4" w:rsidP="00B050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Recompose SVAR: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B050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PnL</w:t>
      </w:r>
      <w:proofErr w:type="spellEnd"/>
      <w:r w:rsidRPr="00B050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 × B × ΔF + 0.5 × ΔFᵗ × Bᵗ × Γ × B × ΔF</w:t>
      </w:r>
    </w:p>
    <w:p w14:paraId="74EB5D81" w14:textId="77777777" w:rsidR="00B050D4" w:rsidRPr="00B050D4" w:rsidRDefault="00B050D4" w:rsidP="00B050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You can now attribute SVAR to each factor or group of factors.</w:t>
      </w:r>
    </w:p>
    <w:p w14:paraId="046F1348" w14:textId="77777777" w:rsidR="00B050D4" w:rsidRPr="00B050D4" w:rsidRDefault="00B050D4" w:rsidP="00B050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Enables “X% of SVAR comes from SOFR 10Y, Y% from SPX” type explanations.</w:t>
      </w:r>
    </w:p>
    <w:p w14:paraId="3443568C" w14:textId="77777777" w:rsidR="00B050D4" w:rsidRPr="00B050D4" w:rsidRDefault="00B050D4" w:rsidP="00B050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pict w14:anchorId="49A3653E">
          <v:rect id="_x0000_i1036" style="width:0;height:1.5pt" o:hralign="center" o:hrstd="t" o:hr="t" fillcolor="#a0a0a0" stroked="f"/>
        </w:pict>
      </w:r>
    </w:p>
    <w:p w14:paraId="165C04D7" w14:textId="77777777" w:rsidR="00B050D4" w:rsidRPr="00B050D4" w:rsidRDefault="00B050D4" w:rsidP="00B050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4. SVAR Optimization Strategy</w:t>
      </w:r>
    </w:p>
    <w:p w14:paraId="6332669F" w14:textId="77777777" w:rsidR="00B050D4" w:rsidRPr="00B050D4" w:rsidRDefault="00B050D4" w:rsidP="00B05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: Minimize factor-decomposed SVAR by adding hedges linked to factors.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: If 60% of SVAR is driven by 10Y SOFR, consider overlay hedges using 10Y USD swaps or futures.</w:t>
      </w:r>
    </w:p>
    <w:p w14:paraId="1F97DCA5" w14:textId="77777777" w:rsidR="00B050D4" w:rsidRPr="00B050D4" w:rsidRDefault="00B050D4" w:rsidP="00B05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Formulation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FF87B96" w14:textId="77777777" w:rsidR="00B050D4" w:rsidRPr="00B050D4" w:rsidRDefault="00B050D4" w:rsidP="00B050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Minimize SVAR subject to:</w:t>
      </w:r>
    </w:p>
    <w:p w14:paraId="1AA9F493" w14:textId="77777777" w:rsidR="00B050D4" w:rsidRPr="00B050D4" w:rsidRDefault="00B050D4" w:rsidP="00B050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constraints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 (bid/ask spread, liquidity)</w:t>
      </w:r>
    </w:p>
    <w:p w14:paraId="05185F08" w14:textId="77777777" w:rsidR="00B050D4" w:rsidRPr="00B050D4" w:rsidRDefault="00B050D4" w:rsidP="00B050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constraints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 (limit </w:t>
      </w:r>
      <w:proofErr w:type="spellStart"/>
      <w:r w:rsidRPr="00B050D4">
        <w:rPr>
          <w:rFonts w:ascii="Times New Roman" w:eastAsia="Times New Roman" w:hAnsi="Times New Roman" w:cs="Times New Roman"/>
          <w:kern w:val="0"/>
          <w14:ligatures w14:val="none"/>
        </w:rPr>
        <w:t>PnL</w:t>
      </w:r>
      <w:proofErr w:type="spellEnd"/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 drift, basis risk)</w:t>
      </w:r>
    </w:p>
    <w:p w14:paraId="13026F28" w14:textId="77777777" w:rsidR="00B050D4" w:rsidRPr="00B050D4" w:rsidRDefault="00B050D4" w:rsidP="00B050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Capital constraints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 (desk-level SVAR limits)</w:t>
      </w:r>
    </w:p>
    <w:p w14:paraId="5F6EFC50" w14:textId="77777777" w:rsidR="00B050D4" w:rsidRPr="00B050D4" w:rsidRDefault="00B050D4" w:rsidP="00B05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Use a </w:t>
      </w: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quadratic programming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 solver for portfolio optimization.</w:t>
      </w:r>
    </w:p>
    <w:p w14:paraId="3FD27E67" w14:textId="77777777" w:rsidR="00B050D4" w:rsidRPr="00B050D4" w:rsidRDefault="00B050D4" w:rsidP="00B050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pict w14:anchorId="1C6FE360">
          <v:rect id="_x0000_i1037" style="width:0;height:1.5pt" o:hralign="center" o:hrstd="t" o:hr="t" fillcolor="#a0a0a0" stroked="f"/>
        </w:pict>
      </w:r>
    </w:p>
    <w:p w14:paraId="0947FA22" w14:textId="77777777" w:rsidR="00B050D4" w:rsidRPr="00B050D4" w:rsidRDefault="00B050D4" w:rsidP="00B050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Implementation &amp; Validation</w:t>
      </w:r>
    </w:p>
    <w:p w14:paraId="29538D1F" w14:textId="77777777" w:rsidR="00B050D4" w:rsidRPr="00B050D4" w:rsidRDefault="00B050D4" w:rsidP="00B05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1: Analytics</w:t>
      </w:r>
    </w:p>
    <w:p w14:paraId="05599C88" w14:textId="77777777" w:rsidR="00B050D4" w:rsidRPr="00B050D4" w:rsidRDefault="00B050D4" w:rsidP="00B050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Select factors and clean time series</w:t>
      </w:r>
    </w:p>
    <w:p w14:paraId="59D6BEB5" w14:textId="77777777" w:rsidR="00B050D4" w:rsidRPr="00B050D4" w:rsidRDefault="00B050D4" w:rsidP="00B050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Regress drivers on factors</w:t>
      </w:r>
    </w:p>
    <w:p w14:paraId="1E5F1387" w14:textId="77777777" w:rsidR="00B050D4" w:rsidRPr="00B050D4" w:rsidRDefault="00B050D4" w:rsidP="00B050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Decompose historical SVAR into factor contribution</w:t>
      </w:r>
    </w:p>
    <w:p w14:paraId="407CD97D" w14:textId="77777777" w:rsidR="00B050D4" w:rsidRPr="00B050D4" w:rsidRDefault="00B050D4" w:rsidP="00B050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Compare vs. current SVAR output — test </w:t>
      </w:r>
      <w:r w:rsidRPr="00B050D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fit quality</w:t>
      </w:r>
    </w:p>
    <w:p w14:paraId="10B07A23" w14:textId="77777777" w:rsidR="00B050D4" w:rsidRPr="00B050D4" w:rsidRDefault="00B050D4" w:rsidP="00B05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2: Hedging Simulator</w:t>
      </w:r>
    </w:p>
    <w:p w14:paraId="5D4A4F81" w14:textId="77777777" w:rsidR="00B050D4" w:rsidRPr="00B050D4" w:rsidRDefault="00B050D4" w:rsidP="00B050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Run “what-if” analysis: Add X units of hedge instrument → observe SVAR reduction</w:t>
      </w:r>
    </w:p>
    <w:p w14:paraId="06D8E9F3" w14:textId="77777777" w:rsidR="00B050D4" w:rsidRPr="00B050D4" w:rsidRDefault="00B050D4" w:rsidP="00B050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Build dashboards to show:</w:t>
      </w:r>
    </w:p>
    <w:p w14:paraId="4A93B9D6" w14:textId="77777777" w:rsidR="00B050D4" w:rsidRPr="00B050D4" w:rsidRDefault="00B050D4" w:rsidP="00B050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Factor-level SVAR attribution</w:t>
      </w:r>
    </w:p>
    <w:p w14:paraId="204D272D" w14:textId="77777777" w:rsidR="00B050D4" w:rsidRPr="00B050D4" w:rsidRDefault="00B050D4" w:rsidP="00B050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Impact of hypothetical hedge trades</w:t>
      </w:r>
    </w:p>
    <w:p w14:paraId="4AE4BA6B" w14:textId="77777777" w:rsidR="00B050D4" w:rsidRPr="00B050D4" w:rsidRDefault="00B050D4" w:rsidP="00B050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Cost vs. capital saving scenarios</w:t>
      </w:r>
    </w:p>
    <w:p w14:paraId="43D0893E" w14:textId="77777777" w:rsidR="00B050D4" w:rsidRPr="00B050D4" w:rsidRDefault="00B050D4" w:rsidP="00B05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3: Automation</w:t>
      </w:r>
    </w:p>
    <w:p w14:paraId="322DD85B" w14:textId="77777777" w:rsidR="00B050D4" w:rsidRPr="00B050D4" w:rsidRDefault="00B050D4" w:rsidP="00B050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Build into internal risk dashboards (e.g., EMR or </w:t>
      </w:r>
      <w:proofErr w:type="spellStart"/>
      <w:r w:rsidRPr="00B050D4">
        <w:rPr>
          <w:rFonts w:ascii="Times New Roman" w:eastAsia="Times New Roman" w:hAnsi="Times New Roman" w:cs="Times New Roman"/>
          <w:kern w:val="0"/>
          <w14:ligatures w14:val="none"/>
        </w:rPr>
        <w:t>RiskViewer</w:t>
      </w:r>
      <w:proofErr w:type="spellEnd"/>
      <w:r w:rsidRPr="00B050D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3D1E3D1" w14:textId="77777777" w:rsidR="00B050D4" w:rsidRPr="00B050D4" w:rsidRDefault="00B050D4" w:rsidP="00B050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Set up daily refresh pipeline using market data &amp; sensitivities</w:t>
      </w:r>
    </w:p>
    <w:p w14:paraId="461D8AB6" w14:textId="77777777" w:rsidR="00B050D4" w:rsidRPr="00B050D4" w:rsidRDefault="00B050D4" w:rsidP="00B050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pict w14:anchorId="0B72AA47">
          <v:rect id="_x0000_i1038" style="width:0;height:1.5pt" o:hralign="center" o:hrstd="t" o:hr="t" fillcolor="#a0a0a0" stroked="f"/>
        </w:pict>
      </w:r>
    </w:p>
    <w:p w14:paraId="765F5463" w14:textId="77777777" w:rsidR="00B050D4" w:rsidRPr="00B050D4" w:rsidRDefault="00B050D4" w:rsidP="00B050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Potential Risks and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6560"/>
      </w:tblGrid>
      <w:tr w:rsidR="00B050D4" w:rsidRPr="00B050D4" w14:paraId="15D4FF45" w14:textId="77777777" w:rsidTr="00B050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3545DD" w14:textId="77777777" w:rsidR="00B050D4" w:rsidRPr="00B050D4" w:rsidRDefault="00B050D4" w:rsidP="00B05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Risk / Limitation</w:t>
            </w:r>
          </w:p>
        </w:tc>
        <w:tc>
          <w:tcPr>
            <w:tcW w:w="0" w:type="auto"/>
            <w:vAlign w:val="center"/>
            <w:hideMark/>
          </w:tcPr>
          <w:p w14:paraId="10C5F858" w14:textId="77777777" w:rsidR="00B050D4" w:rsidRPr="00B050D4" w:rsidRDefault="00B050D4" w:rsidP="00B05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Mitigation</w:t>
            </w:r>
          </w:p>
        </w:tc>
      </w:tr>
      <w:tr w:rsidR="00B050D4" w:rsidRPr="00B050D4" w14:paraId="66F12F2A" w14:textId="77777777" w:rsidTr="00B05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1AF7E" w14:textId="77777777" w:rsidR="00B050D4" w:rsidRPr="00B050D4" w:rsidRDefault="00B050D4" w:rsidP="00B05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Overfitting regression betas</w:t>
            </w:r>
          </w:p>
        </w:tc>
        <w:tc>
          <w:tcPr>
            <w:tcW w:w="0" w:type="auto"/>
            <w:vAlign w:val="center"/>
            <w:hideMark/>
          </w:tcPr>
          <w:p w14:paraId="03C63BCF" w14:textId="77777777" w:rsidR="00B050D4" w:rsidRPr="00B050D4" w:rsidRDefault="00B050D4" w:rsidP="00B05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regularization (e.g., Lasso/Ridge) and out-of-sample validation</w:t>
            </w:r>
          </w:p>
        </w:tc>
      </w:tr>
      <w:tr w:rsidR="00B050D4" w:rsidRPr="00B050D4" w14:paraId="59487E41" w14:textId="77777777" w:rsidTr="00B05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B5C96" w14:textId="77777777" w:rsidR="00B050D4" w:rsidRPr="00B050D4" w:rsidRDefault="00B050D4" w:rsidP="00B05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Non-linearity in SVAR </w:t>
            </w:r>
            <w:proofErr w:type="spellStart"/>
            <w:r w:rsidRPr="00B050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PnL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0BC9C6" w14:textId="77777777" w:rsidR="00B050D4" w:rsidRPr="00B050D4" w:rsidRDefault="00B050D4" w:rsidP="00B05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Limit factor model to delta/gamma, exclude high curvature risks</w:t>
            </w:r>
          </w:p>
        </w:tc>
      </w:tr>
      <w:tr w:rsidR="00B050D4" w:rsidRPr="00B050D4" w14:paraId="36988796" w14:textId="77777777" w:rsidTr="00B05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06ED6" w14:textId="77777777" w:rsidR="00B050D4" w:rsidRPr="00B050D4" w:rsidRDefault="00B050D4" w:rsidP="00B05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Factor instability over time</w:t>
            </w:r>
          </w:p>
        </w:tc>
        <w:tc>
          <w:tcPr>
            <w:tcW w:w="0" w:type="auto"/>
            <w:vAlign w:val="center"/>
            <w:hideMark/>
          </w:tcPr>
          <w:p w14:paraId="7048DECE" w14:textId="77777777" w:rsidR="00B050D4" w:rsidRPr="00B050D4" w:rsidRDefault="00B050D4" w:rsidP="00B05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Apply rolling window betas, monitor beta drift</w:t>
            </w:r>
          </w:p>
        </w:tc>
      </w:tr>
      <w:tr w:rsidR="00B050D4" w:rsidRPr="00B050D4" w14:paraId="0CBEB595" w14:textId="77777777" w:rsidTr="00B05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65DFC" w14:textId="77777777" w:rsidR="00B050D4" w:rsidRPr="00B050D4" w:rsidRDefault="00B050D4" w:rsidP="00B05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Regulatory buy-in</w:t>
            </w:r>
          </w:p>
        </w:tc>
        <w:tc>
          <w:tcPr>
            <w:tcW w:w="0" w:type="auto"/>
            <w:vAlign w:val="center"/>
            <w:hideMark/>
          </w:tcPr>
          <w:p w14:paraId="67A053E0" w14:textId="77777777" w:rsidR="00B050D4" w:rsidRPr="00B050D4" w:rsidRDefault="00B050D4" w:rsidP="00B05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Ensure transparency in methodology, clear audit trail</w:t>
            </w:r>
          </w:p>
        </w:tc>
      </w:tr>
    </w:tbl>
    <w:p w14:paraId="0B48DC9D" w14:textId="77777777" w:rsidR="00B050D4" w:rsidRPr="00B050D4" w:rsidRDefault="00B050D4" w:rsidP="00B050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pict w14:anchorId="48FB1572">
          <v:rect id="_x0000_i1039" style="width:0;height:1.5pt" o:hralign="center" o:hrstd="t" o:hr="t" fillcolor="#a0a0a0" stroked="f"/>
        </w:pict>
      </w:r>
    </w:p>
    <w:p w14:paraId="05443174" w14:textId="77777777" w:rsidR="00B050D4" w:rsidRPr="00B050D4" w:rsidRDefault="00B050D4" w:rsidP="00B050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Final Remarks &amp; Recommendations</w:t>
      </w:r>
    </w:p>
    <w:p w14:paraId="2429EE62" w14:textId="77777777" w:rsidR="00B050D4" w:rsidRPr="00B050D4" w:rsidRDefault="00B050D4" w:rsidP="00B050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This framework is compelling and implementable.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 The roadmap is realistic for a large bank.</w:t>
      </w:r>
    </w:p>
    <w:p w14:paraId="77AAE4C3" w14:textId="77777777" w:rsidR="00B050D4" w:rsidRPr="00B050D4" w:rsidRDefault="00B050D4" w:rsidP="00B050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 supports both regulatory expectations (model explainability)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front-office goals (capital optimization, </w:t>
      </w:r>
      <w:proofErr w:type="spellStart"/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PnL</w:t>
      </w:r>
      <w:proofErr w:type="spellEnd"/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efficiency)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1711C3" w14:textId="77777777" w:rsidR="00B050D4" w:rsidRPr="00B050D4" w:rsidRDefault="00B050D4" w:rsidP="00B050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Empirical </w:t>
      </w:r>
      <w:proofErr w:type="spellStart"/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backtesting</w:t>
      </w:r>
      <w:proofErr w:type="spellEnd"/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is essential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 — start with historical SVAR vs. factor-modeled SVAR side-by-side comparisons.</w:t>
      </w:r>
    </w:p>
    <w:p w14:paraId="7A1148AB" w14:textId="77777777" w:rsidR="00B050D4" w:rsidRPr="00B050D4" w:rsidRDefault="00B050D4" w:rsidP="00B05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a Python prototype or </w:t>
      </w:r>
      <w:proofErr w:type="spellStart"/>
      <w:r w:rsidRPr="00B050D4">
        <w:rPr>
          <w:rFonts w:ascii="Times New Roman" w:eastAsia="Times New Roman" w:hAnsi="Times New Roman" w:cs="Times New Roman"/>
          <w:kern w:val="0"/>
          <w14:ligatures w14:val="none"/>
        </w:rPr>
        <w:t>Jupyter</w:t>
      </w:r>
      <w:proofErr w:type="spellEnd"/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 Notebook template for Step 2 (driver regression and SVAR factor attribution)?</w:t>
      </w:r>
    </w:p>
    <w:p w14:paraId="041DB871" w14:textId="77777777" w:rsidR="00B050D4" w:rsidRPr="00B050D4" w:rsidRDefault="00B050D4" w:rsidP="00B050D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03398552" w14:textId="77777777" w:rsidR="00B050D4" w:rsidRPr="00B050D4" w:rsidRDefault="00B050D4" w:rsidP="00B050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I still don't understand the concept of </w:t>
      </w:r>
      <w:proofErr w:type="spellStart"/>
      <w:r w:rsidRPr="00B050D4">
        <w:rPr>
          <w:rFonts w:ascii="Times New Roman" w:eastAsia="Times New Roman" w:hAnsi="Times New Roman" w:cs="Times New Roman"/>
          <w:kern w:val="0"/>
          <w14:ligatures w14:val="none"/>
        </w:rPr>
        <w:t>pca</w:t>
      </w:r>
      <w:proofErr w:type="spellEnd"/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 factor model </w:t>
      </w:r>
    </w:p>
    <w:p w14:paraId="50BC4C17" w14:textId="77777777" w:rsidR="00B050D4" w:rsidRPr="00B050D4" w:rsidRDefault="00B050D4" w:rsidP="00B050D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62BFFC20" w14:textId="77777777" w:rsidR="00B050D4" w:rsidRPr="00B050D4" w:rsidRDefault="00B050D4" w:rsidP="00B05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Great — let’s break it down step-by-step in plain terms and then tie it to SVAR.</w:t>
      </w:r>
    </w:p>
    <w:p w14:paraId="7A384C6F" w14:textId="77777777" w:rsidR="00B050D4" w:rsidRPr="00B050D4" w:rsidRDefault="00B050D4" w:rsidP="00B050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pict w14:anchorId="6372A455">
          <v:rect id="_x0000_i1040" style="width:0;height:1.5pt" o:hralign="center" o:hrstd="t" o:hr="t" fillcolor="#a0a0a0" stroked="f"/>
        </w:pict>
      </w:r>
    </w:p>
    <w:p w14:paraId="5CD94558" w14:textId="77777777" w:rsidR="00B050D4" w:rsidRPr="00B050D4" w:rsidRDefault="00B050D4" w:rsidP="00B050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is a PCA Factor Model (in simple terms)?</w:t>
      </w:r>
    </w:p>
    <w:p w14:paraId="16462719" w14:textId="77777777" w:rsidR="00B050D4" w:rsidRPr="00B050D4" w:rsidRDefault="00B050D4" w:rsidP="00B05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Think of your portfolio as being affected by thousands of tiny strings (risk drivers). Each string pulls the portfolio in a certain direction every day — up, down, sideways. But trying to track every string individually (like 50,000 risk drivers) is </w:t>
      </w: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 complex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56B3AA" w14:textId="77777777" w:rsidR="00B050D4" w:rsidRPr="00B050D4" w:rsidRDefault="00B050D4" w:rsidP="00B05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PCA (Principal Component Analysis)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 is a mathematical way to say:</w:t>
      </w:r>
    </w:p>
    <w:p w14:paraId="45374278" w14:textId="77777777" w:rsidR="00B050D4" w:rsidRPr="00B050D4" w:rsidRDefault="00B050D4" w:rsidP="00B050D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“Instead of tracking 50,000 strings, let’s find the </w:t>
      </w:r>
      <w:r w:rsidRPr="00B050D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main directions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 the entire portfolio tends to move in.”</w:t>
      </w:r>
    </w:p>
    <w:p w14:paraId="73FDDAE5" w14:textId="77777777" w:rsidR="00B050D4" w:rsidRPr="00B050D4" w:rsidRDefault="00B050D4" w:rsidP="00B050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pict w14:anchorId="40173CA0">
          <v:rect id="_x0000_i1041" style="width:0;height:1.5pt" o:hralign="center" o:hrstd="t" o:hr="t" fillcolor="#a0a0a0" stroked="f"/>
        </w:pict>
      </w:r>
    </w:p>
    <w:p w14:paraId="6CC37335" w14:textId="77777777" w:rsidR="00B050D4" w:rsidRPr="00B050D4" w:rsidRDefault="00B050D4" w:rsidP="00B050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Step-by-Step Analogy</w:t>
      </w:r>
    </w:p>
    <w:p w14:paraId="2127A760" w14:textId="77777777" w:rsidR="00B050D4" w:rsidRPr="00B050D4" w:rsidRDefault="00B050D4" w:rsidP="00B050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Imagine a messy room</w:t>
      </w:r>
    </w:p>
    <w:p w14:paraId="094CCFBE" w14:textId="77777777" w:rsidR="00B050D4" w:rsidRPr="00B050D4" w:rsidRDefault="00B050D4" w:rsidP="00B05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You walk into a room with 50,000 pieces of paper flying around — that’s your risk drivers.</w:t>
      </w:r>
    </w:p>
    <w:p w14:paraId="62CA5289" w14:textId="77777777" w:rsidR="00B050D4" w:rsidRPr="00B050D4" w:rsidRDefault="00B050D4" w:rsidP="00B050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2. PCA says: “Wait — most of this mess is moving in only a few main directions.”</w:t>
      </w:r>
    </w:p>
    <w:p w14:paraId="06CD398D" w14:textId="77777777" w:rsidR="00B050D4" w:rsidRPr="00B050D4" w:rsidRDefault="00B050D4" w:rsidP="00B05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You apply PCA and it tells you:</w:t>
      </w:r>
    </w:p>
    <w:p w14:paraId="0A25794B" w14:textId="77777777" w:rsidR="00B050D4" w:rsidRPr="00B050D4" w:rsidRDefault="00B050D4" w:rsidP="00B050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Direction 1 explains 40% of the movement</w:t>
      </w:r>
    </w:p>
    <w:p w14:paraId="5AAAE605" w14:textId="77777777" w:rsidR="00B050D4" w:rsidRPr="00B050D4" w:rsidRDefault="00B050D4" w:rsidP="00B050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Direction 2 explains 25%</w:t>
      </w:r>
    </w:p>
    <w:p w14:paraId="69473B5C" w14:textId="77777777" w:rsidR="00B050D4" w:rsidRPr="00B050D4" w:rsidRDefault="00B050D4" w:rsidP="00B050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Direction 3 explains 15%</w:t>
      </w:r>
    </w:p>
    <w:p w14:paraId="6CBD27B0" w14:textId="77777777" w:rsidR="00B050D4" w:rsidRPr="00B050D4" w:rsidRDefault="00B050D4" w:rsidP="00B050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...and </w:t>
      </w:r>
      <w:proofErr w:type="gramStart"/>
      <w:r w:rsidRPr="00B050D4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 on</w:t>
      </w:r>
    </w:p>
    <w:p w14:paraId="2FA88107" w14:textId="77777777" w:rsidR="00B050D4" w:rsidRPr="00B050D4" w:rsidRDefault="00B050D4" w:rsidP="00B05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Usually, the </w:t>
      </w: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 20-30 directions (called principal components)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 explain almost all the action.</w:t>
      </w:r>
    </w:p>
    <w:p w14:paraId="6E6AA735" w14:textId="77777777" w:rsidR="00B050D4" w:rsidRPr="00B050D4" w:rsidRDefault="00B050D4" w:rsidP="00B050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Now track those 20-30 main directions instead of 50,000</w:t>
      </w:r>
    </w:p>
    <w:p w14:paraId="0C9D88E7" w14:textId="77777777" w:rsidR="00B050D4" w:rsidRPr="00B050D4" w:rsidRDefault="00B050D4" w:rsidP="00B05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Each of those directions becomes a </w:t>
      </w: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“PCA factor”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 — synthetic, but capturing real behavior of the portfolio.</w:t>
      </w:r>
    </w:p>
    <w:p w14:paraId="1299C815" w14:textId="77777777" w:rsidR="00B050D4" w:rsidRPr="00B050D4" w:rsidRDefault="00B050D4" w:rsidP="00B050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pict w14:anchorId="567DA79B">
          <v:rect id="_x0000_i1042" style="width:0;height:1.5pt" o:hralign="center" o:hrstd="t" o:hr="t" fillcolor="#a0a0a0" stroked="f"/>
        </w:pict>
      </w:r>
    </w:p>
    <w:p w14:paraId="309D9004" w14:textId="77777777" w:rsidR="00B050D4" w:rsidRPr="00B050D4" w:rsidRDefault="00B050D4" w:rsidP="00B050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Now tie it back to SVAR</w:t>
      </w:r>
    </w:p>
    <w:p w14:paraId="27AAC0BF" w14:textId="77777777" w:rsidR="00B050D4" w:rsidRPr="00B050D4" w:rsidRDefault="00B050D4" w:rsidP="00B05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In your current SVAR setup:</w:t>
      </w:r>
    </w:p>
    <w:p w14:paraId="5CB12A50" w14:textId="77777777" w:rsidR="00B050D4" w:rsidRPr="00B050D4" w:rsidRDefault="00B050D4" w:rsidP="00B050D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You use </w:t>
      </w: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ΔX = daily shocks to 50,000 risk drivers</w:t>
      </w:r>
    </w:p>
    <w:p w14:paraId="13B1317B" w14:textId="77777777" w:rsidR="00B050D4" w:rsidRPr="00B050D4" w:rsidRDefault="00B050D4" w:rsidP="00B050D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And compute: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B050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PnL</w:t>
      </w:r>
      <w:proofErr w:type="spellEnd"/>
      <w:r w:rsidRPr="00B050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ΔXᵗ × delta + 0.5 × ΔXᵗ × gamma × ΔX</w:t>
      </w:r>
    </w:p>
    <w:p w14:paraId="0FC3FD2D" w14:textId="77777777" w:rsidR="00B050D4" w:rsidRPr="00B050D4" w:rsidRDefault="00B050D4" w:rsidP="00B05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: That’s impossible to interpret or hedge effectively.</w:t>
      </w:r>
    </w:p>
    <w:p w14:paraId="6CD45161" w14:textId="77777777" w:rsidR="00B050D4" w:rsidRPr="00B050D4" w:rsidRDefault="00B050D4" w:rsidP="00B050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pict w14:anchorId="2D93CB36">
          <v:rect id="_x0000_i1043" style="width:0;height:1.5pt" o:hralign="center" o:hrstd="t" o:hr="t" fillcolor="#a0a0a0" stroked="f"/>
        </w:pict>
      </w:r>
    </w:p>
    <w:p w14:paraId="2842F29F" w14:textId="77777777" w:rsidR="00B050D4" w:rsidRPr="00B050D4" w:rsidRDefault="00B050D4" w:rsidP="00B050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With PCA Factor Model for SVAR</w:t>
      </w:r>
    </w:p>
    <w:p w14:paraId="2B628552" w14:textId="77777777" w:rsidR="00B050D4" w:rsidRPr="00B050D4" w:rsidRDefault="00B050D4" w:rsidP="00B05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You say:</w:t>
      </w:r>
    </w:p>
    <w:p w14:paraId="7DA1602B" w14:textId="77777777" w:rsidR="00B050D4" w:rsidRPr="00B050D4" w:rsidRDefault="00B050D4" w:rsidP="00B050D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“Let’s re-express the 50,000 shocks in terms of the top 30 PCA directions.”</w:t>
      </w:r>
    </w:p>
    <w:p w14:paraId="32F35978" w14:textId="77777777" w:rsidR="00B050D4" w:rsidRPr="00B050D4" w:rsidRDefault="00B050D4" w:rsidP="00B05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Mathematically:</w:t>
      </w:r>
    </w:p>
    <w:p w14:paraId="3CBC1035" w14:textId="77777777" w:rsidR="00B050D4" w:rsidRPr="00B050D4" w:rsidRDefault="00B050D4" w:rsidP="00B050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You replace </w:t>
      </w:r>
      <w:r w:rsidRPr="00B050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ΔX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B050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 × F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, where:</w:t>
      </w:r>
    </w:p>
    <w:p w14:paraId="15C6A343" w14:textId="77777777" w:rsidR="00B050D4" w:rsidRPr="00B050D4" w:rsidRDefault="00B050D4" w:rsidP="00B050D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 = loadings (how each risk driver relates to each PCA factor)</w:t>
      </w:r>
    </w:p>
    <w:p w14:paraId="00720B4C" w14:textId="77777777" w:rsidR="00B050D4" w:rsidRPr="00B050D4" w:rsidRDefault="00B050D4" w:rsidP="00B050D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 = return of each PCA factor</w:t>
      </w:r>
    </w:p>
    <w:p w14:paraId="322820CD" w14:textId="77777777" w:rsidR="00B050D4" w:rsidRPr="00B050D4" w:rsidRDefault="00B050D4" w:rsidP="00B05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Then:</w:t>
      </w:r>
    </w:p>
    <w:p w14:paraId="487F292C" w14:textId="77777777" w:rsidR="00B050D4" w:rsidRPr="00B050D4" w:rsidRDefault="00B050D4" w:rsidP="00B050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050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PnL</w:t>
      </w:r>
      <w:proofErr w:type="spellEnd"/>
      <w:r w:rsidRPr="00B050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delta × B × F + 0.5 × Fᵗ × Bᵗ × gamma × B × F</w:t>
      </w:r>
    </w:p>
    <w:p w14:paraId="515B5403" w14:textId="77777777" w:rsidR="00B050D4" w:rsidRPr="00B050D4" w:rsidRDefault="00B050D4" w:rsidP="00B05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Now you only need to track 30 factor returns instead of 50,000.</w:t>
      </w:r>
    </w:p>
    <w:p w14:paraId="37B2E323" w14:textId="77777777" w:rsidR="00B050D4" w:rsidRPr="00B050D4" w:rsidRDefault="00B050D4" w:rsidP="00B050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pict w14:anchorId="19E7B1A8">
          <v:rect id="_x0000_i1044" style="width:0;height:1.5pt" o:hralign="center" o:hrstd="t" o:hr="t" fillcolor="#a0a0a0" stroked="f"/>
        </w:pict>
      </w:r>
    </w:p>
    <w:p w14:paraId="64C08CB4" w14:textId="77777777" w:rsidR="00B050D4" w:rsidRPr="00B050D4" w:rsidRDefault="00B050D4" w:rsidP="00B050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Difference from Named Factor Model (like SOFR, SPX, DXY)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7"/>
        <w:gridCol w:w="2359"/>
        <w:gridCol w:w="1539"/>
        <w:gridCol w:w="1556"/>
        <w:gridCol w:w="1919"/>
      </w:tblGrid>
      <w:tr w:rsidR="00B050D4" w:rsidRPr="00B050D4" w14:paraId="6EF5E73E" w14:textId="77777777" w:rsidTr="00B050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E2D12C" w14:textId="77777777" w:rsidR="00B050D4" w:rsidRPr="00B050D4" w:rsidRDefault="00B050D4" w:rsidP="00B05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D7F6186" w14:textId="77777777" w:rsidR="00B050D4" w:rsidRPr="00B050D4" w:rsidRDefault="00B050D4" w:rsidP="00B05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Factors are...</w:t>
            </w:r>
          </w:p>
        </w:tc>
        <w:tc>
          <w:tcPr>
            <w:tcW w:w="0" w:type="auto"/>
            <w:vAlign w:val="center"/>
            <w:hideMark/>
          </w:tcPr>
          <w:p w14:paraId="3ACD11AB" w14:textId="77777777" w:rsidR="00B050D4" w:rsidRPr="00B050D4" w:rsidRDefault="00B050D4" w:rsidP="00B05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Interpretation</w:t>
            </w:r>
          </w:p>
        </w:tc>
        <w:tc>
          <w:tcPr>
            <w:tcW w:w="0" w:type="auto"/>
            <w:vAlign w:val="center"/>
            <w:hideMark/>
          </w:tcPr>
          <w:p w14:paraId="682BAB9B" w14:textId="77777777" w:rsidR="00B050D4" w:rsidRPr="00B050D4" w:rsidRDefault="00B050D4" w:rsidP="00B05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Tradability</w:t>
            </w:r>
          </w:p>
        </w:tc>
        <w:tc>
          <w:tcPr>
            <w:tcW w:w="0" w:type="auto"/>
            <w:vAlign w:val="center"/>
            <w:hideMark/>
          </w:tcPr>
          <w:p w14:paraId="6E633505" w14:textId="77777777" w:rsidR="00B050D4" w:rsidRPr="00B050D4" w:rsidRDefault="00B050D4" w:rsidP="00B05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 Case</w:t>
            </w:r>
          </w:p>
        </w:tc>
      </w:tr>
      <w:tr w:rsidR="00B050D4" w:rsidRPr="00B050D4" w14:paraId="516B16E0" w14:textId="77777777" w:rsidTr="00B05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51B0D" w14:textId="77777777" w:rsidR="00B050D4" w:rsidRPr="00B050D4" w:rsidRDefault="00B050D4" w:rsidP="00B05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PCA Model</w:t>
            </w:r>
          </w:p>
        </w:tc>
        <w:tc>
          <w:tcPr>
            <w:tcW w:w="0" w:type="auto"/>
            <w:vAlign w:val="center"/>
            <w:hideMark/>
          </w:tcPr>
          <w:p w14:paraId="40DBA05B" w14:textId="77777777" w:rsidR="00B050D4" w:rsidRPr="00B050D4" w:rsidRDefault="00B050D4" w:rsidP="00B05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Statistical</w:t>
            </w:r>
          </w:p>
        </w:tc>
        <w:tc>
          <w:tcPr>
            <w:tcW w:w="0" w:type="auto"/>
            <w:vAlign w:val="center"/>
            <w:hideMark/>
          </w:tcPr>
          <w:p w14:paraId="44A3ACB5" w14:textId="77777777" w:rsidR="00B050D4" w:rsidRPr="00B050D4" w:rsidRDefault="00B050D4" w:rsidP="00B05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Hard to label</w:t>
            </w:r>
          </w:p>
        </w:tc>
        <w:tc>
          <w:tcPr>
            <w:tcW w:w="0" w:type="auto"/>
            <w:vAlign w:val="center"/>
            <w:hideMark/>
          </w:tcPr>
          <w:p w14:paraId="562579F0" w14:textId="77777777" w:rsidR="00B050D4" w:rsidRPr="00B050D4" w:rsidRDefault="00B050D4" w:rsidP="00B05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direct hedge</w:t>
            </w:r>
          </w:p>
        </w:tc>
        <w:tc>
          <w:tcPr>
            <w:tcW w:w="0" w:type="auto"/>
            <w:vAlign w:val="center"/>
            <w:hideMark/>
          </w:tcPr>
          <w:p w14:paraId="76C3D263" w14:textId="77777777" w:rsidR="00B050D4" w:rsidRPr="00B050D4" w:rsidRDefault="00B050D4" w:rsidP="00B05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Explains variance</w:t>
            </w:r>
          </w:p>
        </w:tc>
      </w:tr>
      <w:tr w:rsidR="00B050D4" w:rsidRPr="00B050D4" w14:paraId="4E1C4C33" w14:textId="77777777" w:rsidTr="00B05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97368" w14:textId="77777777" w:rsidR="00B050D4" w:rsidRPr="00B050D4" w:rsidRDefault="00B050D4" w:rsidP="00B05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Named Factor Model</w:t>
            </w:r>
          </w:p>
        </w:tc>
        <w:tc>
          <w:tcPr>
            <w:tcW w:w="0" w:type="auto"/>
            <w:vAlign w:val="center"/>
            <w:hideMark/>
          </w:tcPr>
          <w:p w14:paraId="46AD2310" w14:textId="77777777" w:rsidR="00B050D4" w:rsidRPr="00B050D4" w:rsidRDefault="00B050D4" w:rsidP="00B05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Economic (SPX, SOFR)</w:t>
            </w:r>
          </w:p>
        </w:tc>
        <w:tc>
          <w:tcPr>
            <w:tcW w:w="0" w:type="auto"/>
            <w:vAlign w:val="center"/>
            <w:hideMark/>
          </w:tcPr>
          <w:p w14:paraId="7B27052F" w14:textId="77777777" w:rsidR="00B050D4" w:rsidRPr="00B050D4" w:rsidRDefault="00B050D4" w:rsidP="00B05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Easy to explain</w:t>
            </w:r>
          </w:p>
        </w:tc>
        <w:tc>
          <w:tcPr>
            <w:tcW w:w="0" w:type="auto"/>
            <w:vAlign w:val="center"/>
            <w:hideMark/>
          </w:tcPr>
          <w:p w14:paraId="22FEDD41" w14:textId="77777777" w:rsidR="00B050D4" w:rsidRPr="00B050D4" w:rsidRDefault="00B050D4" w:rsidP="00B05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Can hedge</w:t>
            </w:r>
          </w:p>
        </w:tc>
        <w:tc>
          <w:tcPr>
            <w:tcW w:w="0" w:type="auto"/>
            <w:vAlign w:val="center"/>
            <w:hideMark/>
          </w:tcPr>
          <w:p w14:paraId="267ABFC9" w14:textId="77777777" w:rsidR="00B050D4" w:rsidRPr="00B050D4" w:rsidRDefault="00B050D4" w:rsidP="00B05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Helps reduce capital</w:t>
            </w:r>
          </w:p>
        </w:tc>
      </w:tr>
    </w:tbl>
    <w:p w14:paraId="2EA413A0" w14:textId="77777777" w:rsidR="00B050D4" w:rsidRPr="00B050D4" w:rsidRDefault="00B050D4" w:rsidP="00B05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So, PCA factor model gives </w:t>
      </w: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mathematical clarity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, but </w:t>
      </w: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named factor models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 give </w:t>
      </w: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economic intuition + hedge-ability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791A575" w14:textId="77777777" w:rsidR="00B050D4" w:rsidRPr="00B050D4" w:rsidRDefault="00B050D4" w:rsidP="00B050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pict w14:anchorId="6897481B">
          <v:rect id="_x0000_i1045" style="width:0;height:1.5pt" o:hralign="center" o:hrstd="t" o:hr="t" fillcolor="#a0a0a0" stroked="f"/>
        </w:pict>
      </w:r>
    </w:p>
    <w:p w14:paraId="59856C85" w14:textId="77777777" w:rsidR="00B050D4" w:rsidRPr="00B050D4" w:rsidRDefault="00B050D4" w:rsidP="00B050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Final Thought</w:t>
      </w:r>
    </w:p>
    <w:p w14:paraId="6EA0FD2F" w14:textId="77777777" w:rsidR="00B050D4" w:rsidRPr="00B050D4" w:rsidRDefault="00B050D4" w:rsidP="00B050D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PCA = "Let the data tell us what matters."</w:t>
      </w:r>
    </w:p>
    <w:p w14:paraId="311DF03B" w14:textId="77777777" w:rsidR="00B050D4" w:rsidRPr="00B050D4" w:rsidRDefault="00B050D4" w:rsidP="00B050D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Factor model = "We choose what we think matters."</w:t>
      </w:r>
    </w:p>
    <w:p w14:paraId="6495E085" w14:textId="77777777" w:rsidR="00B050D4" w:rsidRPr="00B050D4" w:rsidRDefault="00B050D4" w:rsidP="00B05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You can use PCA as a </w:t>
      </w: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pre-step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 to discover useful directions, but for </w:t>
      </w: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capital optimization and SVAR reduction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, it’s better to align with </w:t>
      </w: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named </w:t>
      </w:r>
      <w:proofErr w:type="spellStart"/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hedgeable</w:t>
      </w:r>
      <w:proofErr w:type="spellEnd"/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factors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948AF4C" w14:textId="77777777" w:rsidR="00B050D4" w:rsidRDefault="00B050D4"/>
    <w:p w14:paraId="77A52FE6" w14:textId="77777777" w:rsidR="00B050D4" w:rsidRDefault="00B050D4"/>
    <w:p w14:paraId="7D2EFDF1" w14:textId="77777777" w:rsidR="00B050D4" w:rsidRDefault="00B050D4"/>
    <w:p w14:paraId="05AEF869" w14:textId="77777777" w:rsidR="00B050D4" w:rsidRDefault="00B050D4"/>
    <w:p w14:paraId="592C47C4" w14:textId="77777777" w:rsidR="00B050D4" w:rsidRDefault="00B050D4"/>
    <w:p w14:paraId="6F96174A" w14:textId="77777777" w:rsidR="00B050D4" w:rsidRDefault="00B050D4"/>
    <w:p w14:paraId="080DFD69" w14:textId="77777777" w:rsidR="00B050D4" w:rsidRPr="00B050D4" w:rsidRDefault="00B050D4" w:rsidP="00B05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Excellent question — the difference lies in </w:t>
      </w: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interpretability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 of PCA in the two cases. Let’s break it down clearly:</w:t>
      </w:r>
    </w:p>
    <w:p w14:paraId="1BBF5327" w14:textId="77777777" w:rsidR="00B050D4" w:rsidRPr="00B050D4" w:rsidRDefault="00B050D4" w:rsidP="00B050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pict w14:anchorId="5AA84B04">
          <v:rect id="_x0000_i1059" style="width:0;height:1.5pt" o:hralign="center" o:hrstd="t" o:hr="t" fillcolor="#a0a0a0" stroked="f"/>
        </w:pict>
      </w:r>
    </w:p>
    <w:p w14:paraId="15E5C6E1" w14:textId="77777777" w:rsidR="00B050D4" w:rsidRPr="00B050D4" w:rsidRDefault="00B050D4" w:rsidP="00B050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Use Case &amp; Objective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3858"/>
        <w:gridCol w:w="4093"/>
      </w:tblGrid>
      <w:tr w:rsidR="00B050D4" w:rsidRPr="00B050D4" w14:paraId="087EB030" w14:textId="77777777" w:rsidTr="00B050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0B52B2" w14:textId="77777777" w:rsidR="00B050D4" w:rsidRPr="00B050D4" w:rsidRDefault="00B050D4" w:rsidP="00B05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14:paraId="6C704FE7" w14:textId="77777777" w:rsidR="00B050D4" w:rsidRPr="00B050D4" w:rsidRDefault="00B050D4" w:rsidP="00B05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Your SVAR PCA Factor Model</w:t>
            </w:r>
          </w:p>
        </w:tc>
        <w:tc>
          <w:tcPr>
            <w:tcW w:w="0" w:type="auto"/>
            <w:vAlign w:val="center"/>
            <w:hideMark/>
          </w:tcPr>
          <w:p w14:paraId="2BB63792" w14:textId="77777777" w:rsidR="00B050D4" w:rsidRPr="00B050D4" w:rsidRDefault="00B050D4" w:rsidP="00B05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Illiquid Credit PCA Model</w:t>
            </w:r>
          </w:p>
        </w:tc>
      </w:tr>
      <w:tr w:rsidR="00B050D4" w:rsidRPr="00B050D4" w14:paraId="57D74237" w14:textId="77777777" w:rsidTr="00B05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9D43C" w14:textId="77777777" w:rsidR="00B050D4" w:rsidRPr="00B050D4" w:rsidRDefault="00B050D4" w:rsidP="00B05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689007D7" w14:textId="77777777" w:rsidR="00B050D4" w:rsidRPr="00B050D4" w:rsidRDefault="00B050D4" w:rsidP="00B05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Reduce </w:t>
            </w:r>
            <w:r w:rsidRPr="00B050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SVAR capital</w:t>
            </w:r>
            <w:r w:rsidRPr="00B050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via hedging; improve transparency of portfolio risk</w:t>
            </w:r>
          </w:p>
        </w:tc>
        <w:tc>
          <w:tcPr>
            <w:tcW w:w="0" w:type="auto"/>
            <w:vAlign w:val="center"/>
            <w:hideMark/>
          </w:tcPr>
          <w:p w14:paraId="7889C1A8" w14:textId="77777777" w:rsidR="00B050D4" w:rsidRPr="00B050D4" w:rsidRDefault="00B050D4" w:rsidP="00B05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Create </w:t>
            </w:r>
            <w:r w:rsidRPr="00B050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synthetic spreads</w:t>
            </w:r>
            <w:r w:rsidRPr="00B050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for </w:t>
            </w:r>
            <w:r w:rsidRPr="00B050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illiquid issuers</w:t>
            </w:r>
            <w:r w:rsidRPr="00B050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where data is missing</w:t>
            </w:r>
          </w:p>
        </w:tc>
      </w:tr>
      <w:tr w:rsidR="00B050D4" w:rsidRPr="00B050D4" w14:paraId="3641C8F1" w14:textId="77777777" w:rsidTr="00B05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41F4E" w14:textId="77777777" w:rsidR="00B050D4" w:rsidRPr="00B050D4" w:rsidRDefault="00B050D4" w:rsidP="00B05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3701DFAF" w14:textId="77777777" w:rsidR="00B050D4" w:rsidRPr="00B050D4" w:rsidRDefault="00B050D4" w:rsidP="00B05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Dimensionality reduction of </w:t>
            </w:r>
            <w:r w:rsidRPr="00B050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market risk drivers</w:t>
            </w:r>
            <w:r w:rsidRPr="00B050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across the whole portfolio</w:t>
            </w:r>
          </w:p>
        </w:tc>
        <w:tc>
          <w:tcPr>
            <w:tcW w:w="0" w:type="auto"/>
            <w:vAlign w:val="center"/>
            <w:hideMark/>
          </w:tcPr>
          <w:p w14:paraId="5DEF0939" w14:textId="77777777" w:rsidR="00B050D4" w:rsidRPr="00B050D4" w:rsidRDefault="00B050D4" w:rsidP="00B05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Modeling </w:t>
            </w:r>
            <w:r w:rsidRPr="00B050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credit spread curves</w:t>
            </w:r>
            <w:r w:rsidRPr="00B050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using region/industry PCA for </w:t>
            </w:r>
            <w:r w:rsidRPr="00B050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individual issuers</w:t>
            </w:r>
          </w:p>
        </w:tc>
      </w:tr>
      <w:tr w:rsidR="00B050D4" w:rsidRPr="00B050D4" w14:paraId="47E78D9B" w14:textId="77777777" w:rsidTr="00B05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69B59" w14:textId="77777777" w:rsidR="00B050D4" w:rsidRPr="00B050D4" w:rsidRDefault="00B050D4" w:rsidP="00B05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Actionability</w:t>
            </w:r>
          </w:p>
        </w:tc>
        <w:tc>
          <w:tcPr>
            <w:tcW w:w="0" w:type="auto"/>
            <w:vAlign w:val="center"/>
            <w:hideMark/>
          </w:tcPr>
          <w:p w14:paraId="224257FC" w14:textId="77777777" w:rsidR="00B050D4" w:rsidRPr="00B050D4" w:rsidRDefault="00B050D4" w:rsidP="00B05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Decompose SVAR and link to </w:t>
            </w:r>
            <w:r w:rsidRPr="00B050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tradable hedges</w:t>
            </w:r>
          </w:p>
        </w:tc>
        <w:tc>
          <w:tcPr>
            <w:tcW w:w="0" w:type="auto"/>
            <w:vAlign w:val="center"/>
            <w:hideMark/>
          </w:tcPr>
          <w:p w14:paraId="6636304B" w14:textId="77777777" w:rsidR="00B050D4" w:rsidRPr="00B050D4" w:rsidRDefault="00B050D4" w:rsidP="00B05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Generate spread time series for </w:t>
            </w:r>
            <w:r w:rsidRPr="00B050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pricing, risk, XVA, </w:t>
            </w:r>
            <w:proofErr w:type="spellStart"/>
            <w:r w:rsidRPr="00B050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VaR</w:t>
            </w:r>
            <w:proofErr w:type="spellEnd"/>
          </w:p>
        </w:tc>
      </w:tr>
    </w:tbl>
    <w:p w14:paraId="19303D6A" w14:textId="77777777" w:rsidR="00B050D4" w:rsidRPr="00B050D4" w:rsidRDefault="00B050D4" w:rsidP="00B050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pict w14:anchorId="0552CA59">
          <v:rect id="_x0000_i1060" style="width:0;height:1.5pt" o:hralign="center" o:hrstd="t" o:hr="t" fillcolor="#a0a0a0" stroked="f"/>
        </w:pict>
      </w:r>
    </w:p>
    <w:p w14:paraId="6AB0D7A2" w14:textId="77777777" w:rsidR="00B050D4" w:rsidRPr="00B050D4" w:rsidRDefault="00B050D4" w:rsidP="00B050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What PCA Is Doing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4262"/>
        <w:gridCol w:w="3817"/>
      </w:tblGrid>
      <w:tr w:rsidR="00B050D4" w:rsidRPr="00B050D4" w14:paraId="59AC66D5" w14:textId="77777777" w:rsidTr="00B050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4D50AC" w14:textId="77777777" w:rsidR="00B050D4" w:rsidRPr="00B050D4" w:rsidRDefault="00B050D4" w:rsidP="00B05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A1CA2C3" w14:textId="77777777" w:rsidR="00B050D4" w:rsidRPr="00B050D4" w:rsidRDefault="00B050D4" w:rsidP="00B05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SVAR Context</w:t>
            </w:r>
          </w:p>
        </w:tc>
        <w:tc>
          <w:tcPr>
            <w:tcW w:w="0" w:type="auto"/>
            <w:vAlign w:val="center"/>
            <w:hideMark/>
          </w:tcPr>
          <w:p w14:paraId="779CE93B" w14:textId="77777777" w:rsidR="00B050D4" w:rsidRPr="00B050D4" w:rsidRDefault="00B050D4" w:rsidP="00B05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Illiquid Bond Context</w:t>
            </w:r>
          </w:p>
        </w:tc>
      </w:tr>
      <w:tr w:rsidR="00B050D4" w:rsidRPr="00B050D4" w14:paraId="6156D465" w14:textId="77777777" w:rsidTr="00B05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1D085" w14:textId="77777777" w:rsidR="00B050D4" w:rsidRPr="00B050D4" w:rsidRDefault="00B050D4" w:rsidP="00B05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Input Matrix</w:t>
            </w:r>
          </w:p>
        </w:tc>
        <w:tc>
          <w:tcPr>
            <w:tcW w:w="0" w:type="auto"/>
            <w:vAlign w:val="center"/>
            <w:hideMark/>
          </w:tcPr>
          <w:p w14:paraId="68D961AB" w14:textId="77777777" w:rsidR="00B050D4" w:rsidRPr="00B050D4" w:rsidRDefault="00B050D4" w:rsidP="00B05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Matrix of historical daily returns for 50,000+ market risk drivers</w:t>
            </w:r>
          </w:p>
        </w:tc>
        <w:tc>
          <w:tcPr>
            <w:tcW w:w="0" w:type="auto"/>
            <w:vAlign w:val="center"/>
            <w:hideMark/>
          </w:tcPr>
          <w:p w14:paraId="7684D7C7" w14:textId="77777777" w:rsidR="00B050D4" w:rsidRPr="00B050D4" w:rsidRDefault="00B050D4" w:rsidP="00B05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Correlation matrix of credit spreads across liquid issuers</w:t>
            </w:r>
          </w:p>
        </w:tc>
      </w:tr>
      <w:tr w:rsidR="00B050D4" w:rsidRPr="00B050D4" w14:paraId="3CC077C5" w14:textId="77777777" w:rsidTr="00B05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EFE22" w14:textId="77777777" w:rsidR="00B050D4" w:rsidRPr="00B050D4" w:rsidRDefault="00B050D4" w:rsidP="00B05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What PCA Finds</w:t>
            </w:r>
          </w:p>
        </w:tc>
        <w:tc>
          <w:tcPr>
            <w:tcW w:w="0" w:type="auto"/>
            <w:vAlign w:val="center"/>
            <w:hideMark/>
          </w:tcPr>
          <w:p w14:paraId="4F083737" w14:textId="77777777" w:rsidR="00B050D4" w:rsidRPr="00B050D4" w:rsidRDefault="00B050D4" w:rsidP="00B05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Statistically dominant </w:t>
            </w:r>
            <w:r w:rsidRPr="00B050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market movement directions</w:t>
            </w:r>
            <w:r w:rsidRPr="00B050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(e.g., interest rate, equity, FX clusters)</w:t>
            </w:r>
          </w:p>
        </w:tc>
        <w:tc>
          <w:tcPr>
            <w:tcW w:w="0" w:type="auto"/>
            <w:vAlign w:val="center"/>
            <w:hideMark/>
          </w:tcPr>
          <w:p w14:paraId="093B2328" w14:textId="77777777" w:rsidR="00B050D4" w:rsidRPr="00B050D4" w:rsidRDefault="00B050D4" w:rsidP="00B05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Regional and industry patterns</w:t>
            </w:r>
            <w:r w:rsidRPr="00B050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 spread behavior</w:t>
            </w:r>
          </w:p>
        </w:tc>
      </w:tr>
      <w:tr w:rsidR="00B050D4" w:rsidRPr="00B050D4" w14:paraId="0EAF9307" w14:textId="77777777" w:rsidTr="00B05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F89EC" w14:textId="77777777" w:rsidR="00B050D4" w:rsidRPr="00B050D4" w:rsidRDefault="00B050D4" w:rsidP="00B05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 of PCA</w:t>
            </w:r>
          </w:p>
        </w:tc>
        <w:tc>
          <w:tcPr>
            <w:tcW w:w="0" w:type="auto"/>
            <w:vAlign w:val="center"/>
            <w:hideMark/>
          </w:tcPr>
          <w:p w14:paraId="551AF5E7" w14:textId="77777777" w:rsidR="00B050D4" w:rsidRPr="00B050D4" w:rsidRDefault="00B050D4" w:rsidP="00B05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Replace 50,000 shocks with 20–30 orthogonal </w:t>
            </w:r>
            <w:r w:rsidRPr="00B050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factors</w:t>
            </w:r>
          </w:p>
        </w:tc>
        <w:tc>
          <w:tcPr>
            <w:tcW w:w="0" w:type="auto"/>
            <w:vAlign w:val="center"/>
            <w:hideMark/>
          </w:tcPr>
          <w:p w14:paraId="06589097" w14:textId="77777777" w:rsidR="00B050D4" w:rsidRPr="00B050D4" w:rsidRDefault="00B050D4" w:rsidP="00B05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Identify 2–3 dominant spread dynamics per sector to </w:t>
            </w:r>
            <w:r w:rsidRPr="00B050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reconstruct missing data</w:t>
            </w:r>
          </w:p>
        </w:tc>
      </w:tr>
    </w:tbl>
    <w:p w14:paraId="00A8206E" w14:textId="77777777" w:rsidR="00B050D4" w:rsidRPr="00B050D4" w:rsidRDefault="00B050D4" w:rsidP="00B050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pict w14:anchorId="54296F67">
          <v:rect id="_x0000_i1061" style="width:0;height:1.5pt" o:hralign="center" o:hrstd="t" o:hr="t" fillcolor="#a0a0a0" stroked="f"/>
        </w:pict>
      </w:r>
    </w:p>
    <w:p w14:paraId="4CF0C7DE" w14:textId="77777777" w:rsidR="00B050D4" w:rsidRPr="00B050D4" w:rsidRDefault="00B050D4" w:rsidP="00B050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Output and 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4489"/>
        <w:gridCol w:w="3502"/>
      </w:tblGrid>
      <w:tr w:rsidR="00B050D4" w:rsidRPr="00B050D4" w14:paraId="45040A23" w14:textId="77777777" w:rsidTr="00B050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307A6C" w14:textId="77777777" w:rsidR="00B050D4" w:rsidRPr="00B050D4" w:rsidRDefault="00B050D4" w:rsidP="00B05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AD56051" w14:textId="77777777" w:rsidR="00B050D4" w:rsidRPr="00B050D4" w:rsidRDefault="00B050D4" w:rsidP="00B05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SVAR Factor Model</w:t>
            </w:r>
          </w:p>
        </w:tc>
        <w:tc>
          <w:tcPr>
            <w:tcW w:w="0" w:type="auto"/>
            <w:vAlign w:val="center"/>
            <w:hideMark/>
          </w:tcPr>
          <w:p w14:paraId="66DCF085" w14:textId="77777777" w:rsidR="00B050D4" w:rsidRPr="00B050D4" w:rsidRDefault="00B050D4" w:rsidP="00B05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Illiquid Spread Model</w:t>
            </w:r>
          </w:p>
        </w:tc>
      </w:tr>
      <w:tr w:rsidR="00B050D4" w:rsidRPr="00B050D4" w14:paraId="2133E7EA" w14:textId="77777777" w:rsidTr="00B05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5C92A" w14:textId="77777777" w:rsidR="00B050D4" w:rsidRPr="00B050D4" w:rsidRDefault="00B050D4" w:rsidP="00B05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PCA Output</w:t>
            </w:r>
          </w:p>
        </w:tc>
        <w:tc>
          <w:tcPr>
            <w:tcW w:w="0" w:type="auto"/>
            <w:vAlign w:val="center"/>
            <w:hideMark/>
          </w:tcPr>
          <w:p w14:paraId="4403320A" w14:textId="77777777" w:rsidR="00B050D4" w:rsidRPr="00B050D4" w:rsidRDefault="00B050D4" w:rsidP="00B05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Used to compute </w:t>
            </w:r>
            <w:proofErr w:type="spellStart"/>
            <w:r w:rsidRPr="00B050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PnL</w:t>
            </w:r>
            <w:proofErr w:type="spellEnd"/>
            <w:r w:rsidRPr="00B050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under stress</w:t>
            </w:r>
            <w:r w:rsidRPr="00B050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along factor directions and find </w:t>
            </w:r>
            <w:r w:rsidRPr="00B050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hedge instruments</w:t>
            </w:r>
          </w:p>
        </w:tc>
        <w:tc>
          <w:tcPr>
            <w:tcW w:w="0" w:type="auto"/>
            <w:vAlign w:val="center"/>
            <w:hideMark/>
          </w:tcPr>
          <w:p w14:paraId="49A3850C" w14:textId="77777777" w:rsidR="00B050D4" w:rsidRPr="00B050D4" w:rsidRDefault="00B050D4" w:rsidP="00B05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Used to simulate </w:t>
            </w:r>
            <w:r w:rsidRPr="00B050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synthetic credit spreads</w:t>
            </w:r>
            <w:r w:rsidRPr="00B050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for illiquid names</w:t>
            </w:r>
          </w:p>
        </w:tc>
      </w:tr>
      <w:tr w:rsidR="00B050D4" w:rsidRPr="00B050D4" w14:paraId="23EB0510" w14:textId="77777777" w:rsidTr="00B05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4CB94" w14:textId="77777777" w:rsidR="00B050D4" w:rsidRPr="00B050D4" w:rsidRDefault="00B050D4" w:rsidP="00B05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 of Residuals</w:t>
            </w:r>
          </w:p>
        </w:tc>
        <w:tc>
          <w:tcPr>
            <w:tcW w:w="0" w:type="auto"/>
            <w:vAlign w:val="center"/>
            <w:hideMark/>
          </w:tcPr>
          <w:p w14:paraId="5312E938" w14:textId="77777777" w:rsidR="00B050D4" w:rsidRPr="00B050D4" w:rsidRDefault="00B050D4" w:rsidP="00B05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Often ignored or interpreted as idiosyncratic risk</w:t>
            </w:r>
          </w:p>
        </w:tc>
        <w:tc>
          <w:tcPr>
            <w:tcW w:w="0" w:type="auto"/>
            <w:vAlign w:val="center"/>
            <w:hideMark/>
          </w:tcPr>
          <w:p w14:paraId="1789FE3C" w14:textId="77777777" w:rsidR="00B050D4" w:rsidRPr="00B050D4" w:rsidRDefault="00B050D4" w:rsidP="00B05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Modeled as noise with volatility estimated by region/industry</w:t>
            </w:r>
          </w:p>
        </w:tc>
      </w:tr>
      <w:tr w:rsidR="00B050D4" w:rsidRPr="00B050D4" w14:paraId="5C0024BD" w14:textId="77777777" w:rsidTr="00B05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DF24F" w14:textId="77777777" w:rsidR="00B050D4" w:rsidRPr="00B050D4" w:rsidRDefault="00B050D4" w:rsidP="00B05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End Product</w:t>
            </w:r>
          </w:p>
        </w:tc>
        <w:tc>
          <w:tcPr>
            <w:tcW w:w="0" w:type="auto"/>
            <w:vAlign w:val="center"/>
            <w:hideMark/>
          </w:tcPr>
          <w:p w14:paraId="1FB57CB8" w14:textId="77777777" w:rsidR="00B050D4" w:rsidRPr="00B050D4" w:rsidRDefault="00B050D4" w:rsidP="00B05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SVAR attribution &amp; capital-saving hedges</w:t>
            </w:r>
          </w:p>
        </w:tc>
        <w:tc>
          <w:tcPr>
            <w:tcW w:w="0" w:type="auto"/>
            <w:vAlign w:val="center"/>
            <w:hideMark/>
          </w:tcPr>
          <w:p w14:paraId="107E6548" w14:textId="77777777" w:rsidR="00B050D4" w:rsidRPr="00B050D4" w:rsidRDefault="00B050D4" w:rsidP="00B05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 time series of spreads for pricing and risk models</w:t>
            </w:r>
          </w:p>
        </w:tc>
      </w:tr>
    </w:tbl>
    <w:p w14:paraId="0C8E5F99" w14:textId="77777777" w:rsidR="00B050D4" w:rsidRPr="00B050D4" w:rsidRDefault="00B050D4" w:rsidP="00B050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pict w14:anchorId="54A3AFAA">
          <v:rect id="_x0000_i1062" style="width:0;height:1.5pt" o:hralign="center" o:hrstd="t" o:hr="t" fillcolor="#a0a0a0" stroked="f"/>
        </w:pict>
      </w:r>
    </w:p>
    <w:p w14:paraId="4CF62A80" w14:textId="77777777" w:rsidR="00B050D4" w:rsidRPr="00B050D4" w:rsidRDefault="00B050D4" w:rsidP="00B050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Interpretability and Actionability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4075"/>
        <w:gridCol w:w="3610"/>
      </w:tblGrid>
      <w:tr w:rsidR="00B050D4" w:rsidRPr="00B050D4" w14:paraId="293221AE" w14:textId="77777777" w:rsidTr="00B050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C95A00" w14:textId="77777777" w:rsidR="00B050D4" w:rsidRPr="00B050D4" w:rsidRDefault="00B050D4" w:rsidP="00B05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98E8240" w14:textId="77777777" w:rsidR="00B050D4" w:rsidRPr="00B050D4" w:rsidRDefault="00B050D4" w:rsidP="00B05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SVAR Factor Model</w:t>
            </w:r>
          </w:p>
        </w:tc>
        <w:tc>
          <w:tcPr>
            <w:tcW w:w="0" w:type="auto"/>
            <w:vAlign w:val="center"/>
            <w:hideMark/>
          </w:tcPr>
          <w:p w14:paraId="2B279955" w14:textId="77777777" w:rsidR="00B050D4" w:rsidRPr="00B050D4" w:rsidRDefault="00B050D4" w:rsidP="00B05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Illiquid Credit PCA</w:t>
            </w:r>
          </w:p>
        </w:tc>
      </w:tr>
      <w:tr w:rsidR="00B050D4" w:rsidRPr="00B050D4" w14:paraId="0CB0637A" w14:textId="77777777" w:rsidTr="00B05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2D4D9" w14:textId="77777777" w:rsidR="00B050D4" w:rsidRPr="00B050D4" w:rsidRDefault="00B050D4" w:rsidP="00B05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Interpretability</w:t>
            </w:r>
          </w:p>
        </w:tc>
        <w:tc>
          <w:tcPr>
            <w:tcW w:w="0" w:type="auto"/>
            <w:vAlign w:val="center"/>
            <w:hideMark/>
          </w:tcPr>
          <w:p w14:paraId="35EC4AFF" w14:textId="77777777" w:rsidR="00B050D4" w:rsidRPr="00B050D4" w:rsidRDefault="00B050D4" w:rsidP="00B05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Less interpretability unless you link factors to </w:t>
            </w:r>
            <w:r w:rsidRPr="00B050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real instruments</w:t>
            </w:r>
            <w:r w:rsidRPr="00B050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(e.g., SPX, SOFR)</w:t>
            </w:r>
          </w:p>
        </w:tc>
        <w:tc>
          <w:tcPr>
            <w:tcW w:w="0" w:type="auto"/>
            <w:vAlign w:val="center"/>
            <w:hideMark/>
          </w:tcPr>
          <w:p w14:paraId="4505DB07" w14:textId="77777777" w:rsidR="00B050D4" w:rsidRPr="00B050D4" w:rsidRDefault="00B050D4" w:rsidP="00B05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interpretability — each factor = region or industry spread pattern</w:t>
            </w:r>
          </w:p>
        </w:tc>
      </w:tr>
      <w:tr w:rsidR="00B050D4" w:rsidRPr="00B050D4" w14:paraId="58B58084" w14:textId="77777777" w:rsidTr="00B05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5012E" w14:textId="77777777" w:rsidR="00B050D4" w:rsidRPr="00B050D4" w:rsidRDefault="00B050D4" w:rsidP="00B05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Actionability</w:t>
            </w:r>
          </w:p>
        </w:tc>
        <w:tc>
          <w:tcPr>
            <w:tcW w:w="0" w:type="auto"/>
            <w:vAlign w:val="center"/>
            <w:hideMark/>
          </w:tcPr>
          <w:p w14:paraId="1D6B34F4" w14:textId="77777777" w:rsidR="00B050D4" w:rsidRPr="00B050D4" w:rsidRDefault="00B050D4" w:rsidP="00B05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Factors must be linked to </w:t>
            </w:r>
            <w:r w:rsidRPr="00B050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hedge instruments</w:t>
            </w:r>
            <w:r w:rsidRPr="00B050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 reduce capital</w:t>
            </w:r>
          </w:p>
        </w:tc>
        <w:tc>
          <w:tcPr>
            <w:tcW w:w="0" w:type="auto"/>
            <w:vAlign w:val="center"/>
            <w:hideMark/>
          </w:tcPr>
          <w:p w14:paraId="34DB360E" w14:textId="77777777" w:rsidR="00B050D4" w:rsidRPr="00B050D4" w:rsidRDefault="00B050D4" w:rsidP="00B05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No hedging; the model is for </w:t>
            </w:r>
            <w:r w:rsidRPr="00B050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imputation</w:t>
            </w:r>
            <w:r w:rsidRPr="00B050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</w:t>
            </w:r>
            <w:r w:rsidRPr="00B050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pricing</w:t>
            </w:r>
            <w:r w:rsidRPr="00B050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support</w:t>
            </w:r>
          </w:p>
        </w:tc>
      </w:tr>
    </w:tbl>
    <w:p w14:paraId="46102218" w14:textId="77777777" w:rsidR="00B050D4" w:rsidRPr="00B050D4" w:rsidRDefault="00B050D4" w:rsidP="00B050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2696E028">
          <v:rect id="_x0000_i1063" style="width:0;height:1.5pt" o:hralign="center" o:hrstd="t" o:hr="t" fillcolor="#a0a0a0" stroked="f"/>
        </w:pict>
      </w:r>
    </w:p>
    <w:p w14:paraId="73F8B9E6" w14:textId="77777777" w:rsidR="00B050D4" w:rsidRPr="00B050D4" w:rsidRDefault="00B050D4" w:rsidP="00B050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Summary of Core Difference</w:t>
      </w:r>
    </w:p>
    <w:p w14:paraId="28009BD3" w14:textId="77777777" w:rsidR="00B050D4" w:rsidRPr="00B050D4" w:rsidRDefault="00B050D4" w:rsidP="00B050D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SVAR PCA model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 is about </w:t>
      </w: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dimensionality reduction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 for a </w:t>
      </w:r>
      <w:r w:rsidRPr="00B050D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portfolio-wide risk problem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, with the goal of </w:t>
      </w: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capital optimization and hedge design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A66BD74" w14:textId="77777777" w:rsidR="00B050D4" w:rsidRPr="00B050D4" w:rsidRDefault="00B050D4" w:rsidP="00B050D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Illiquid bond PCA model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 is about </w:t>
      </w: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cross-sectional pattern discovery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 xml:space="preserve"> in spread curves, with the goal of </w:t>
      </w:r>
      <w:r w:rsidRPr="00B050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reconstructing or simulating missing spread data</w:t>
      </w:r>
      <w:r w:rsidRPr="00B050D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27ECFC7" w14:textId="77777777" w:rsidR="00B050D4" w:rsidRPr="00B050D4" w:rsidRDefault="00B050D4" w:rsidP="00B050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50D4">
        <w:rPr>
          <w:rFonts w:ascii="Times New Roman" w:eastAsia="Times New Roman" w:hAnsi="Times New Roman" w:cs="Times New Roman"/>
          <w:kern w:val="0"/>
          <w14:ligatures w14:val="none"/>
        </w:rPr>
        <w:pict w14:anchorId="05221861">
          <v:rect id="_x0000_i1064" style="width:0;height:1.5pt" o:hralign="center" o:hrstd="t" o:hr="t" fillcolor="#a0a0a0" stroked="f"/>
        </w:pict>
      </w:r>
    </w:p>
    <w:p w14:paraId="25F5C775" w14:textId="77777777" w:rsidR="00B050D4" w:rsidRPr="00B050D4" w:rsidRDefault="00B050D4" w:rsidP="00B050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50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If You Want a Rule of Thumb: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5"/>
        <w:gridCol w:w="2615"/>
      </w:tblGrid>
      <w:tr w:rsidR="00B050D4" w:rsidRPr="00B050D4" w14:paraId="19202731" w14:textId="77777777" w:rsidTr="00B050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F195E4" w14:textId="77777777" w:rsidR="00B050D4" w:rsidRPr="00B050D4" w:rsidRDefault="00B050D4" w:rsidP="00B05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2F10231F" w14:textId="77777777" w:rsidR="00B050D4" w:rsidRPr="00B050D4" w:rsidRDefault="00B050D4" w:rsidP="00B05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Answer</w:t>
            </w:r>
          </w:p>
        </w:tc>
      </w:tr>
      <w:tr w:rsidR="00B050D4" w:rsidRPr="00B050D4" w14:paraId="3D2E41C2" w14:textId="77777777" w:rsidTr="00B05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C4EDB" w14:textId="77777777" w:rsidR="00B050D4" w:rsidRPr="00B050D4" w:rsidRDefault="00B050D4" w:rsidP="00B05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“Are you trying to reduce capital and hedge exposure?”</w:t>
            </w:r>
          </w:p>
        </w:tc>
        <w:tc>
          <w:tcPr>
            <w:tcW w:w="0" w:type="auto"/>
            <w:vAlign w:val="center"/>
            <w:hideMark/>
          </w:tcPr>
          <w:p w14:paraId="7EB9E90B" w14:textId="77777777" w:rsidR="00B050D4" w:rsidRPr="00B050D4" w:rsidRDefault="00B050D4" w:rsidP="00B05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SVAR Factor Model</w:t>
            </w:r>
          </w:p>
        </w:tc>
      </w:tr>
      <w:tr w:rsidR="00B050D4" w:rsidRPr="00B050D4" w14:paraId="36F02F1A" w14:textId="77777777" w:rsidTr="00B05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D911C" w14:textId="77777777" w:rsidR="00B050D4" w:rsidRPr="00B050D4" w:rsidRDefault="00B050D4" w:rsidP="00B05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“Are you trying to create missing time series for hard-to-trade bonds?”</w:t>
            </w:r>
          </w:p>
        </w:tc>
        <w:tc>
          <w:tcPr>
            <w:tcW w:w="0" w:type="auto"/>
            <w:vAlign w:val="center"/>
            <w:hideMark/>
          </w:tcPr>
          <w:p w14:paraId="61D4ACA5" w14:textId="77777777" w:rsidR="00B050D4" w:rsidRPr="00B050D4" w:rsidRDefault="00B050D4" w:rsidP="00B050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50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Illiquid Credit PCA Model</w:t>
            </w:r>
          </w:p>
        </w:tc>
      </w:tr>
    </w:tbl>
    <w:p w14:paraId="1813CA17" w14:textId="77777777" w:rsidR="00B050D4" w:rsidRDefault="00B050D4"/>
    <w:sectPr w:rsidR="00B0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E6478"/>
    <w:multiLevelType w:val="multilevel"/>
    <w:tmpl w:val="4DDE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A565B"/>
    <w:multiLevelType w:val="multilevel"/>
    <w:tmpl w:val="34DC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A0020"/>
    <w:multiLevelType w:val="multilevel"/>
    <w:tmpl w:val="DF8E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90A98"/>
    <w:multiLevelType w:val="multilevel"/>
    <w:tmpl w:val="361A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17C98"/>
    <w:multiLevelType w:val="multilevel"/>
    <w:tmpl w:val="57CA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BC34CB"/>
    <w:multiLevelType w:val="multilevel"/>
    <w:tmpl w:val="1F76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D54B5C"/>
    <w:multiLevelType w:val="multilevel"/>
    <w:tmpl w:val="AF7A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072F7"/>
    <w:multiLevelType w:val="multilevel"/>
    <w:tmpl w:val="902C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2D38AC"/>
    <w:multiLevelType w:val="multilevel"/>
    <w:tmpl w:val="D198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8209AA"/>
    <w:multiLevelType w:val="multilevel"/>
    <w:tmpl w:val="D01E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9A2312"/>
    <w:multiLevelType w:val="multilevel"/>
    <w:tmpl w:val="5D2A8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D6701F"/>
    <w:multiLevelType w:val="multilevel"/>
    <w:tmpl w:val="4894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021D92"/>
    <w:multiLevelType w:val="multilevel"/>
    <w:tmpl w:val="54721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1034FE"/>
    <w:multiLevelType w:val="multilevel"/>
    <w:tmpl w:val="421A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AB7E42"/>
    <w:multiLevelType w:val="multilevel"/>
    <w:tmpl w:val="DA62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CF68C7"/>
    <w:multiLevelType w:val="multilevel"/>
    <w:tmpl w:val="EE90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510CB4"/>
    <w:multiLevelType w:val="multilevel"/>
    <w:tmpl w:val="078C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563B06"/>
    <w:multiLevelType w:val="multilevel"/>
    <w:tmpl w:val="06AC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CB176A"/>
    <w:multiLevelType w:val="multilevel"/>
    <w:tmpl w:val="0B92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CD2887"/>
    <w:multiLevelType w:val="multilevel"/>
    <w:tmpl w:val="1598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FB2978"/>
    <w:multiLevelType w:val="multilevel"/>
    <w:tmpl w:val="322A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4D15DE"/>
    <w:multiLevelType w:val="multilevel"/>
    <w:tmpl w:val="1FA2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6D5A3F"/>
    <w:multiLevelType w:val="multilevel"/>
    <w:tmpl w:val="C850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800696"/>
    <w:multiLevelType w:val="multilevel"/>
    <w:tmpl w:val="A9FE0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2F446C"/>
    <w:multiLevelType w:val="multilevel"/>
    <w:tmpl w:val="46D4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455775">
    <w:abstractNumId w:val="12"/>
  </w:num>
  <w:num w:numId="2" w16cid:durableId="977538903">
    <w:abstractNumId w:val="1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" w16cid:durableId="620917342">
    <w:abstractNumId w:val="23"/>
  </w:num>
  <w:num w:numId="4" w16cid:durableId="747918540">
    <w:abstractNumId w:val="10"/>
  </w:num>
  <w:num w:numId="5" w16cid:durableId="594285203">
    <w:abstractNumId w:val="16"/>
  </w:num>
  <w:num w:numId="6" w16cid:durableId="1236277412">
    <w:abstractNumId w:val="0"/>
  </w:num>
  <w:num w:numId="7" w16cid:durableId="2047876180">
    <w:abstractNumId w:val="1"/>
  </w:num>
  <w:num w:numId="8" w16cid:durableId="1626815083">
    <w:abstractNumId w:val="24"/>
  </w:num>
  <w:num w:numId="9" w16cid:durableId="691540628">
    <w:abstractNumId w:val="18"/>
  </w:num>
  <w:num w:numId="10" w16cid:durableId="1831361964">
    <w:abstractNumId w:val="21"/>
  </w:num>
  <w:num w:numId="11" w16cid:durableId="1839734112">
    <w:abstractNumId w:val="17"/>
  </w:num>
  <w:num w:numId="12" w16cid:durableId="1768890310">
    <w:abstractNumId w:val="3"/>
  </w:num>
  <w:num w:numId="13" w16cid:durableId="1046299486">
    <w:abstractNumId w:val="7"/>
  </w:num>
  <w:num w:numId="14" w16cid:durableId="1086539813">
    <w:abstractNumId w:val="9"/>
  </w:num>
  <w:num w:numId="15" w16cid:durableId="15885426">
    <w:abstractNumId w:val="8"/>
  </w:num>
  <w:num w:numId="16" w16cid:durableId="802890306">
    <w:abstractNumId w:val="5"/>
  </w:num>
  <w:num w:numId="17" w16cid:durableId="2020278671">
    <w:abstractNumId w:val="19"/>
  </w:num>
  <w:num w:numId="18" w16cid:durableId="107630292">
    <w:abstractNumId w:val="13"/>
  </w:num>
  <w:num w:numId="19" w16cid:durableId="430977734">
    <w:abstractNumId w:val="15"/>
  </w:num>
  <w:num w:numId="20" w16cid:durableId="424961250">
    <w:abstractNumId w:val="6"/>
  </w:num>
  <w:num w:numId="21" w16cid:durableId="1792703050">
    <w:abstractNumId w:val="4"/>
  </w:num>
  <w:num w:numId="22" w16cid:durableId="270748879">
    <w:abstractNumId w:val="11"/>
  </w:num>
  <w:num w:numId="23" w16cid:durableId="966937497">
    <w:abstractNumId w:val="14"/>
  </w:num>
  <w:num w:numId="24" w16cid:durableId="679819540">
    <w:abstractNumId w:val="20"/>
  </w:num>
  <w:num w:numId="25" w16cid:durableId="1543519068">
    <w:abstractNumId w:val="22"/>
  </w:num>
  <w:num w:numId="26" w16cid:durableId="358314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D4"/>
    <w:rsid w:val="00026AD2"/>
    <w:rsid w:val="00B050D4"/>
    <w:rsid w:val="00E5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B3366"/>
  <w15:chartTrackingRefBased/>
  <w15:docId w15:val="{D3B4E3E5-7E90-4ABE-A615-06CA3713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50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05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0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5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50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050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050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05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0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0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0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0D4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050D4"/>
    <w:rPr>
      <w:b/>
      <w:bCs/>
    </w:rPr>
  </w:style>
  <w:style w:type="character" w:styleId="Emphasis">
    <w:name w:val="Emphasis"/>
    <w:basedOn w:val="DefaultParagraphFont"/>
    <w:uiPriority w:val="20"/>
    <w:qFormat/>
    <w:rsid w:val="00B050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050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7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3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0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7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79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7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17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97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76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5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3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1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8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21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63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2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9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60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90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7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0815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72913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156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773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9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2359</Words>
  <Characters>13449</Characters>
  <Application>Microsoft Office Word</Application>
  <DocSecurity>0</DocSecurity>
  <Lines>112</Lines>
  <Paragraphs>31</Paragraphs>
  <ScaleCrop>false</ScaleCrop>
  <Company/>
  <LinksUpToDate>false</LinksUpToDate>
  <CharactersWithSpaces>15777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CHOUKRI ABDELILAH</dc:creator>
  <cp:keywords/>
  <dc:description/>
  <cp:lastModifiedBy>CHOUKRI ABDELILAH</cp:lastModifiedBy>
  <cp:revision>3</cp:revision>
  <dcterms:created xsi:type="dcterms:W3CDTF">2025-05-15T12:41:00Z</dcterms:created>
  <dcterms:modified xsi:type="dcterms:W3CDTF">2025-05-15T12:48:00Z</dcterms:modified>
</cp:coreProperties>
</file>