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8DC1" w14:textId="77777777" w:rsidR="00582A54" w:rsidRDefault="00582A54" w:rsidP="00582A54">
      <w:pPr>
        <w:pStyle w:val="NormalWeb"/>
      </w:pPr>
      <w:r>
        <w:t xml:space="preserve">Let me give a quick update on </w:t>
      </w:r>
      <w:r>
        <w:rPr>
          <w:rStyle w:val="Strong"/>
          <w:rFonts w:eastAsiaTheme="majorEastAsia"/>
        </w:rPr>
        <w:t>RFDM to MDSOR Phase 2 integration</w:t>
      </w:r>
      <w:r>
        <w:t>.</w:t>
      </w:r>
    </w:p>
    <w:p w14:paraId="53DCEC12" w14:textId="77777777" w:rsidR="00582A54" w:rsidRDefault="00582A54" w:rsidP="00582A54">
      <w:pPr>
        <w:pStyle w:val="NormalWeb"/>
      </w:pPr>
      <w:r>
        <w:rPr>
          <w:rStyle w:val="Strong"/>
          <w:rFonts w:eastAsiaTheme="majorEastAsia"/>
        </w:rPr>
        <w:t>Process-wise</w:t>
      </w:r>
      <w:r>
        <w:t xml:space="preserve">, all the technical components needed to flow MDSOR data to RFDM and into Mars are fully completed. The </w:t>
      </w:r>
      <w:r>
        <w:rPr>
          <w:rStyle w:val="Strong"/>
          <w:rFonts w:eastAsiaTheme="majorEastAsia"/>
        </w:rPr>
        <w:t>main effort right now</w:t>
      </w:r>
      <w:r>
        <w:t xml:space="preserve"> is focused on reconciling the time series — and we’re making strong progress.</w:t>
      </w:r>
    </w:p>
    <w:p w14:paraId="5D5948E7" w14:textId="77777777" w:rsidR="00582A54" w:rsidRDefault="00582A54" w:rsidP="00582A54">
      <w:pPr>
        <w:pStyle w:val="NormalWeb"/>
      </w:pPr>
      <w:r>
        <w:t xml:space="preserve">We’ve addressed </w:t>
      </w:r>
      <w:r>
        <w:rPr>
          <w:rStyle w:val="Strong"/>
          <w:rFonts w:eastAsiaTheme="majorEastAsia"/>
        </w:rPr>
        <w:t>about 90% of the reconciliation</w:t>
      </w:r>
      <w:r>
        <w:t>, both in terms of identifying root causes and mapping out clear remediation steps. The remaining 10% is known and being actively worked on, with action items outlined and tracked.</w:t>
      </w:r>
    </w:p>
    <w:p w14:paraId="454EA201" w14:textId="77777777" w:rsidR="00582A54" w:rsidRDefault="00582A54" w:rsidP="00582A54">
      <w:pPr>
        <w:pStyle w:val="NormalWeb"/>
      </w:pPr>
      <w:r>
        <w:t xml:space="preserve">That said, we’re currently </w:t>
      </w:r>
      <w:r>
        <w:rPr>
          <w:rStyle w:val="Strong"/>
          <w:rFonts w:eastAsiaTheme="majorEastAsia"/>
        </w:rPr>
        <w:t>tracking green</w:t>
      </w:r>
      <w:r>
        <w:t xml:space="preserve">, and the reason is that this phase is scoped for the </w:t>
      </w:r>
      <w:r>
        <w:rPr>
          <w:rStyle w:val="Strong"/>
          <w:rFonts w:eastAsiaTheme="majorEastAsia"/>
        </w:rPr>
        <w:t>NTE delivery</w:t>
      </w:r>
      <w:r>
        <w:t xml:space="preserve">, not full go-live. Our go-live is still targeted for </w:t>
      </w:r>
      <w:r>
        <w:rPr>
          <w:rStyle w:val="Strong"/>
          <w:rFonts w:eastAsiaTheme="majorEastAsia"/>
        </w:rPr>
        <w:t>Q3</w:t>
      </w:r>
      <w:r>
        <w:t xml:space="preserve">, but the immediate focus is on </w:t>
      </w:r>
      <w:r>
        <w:rPr>
          <w:rStyle w:val="Strong"/>
          <w:rFonts w:eastAsiaTheme="majorEastAsia"/>
        </w:rPr>
        <w:t>getting MRF removed before the regulatory exam</w:t>
      </w:r>
      <w:r>
        <w:t>.</w:t>
      </w:r>
    </w:p>
    <w:p w14:paraId="74A9E344" w14:textId="77777777" w:rsidR="00582A54" w:rsidRDefault="00582A54" w:rsidP="00582A54">
      <w:pPr>
        <w:pStyle w:val="NormalWeb"/>
      </w:pPr>
      <w:r>
        <w:t xml:space="preserve">We’re confident in this because even if that last 10% isn’t fully remediated in time, the </w:t>
      </w:r>
      <w:r>
        <w:rPr>
          <w:rStyle w:val="Strong"/>
          <w:rFonts w:eastAsiaTheme="majorEastAsia"/>
        </w:rPr>
        <w:t>impact on NTE will be minimal</w:t>
      </w:r>
      <w:r>
        <w:t>. That’s due to two key reasons:</w:t>
      </w:r>
    </w:p>
    <w:p w14:paraId="34809EEA" w14:textId="77777777" w:rsidR="00582A54" w:rsidRDefault="00582A54" w:rsidP="00582A54">
      <w:pPr>
        <w:pStyle w:val="NormalWeb"/>
        <w:numPr>
          <w:ilvl w:val="0"/>
          <w:numId w:val="1"/>
        </w:numPr>
      </w:pPr>
      <w:r>
        <w:t xml:space="preserve">The mismatches fall in periods </w:t>
      </w:r>
      <w:r>
        <w:rPr>
          <w:rStyle w:val="Strong"/>
          <w:rFonts w:eastAsiaTheme="majorEastAsia"/>
        </w:rPr>
        <w:t xml:space="preserve">outside the </w:t>
      </w:r>
      <w:proofErr w:type="spellStart"/>
      <w:r>
        <w:rPr>
          <w:rStyle w:val="Strong"/>
          <w:rFonts w:eastAsiaTheme="majorEastAsia"/>
        </w:rPr>
        <w:t>VaR</w:t>
      </w:r>
      <w:proofErr w:type="spellEnd"/>
      <w:r>
        <w:rPr>
          <w:rStyle w:val="Strong"/>
          <w:rFonts w:eastAsiaTheme="majorEastAsia"/>
        </w:rPr>
        <w:t xml:space="preserve"> window</w:t>
      </w:r>
      <w:r>
        <w:t xml:space="preserve"> — mainly 2008, COVID, and last year — so they don’t affect the TWC.</w:t>
      </w:r>
    </w:p>
    <w:p w14:paraId="236619DE" w14:textId="77777777" w:rsidR="00980B20" w:rsidRDefault="00582A54" w:rsidP="00582A54">
      <w:pPr>
        <w:pStyle w:val="NormalWeb"/>
        <w:numPr>
          <w:ilvl w:val="0"/>
          <w:numId w:val="1"/>
        </w:numPr>
      </w:pPr>
      <w:r>
        <w:t xml:space="preserve">We’re </w:t>
      </w:r>
      <w:r>
        <w:rPr>
          <w:rStyle w:val="Strong"/>
          <w:rFonts w:eastAsiaTheme="majorEastAsia"/>
        </w:rPr>
        <w:t>retaining RFDM proxies in the NTE</w:t>
      </w:r>
      <w:r>
        <w:t xml:space="preserve"> scope,</w:t>
      </w:r>
    </w:p>
    <w:p w14:paraId="455D508C" w14:textId="4C1381C4" w:rsidR="00582A54" w:rsidRDefault="00582A54" w:rsidP="00582A54">
      <w:pPr>
        <w:pStyle w:val="NormalWeb"/>
        <w:numPr>
          <w:ilvl w:val="0"/>
          <w:numId w:val="1"/>
        </w:numPr>
      </w:pPr>
      <w:r>
        <w:t xml:space="preserve"> and we’ve also </w:t>
      </w:r>
      <w:r>
        <w:rPr>
          <w:rStyle w:val="Strong"/>
          <w:rFonts w:eastAsiaTheme="majorEastAsia"/>
        </w:rPr>
        <w:t xml:space="preserve">excluded the </w:t>
      </w:r>
      <w:proofErr w:type="spellStart"/>
      <w:r>
        <w:rPr>
          <w:rStyle w:val="Strong"/>
          <w:rFonts w:eastAsiaTheme="majorEastAsia"/>
        </w:rPr>
        <w:t>PnL</w:t>
      </w:r>
      <w:proofErr w:type="spellEnd"/>
      <w:r>
        <w:rPr>
          <w:rStyle w:val="Strong"/>
          <w:rFonts w:eastAsiaTheme="majorEastAsia"/>
        </w:rPr>
        <w:t xml:space="preserve"> vectors</w:t>
      </w:r>
      <w:r>
        <w:t xml:space="preserve"> for the 6 EMR desks from both management and non-management aggregation.</w:t>
      </w:r>
    </w:p>
    <w:p w14:paraId="7274EE72" w14:textId="77777777" w:rsidR="00980B20" w:rsidRDefault="00980B20" w:rsidP="00980B20">
      <w:pPr>
        <w:pStyle w:val="NormalWeb"/>
        <w:ind w:left="720"/>
      </w:pPr>
    </w:p>
    <w:p w14:paraId="3025192D" w14:textId="40FA3BAD" w:rsidR="00980B20" w:rsidRDefault="00980B20" w:rsidP="00980B20">
      <w:pPr>
        <w:pStyle w:val="NormalWeb"/>
        <w:ind w:left="720"/>
      </w:pPr>
      <w:r>
        <w:t xml:space="preserve">Our </w:t>
      </w:r>
      <w:r>
        <w:rPr>
          <w:rStyle w:val="Strong"/>
          <w:rFonts w:eastAsiaTheme="majorEastAsia"/>
        </w:rPr>
        <w:t>priority right now</w:t>
      </w:r>
      <w:r>
        <w:t xml:space="preserve"> is to get the </w:t>
      </w:r>
      <w:r>
        <w:rPr>
          <w:rStyle w:val="Strong"/>
          <w:rFonts w:eastAsiaTheme="majorEastAsia"/>
        </w:rPr>
        <w:t>MRF removed ahead of the regulatory exam</w:t>
      </w:r>
      <w:r>
        <w:t>, and we’re on track to do that.</w:t>
      </w:r>
    </w:p>
    <w:p w14:paraId="12D9E42E" w14:textId="77777777" w:rsidR="00980B20" w:rsidRDefault="00980B20" w:rsidP="00980B20">
      <w:pPr>
        <w:pStyle w:val="NormalWeb"/>
      </w:pPr>
    </w:p>
    <w:p w14:paraId="26B7A1A8" w14:textId="77777777" w:rsidR="00980B20" w:rsidRDefault="00980B20" w:rsidP="00980B20">
      <w:pPr>
        <w:pStyle w:val="NormalWeb"/>
      </w:pPr>
      <w:r>
        <w:t xml:space="preserve">We’re also aligning with </w:t>
      </w:r>
      <w:r>
        <w:rPr>
          <w:rStyle w:val="Strong"/>
          <w:rFonts w:eastAsiaTheme="majorEastAsia"/>
        </w:rPr>
        <w:t>RA expectations and Model Risk guidance</w:t>
      </w:r>
      <w:r>
        <w:t>:</w:t>
      </w:r>
    </w:p>
    <w:p w14:paraId="6DC17016" w14:textId="77777777" w:rsidR="00980B20" w:rsidRDefault="00980B20" w:rsidP="00980B20">
      <w:pPr>
        <w:pStyle w:val="NormalWeb"/>
        <w:numPr>
          <w:ilvl w:val="0"/>
          <w:numId w:val="3"/>
        </w:numPr>
      </w:pPr>
      <w:r>
        <w:t xml:space="preserve">We’ll be conducting a </w:t>
      </w:r>
      <w:r>
        <w:rPr>
          <w:rStyle w:val="Strong"/>
          <w:rFonts w:eastAsiaTheme="majorEastAsia"/>
        </w:rPr>
        <w:t>formal implementation test of the time series</w:t>
      </w:r>
      <w:r>
        <w:t xml:space="preserve"> in addition to reconciliation. That test, along with the </w:t>
      </w:r>
      <w:r>
        <w:rPr>
          <w:rStyle w:val="Strong"/>
          <w:rFonts w:eastAsiaTheme="majorEastAsia"/>
        </w:rPr>
        <w:t>NTE documentation</w:t>
      </w:r>
      <w:r>
        <w:t xml:space="preserve">, will provide the evidence needed for </w:t>
      </w:r>
      <w:r>
        <w:rPr>
          <w:rStyle w:val="Strong"/>
          <w:rFonts w:eastAsiaTheme="majorEastAsia"/>
        </w:rPr>
        <w:t>MDSOR data usage, integrity, and accuracy</w:t>
      </w:r>
      <w:r>
        <w:t>.</w:t>
      </w:r>
    </w:p>
    <w:p w14:paraId="30F5F5D4" w14:textId="77777777" w:rsidR="00980B20" w:rsidRDefault="00980B20" w:rsidP="00980B20">
      <w:pPr>
        <w:pStyle w:val="NormalWeb"/>
        <w:numPr>
          <w:ilvl w:val="0"/>
          <w:numId w:val="3"/>
        </w:numPr>
      </w:pPr>
      <w:r>
        <w:t xml:space="preserve">We are leveraging and updating the existing </w:t>
      </w:r>
      <w:r>
        <w:rPr>
          <w:rStyle w:val="Strong"/>
          <w:rFonts w:eastAsiaTheme="majorEastAsia"/>
        </w:rPr>
        <w:t>“MDSOR – Data Quality Methodologies &amp; Controls”</w:t>
      </w:r>
      <w:r>
        <w:t xml:space="preserve"> documentation. This was used in Phase I for DSOR and will again serve as a cornerstone for Phase II. We’re reviewing which controls were applied and documenting where applicable.</w:t>
      </w:r>
    </w:p>
    <w:p w14:paraId="66E486FA" w14:textId="77777777" w:rsidR="00980B20" w:rsidRDefault="00980B20" w:rsidP="00980B20">
      <w:pPr>
        <w:pStyle w:val="NormalWeb"/>
      </w:pPr>
      <w:r>
        <w:t xml:space="preserve">On the </w:t>
      </w:r>
      <w:r>
        <w:rPr>
          <w:rStyle w:val="Strong"/>
          <w:rFonts w:eastAsiaTheme="majorEastAsia"/>
        </w:rPr>
        <w:t>Model Risk side</w:t>
      </w:r>
      <w:r>
        <w:t>, we’re actively addressing the findings raised in the MDD, including:</w:t>
      </w:r>
    </w:p>
    <w:p w14:paraId="681B112A" w14:textId="77777777" w:rsidR="00980B20" w:rsidRDefault="00980B20" w:rsidP="00980B20">
      <w:pPr>
        <w:pStyle w:val="NormalWeb"/>
        <w:numPr>
          <w:ilvl w:val="0"/>
          <w:numId w:val="4"/>
        </w:numPr>
      </w:pPr>
      <w:r>
        <w:t xml:space="preserve">Adding </w:t>
      </w:r>
      <w:r>
        <w:rPr>
          <w:rStyle w:val="Strong"/>
          <w:rFonts w:eastAsiaTheme="majorEastAsia"/>
        </w:rPr>
        <w:t>evidence of historical data integrity and accuracy</w:t>
      </w:r>
      <w:r>
        <w:t xml:space="preserve"> for modeling inputs.</w:t>
      </w:r>
    </w:p>
    <w:p w14:paraId="716E6B1F" w14:textId="77777777" w:rsidR="00980B20" w:rsidRDefault="00980B20" w:rsidP="00980B20">
      <w:pPr>
        <w:pStyle w:val="NormalWeb"/>
        <w:numPr>
          <w:ilvl w:val="0"/>
          <w:numId w:val="4"/>
        </w:numPr>
      </w:pPr>
      <w:r>
        <w:t xml:space="preserve">Clearly documenting the </w:t>
      </w:r>
      <w:r>
        <w:rPr>
          <w:rStyle w:val="Strong"/>
          <w:rFonts w:eastAsiaTheme="majorEastAsia"/>
        </w:rPr>
        <w:t>approach to missing value imputation</w:t>
      </w:r>
      <w:r>
        <w:t>.</w:t>
      </w:r>
    </w:p>
    <w:p w14:paraId="34106F8F" w14:textId="77777777" w:rsidR="00980B20" w:rsidRDefault="00980B20" w:rsidP="00980B20">
      <w:pPr>
        <w:pStyle w:val="NormalWeb"/>
        <w:numPr>
          <w:ilvl w:val="0"/>
          <w:numId w:val="4"/>
        </w:numPr>
      </w:pPr>
      <w:r>
        <w:t xml:space="preserve">And defining </w:t>
      </w:r>
      <w:r>
        <w:rPr>
          <w:rStyle w:val="Strong"/>
          <w:rFonts w:eastAsiaTheme="majorEastAsia"/>
        </w:rPr>
        <w:t>thresholds and rationale for handling extreme or stale values</w:t>
      </w:r>
      <w:r>
        <w:t>.</w:t>
      </w:r>
    </w:p>
    <w:p w14:paraId="207E12F0" w14:textId="77777777" w:rsidR="00980B20" w:rsidRDefault="00980B20" w:rsidP="00980B20">
      <w:pPr>
        <w:pStyle w:val="NormalWeb"/>
      </w:pPr>
    </w:p>
    <w:p w14:paraId="43D1D636" w14:textId="77777777" w:rsidR="00980B20" w:rsidRDefault="00980B20" w:rsidP="00980B20">
      <w:pPr>
        <w:pStyle w:val="NormalWeb"/>
      </w:pPr>
    </w:p>
    <w:p w14:paraId="27E7E706" w14:textId="77777777" w:rsidR="00582A54" w:rsidRDefault="00582A54" w:rsidP="00582A54">
      <w:pPr>
        <w:pStyle w:val="NormalWeb"/>
      </w:pPr>
      <w:r>
        <w:t>Looking ahead to go-live in Q3, we will still need to close out items like:</w:t>
      </w:r>
    </w:p>
    <w:p w14:paraId="069694B2" w14:textId="77777777" w:rsidR="00582A54" w:rsidRDefault="00582A54" w:rsidP="00582A54">
      <w:pPr>
        <w:pStyle w:val="NormalWeb"/>
        <w:numPr>
          <w:ilvl w:val="0"/>
          <w:numId w:val="2"/>
        </w:numPr>
      </w:pPr>
      <w:r>
        <w:t>TWC fixes</w:t>
      </w:r>
    </w:p>
    <w:p w14:paraId="59D31707" w14:textId="77777777" w:rsidR="00582A54" w:rsidRDefault="00582A54" w:rsidP="00582A54">
      <w:pPr>
        <w:pStyle w:val="NormalWeb"/>
        <w:numPr>
          <w:ilvl w:val="0"/>
          <w:numId w:val="2"/>
        </w:numPr>
      </w:pPr>
      <w:r>
        <w:t>Remaining reconciliation gaps</w:t>
      </w:r>
    </w:p>
    <w:p w14:paraId="12274163" w14:textId="77777777" w:rsidR="00582A54" w:rsidRDefault="00582A54" w:rsidP="00582A54">
      <w:pPr>
        <w:pStyle w:val="NormalWeb"/>
        <w:numPr>
          <w:ilvl w:val="0"/>
          <w:numId w:val="2"/>
        </w:numPr>
      </w:pPr>
      <w:r>
        <w:t>And handling FRTB and SIMM integration</w:t>
      </w:r>
    </w:p>
    <w:p w14:paraId="07E95903" w14:textId="0EA276AB" w:rsidR="00582A54" w:rsidRDefault="00980B20">
      <w:r>
        <w:t>In short: NTE is on track, MRF removal is in progress and aligned with regulatory expectations, and we're de-risking the full go-live path. Happy to take any questions.</w:t>
      </w:r>
    </w:p>
    <w:sectPr w:rsidR="005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984"/>
    <w:multiLevelType w:val="multilevel"/>
    <w:tmpl w:val="F1F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74F8C"/>
    <w:multiLevelType w:val="multilevel"/>
    <w:tmpl w:val="FD7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05CFC"/>
    <w:multiLevelType w:val="multilevel"/>
    <w:tmpl w:val="F896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44043"/>
    <w:multiLevelType w:val="multilevel"/>
    <w:tmpl w:val="3C8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2445">
    <w:abstractNumId w:val="2"/>
  </w:num>
  <w:num w:numId="2" w16cid:durableId="184487835">
    <w:abstractNumId w:val="0"/>
  </w:num>
  <w:num w:numId="3" w16cid:durableId="646974263">
    <w:abstractNumId w:val="1"/>
  </w:num>
  <w:num w:numId="4" w16cid:durableId="154324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54"/>
    <w:rsid w:val="00582A54"/>
    <w:rsid w:val="0073143B"/>
    <w:rsid w:val="009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C1AB"/>
  <w15:chartTrackingRefBased/>
  <w15:docId w15:val="{D2D69A53-35DC-4E51-8EF9-00BC5FE7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2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2025-06-12T14:29:00Z</dcterms:created>
  <dcterms:modified xsi:type="dcterms:W3CDTF">2025-06-12T14:44:00Z</dcterms:modified>
</cp:coreProperties>
</file>