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8B19" w14:textId="77777777" w:rsidR="00DA0859" w:rsidRPr="00DA0859" w:rsidRDefault="00DA0859" w:rsidP="00DA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A0859">
        <w:rPr>
          <w:rFonts w:ascii="Segoe UI Emoji" w:eastAsia="Times New Roman" w:hAnsi="Segoe UI Emoji" w:cs="Segoe UI Emoji"/>
          <w:kern w:val="0"/>
          <w14:ligatures w14:val="none"/>
        </w:rPr>
        <w:t>📉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SVaR </w:t>
      </w:r>
      <w:proofErr w:type="spellStart"/>
      <w:r w:rsidRPr="00DA0859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Reduction Initiative – Analysis Summary, Key Opportunities &amp; Stakeholder Input Needed</w:t>
      </w:r>
    </w:p>
    <w:p w14:paraId="196E2809" w14:textId="77777777" w:rsidR="00DA0859" w:rsidRPr="00DA0859" w:rsidRDefault="00DA0859" w:rsidP="00DA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Dear Colleagues,</w:t>
      </w:r>
    </w:p>
    <w:p w14:paraId="32028E9A" w14:textId="77777777" w:rsidR="00DA0859" w:rsidRPr="00DA0859" w:rsidRDefault="00DA0859" w:rsidP="00DA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Following several months of research and cross-team collaboration, we are excited to share a consolidated update on the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SVaR </w:t>
      </w:r>
      <w:proofErr w:type="spellStart"/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Reduction initiative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— with the goal of enabling stakeholders to make informed decisions based on detailed analysis.</w:t>
      </w:r>
    </w:p>
    <w:p w14:paraId="27257FAA" w14:textId="77777777" w:rsidR="00DA0859" w:rsidRPr="00DA0859" w:rsidRDefault="00DA0859" w:rsidP="00DA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This work spans both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SPG (Structured Products Group)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, and we’ve identified multiple opportunities to improve capital efficiency, reduce inflated SVaR charges, and lay a strategic foundation for long-term optimization.</w:t>
      </w:r>
    </w:p>
    <w:p w14:paraId="649F6ECD" w14:textId="77777777" w:rsidR="00DA0859" w:rsidRPr="00DA0859" w:rsidRDefault="00DA0859" w:rsidP="00DA08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pict w14:anchorId="596F5734">
          <v:rect id="_x0000_i1025" style="width:0;height:1.5pt" o:hralign="center" o:hrstd="t" o:hr="t" fillcolor="#a0a0a0" stroked="f"/>
        </w:pict>
      </w:r>
    </w:p>
    <w:p w14:paraId="536AAAB4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DA0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Was Analyzed – SPG &amp; RMBS Focus</w:t>
      </w:r>
    </w:p>
    <w:p w14:paraId="3E239B60" w14:textId="77777777" w:rsidR="00DA0859" w:rsidRPr="00DA0859" w:rsidRDefault="00DA0859" w:rsidP="00DA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We started with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Agency RMBS (primarily CMOs)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and uncovered several high-impact opportunities with strong potential for SVaR reduction.</w:t>
      </w:r>
    </w:p>
    <w:p w14:paraId="770C7F7F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SPG / CMO Opportunities (Estimated &gt; $60M Reduction)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7230"/>
      </w:tblGrid>
      <w:tr w:rsidR="00DA0859" w:rsidRPr="00DA0859" w14:paraId="18D3BCFF" w14:textId="77777777" w:rsidTr="00DA0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4323C" w14:textId="77777777" w:rsidR="00DA0859" w:rsidRPr="00DA0859" w:rsidRDefault="00DA0859" w:rsidP="00DA0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Enhancement</w:t>
            </w:r>
          </w:p>
        </w:tc>
        <w:tc>
          <w:tcPr>
            <w:tcW w:w="0" w:type="auto"/>
            <w:vAlign w:val="center"/>
            <w:hideMark/>
          </w:tcPr>
          <w:p w14:paraId="2B87EE75" w14:textId="77777777" w:rsidR="00DA0859" w:rsidRPr="00DA0859" w:rsidRDefault="00DA0859" w:rsidP="00DA0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A0859" w:rsidRPr="00DA0859" w14:paraId="100EDB50" w14:textId="77777777" w:rsidTr="00DA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48D9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 Data Source</w:t>
            </w:r>
          </w:p>
        </w:tc>
        <w:tc>
          <w:tcPr>
            <w:tcW w:w="0" w:type="auto"/>
            <w:vAlign w:val="center"/>
            <w:hideMark/>
          </w:tcPr>
          <w:p w14:paraId="222567E1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 from ICE Marks to Bloomberg BVAL, JPM, or Markit for raw prices used in prepayment models (</w:t>
            </w:r>
            <w:proofErr w:type="spellStart"/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AdCo</w:t>
            </w:r>
            <w:proofErr w:type="spellEnd"/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Polypath</w:t>
            </w:r>
            <w:proofErr w:type="spellEnd"/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OAS).</w:t>
            </w:r>
          </w:p>
        </w:tc>
      </w:tr>
      <w:tr w:rsidR="00DA0859" w:rsidRPr="00DA0859" w14:paraId="416CB076" w14:textId="77777777" w:rsidTr="00DA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044DC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OAS Aggregation Method</w:t>
            </w:r>
          </w:p>
        </w:tc>
        <w:tc>
          <w:tcPr>
            <w:tcW w:w="0" w:type="auto"/>
            <w:vAlign w:val="center"/>
            <w:hideMark/>
          </w:tcPr>
          <w:p w14:paraId="165E79A0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OAS index aggregation methodology to improve risk capture.</w:t>
            </w:r>
          </w:p>
        </w:tc>
      </w:tr>
      <w:tr w:rsidR="00DA0859" w:rsidRPr="00DA0859" w14:paraId="1B68AE20" w14:textId="77777777" w:rsidTr="00DA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A87B2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Constituent Mapping</w:t>
            </w:r>
          </w:p>
        </w:tc>
        <w:tc>
          <w:tcPr>
            <w:tcW w:w="0" w:type="auto"/>
            <w:vAlign w:val="center"/>
            <w:hideMark/>
          </w:tcPr>
          <w:p w14:paraId="6BF46F8F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actual Volcker portfolio CUSIPs for index construction.</w:t>
            </w:r>
          </w:p>
        </w:tc>
      </w:tr>
      <w:tr w:rsidR="00DA0859" w:rsidRPr="00DA0859" w14:paraId="35FDE24B" w14:textId="77777777" w:rsidTr="00DA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BEB2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Index for Floaters</w:t>
            </w:r>
          </w:p>
        </w:tc>
        <w:tc>
          <w:tcPr>
            <w:tcW w:w="0" w:type="auto"/>
            <w:vAlign w:val="center"/>
            <w:hideMark/>
          </w:tcPr>
          <w:p w14:paraId="2A5C6791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dedicated 3M floater index for better optionality treatment.</w:t>
            </w:r>
          </w:p>
        </w:tc>
      </w:tr>
    </w:tbl>
    <w:p w14:paraId="67DF2F0F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Other SPG Levers</w:t>
      </w:r>
    </w:p>
    <w:p w14:paraId="781D4E27" w14:textId="77777777" w:rsidR="00DA0859" w:rsidRPr="00DA0859" w:rsidRDefault="00DA0859" w:rsidP="00DA0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RMBS TBA &amp; Pools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: Adjust modeled TBA assumptions → non-model assumptions → (Est. $30M–$40M).</w:t>
      </w:r>
    </w:p>
    <w:p w14:paraId="174C2A1A" w14:textId="77777777" w:rsidR="00DA0859" w:rsidRPr="00DA0859" w:rsidRDefault="00DA0859" w:rsidP="00DA0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Outlier Detection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: (Est. $90M+ in impact).</w:t>
      </w:r>
    </w:p>
    <w:p w14:paraId="5FF7EBB4" w14:textId="77777777" w:rsidR="00DA0859" w:rsidRPr="00DA0859" w:rsidRDefault="00DA0859" w:rsidP="00DA0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 Methodology Rework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: Move from absolute → relative/hybrid for better stress representation.</w:t>
      </w:r>
    </w:p>
    <w:p w14:paraId="451A4470" w14:textId="77777777" w:rsidR="00DA0859" w:rsidRPr="00DA0859" w:rsidRDefault="00DA0859" w:rsidP="00DA08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These enhancements are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blocks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for later expansion into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CMBS, CLO, Non-Agency RMBS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, and other securitized products.</w:t>
      </w:r>
    </w:p>
    <w:p w14:paraId="1BC053AF" w14:textId="77777777" w:rsidR="00DA0859" w:rsidRPr="00DA0859" w:rsidRDefault="00DA0859" w:rsidP="00DA08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pict w14:anchorId="1F715A2F">
          <v:rect id="_x0000_i1026" style="width:0;height:1.5pt" o:hralign="center" o:hrstd="t" o:hr="t" fillcolor="#a0a0a0" stroked="f"/>
        </w:pict>
      </w:r>
    </w:p>
    <w:p w14:paraId="3C570FA1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⚠️</w:t>
      </w:r>
      <w:r w:rsidRPr="00DA0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Risk &amp; Assumptions</w:t>
      </w:r>
    </w:p>
    <w:p w14:paraId="72FF7006" w14:textId="77777777" w:rsidR="00DA0859" w:rsidRPr="00DA0859" w:rsidRDefault="00DA0859" w:rsidP="00DA0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Many of these changes may trigger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Validation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Reviews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, especially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 changes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797C88" w14:textId="77777777" w:rsidR="00DA0859" w:rsidRPr="00DA0859" w:rsidRDefault="00DA0859" w:rsidP="00DA0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That’s why the plan is to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CMOs and TBAs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, demonstrate success, and scale from there.</w:t>
      </w:r>
    </w:p>
    <w:p w14:paraId="6BAB4C0A" w14:textId="77777777" w:rsidR="00DA0859" w:rsidRPr="00DA0859" w:rsidRDefault="00DA0859" w:rsidP="00DA08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pict w14:anchorId="5A9D6CF4">
          <v:rect id="_x0000_i1027" style="width:0;height:1.5pt" o:hralign="center" o:hrstd="t" o:hr="t" fillcolor="#a0a0a0" stroked="f"/>
        </w:pict>
      </w:r>
    </w:p>
    <w:p w14:paraId="25910549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A0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Credit Portfolio – What’s Different?</w:t>
      </w:r>
    </w:p>
    <w:p w14:paraId="4784797E" w14:textId="77777777" w:rsidR="00DA0859" w:rsidRPr="00DA0859" w:rsidRDefault="00DA0859" w:rsidP="00DA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Unlike SPG,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is at an earlier stage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and is currently constrained by legacy infrastructure and modeling limitations.</w:t>
      </w:r>
    </w:p>
    <w:p w14:paraId="4035A48D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⛔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Why Credit Can't Mirror SPG (Yet)</w:t>
      </w:r>
    </w:p>
    <w:p w14:paraId="64F67D87" w14:textId="77777777" w:rsidR="00DA0859" w:rsidRPr="00DA0859" w:rsidRDefault="00DA0859" w:rsidP="00DA0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Still using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RVF+ FO Pricer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, which lacks proper modeling of:</w:t>
      </w:r>
    </w:p>
    <w:p w14:paraId="5F3A88BF" w14:textId="77777777" w:rsidR="00DA0859" w:rsidRPr="00DA0859" w:rsidRDefault="00DA0859" w:rsidP="00DA08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Optionality</w:t>
      </w:r>
    </w:p>
    <w:p w14:paraId="639CE605" w14:textId="77777777" w:rsidR="00DA0859" w:rsidRPr="00DA0859" w:rsidRDefault="00DA0859" w:rsidP="00DA08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Hazard rate curves</w:t>
      </w:r>
    </w:p>
    <w:p w14:paraId="15313778" w14:textId="77777777" w:rsidR="00DA0859" w:rsidRPr="00DA0859" w:rsidRDefault="00DA0859" w:rsidP="00DA08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Recovery assumptions</w:t>
      </w:r>
    </w:p>
    <w:p w14:paraId="1C29AE6B" w14:textId="77777777" w:rsidR="00DA0859" w:rsidRPr="00DA0859" w:rsidRDefault="00DA0859" w:rsidP="00DA08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Credit volatility</w:t>
      </w:r>
    </w:p>
    <w:p w14:paraId="0614FEB7" w14:textId="77777777" w:rsidR="00DA0859" w:rsidRPr="00DA0859" w:rsidRDefault="00DA0859" w:rsidP="00DA0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It's equivalent to asking SPG to model SVaR without an internal prepayment model live.</w:t>
      </w:r>
    </w:p>
    <w:p w14:paraId="6E7C5CAA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Foundation Milestone for Credit</w:t>
      </w:r>
    </w:p>
    <w:p w14:paraId="33FBC9B7" w14:textId="77777777" w:rsidR="00DA0859" w:rsidRPr="00DA0859" w:rsidRDefault="00DA0859" w:rsidP="00DA0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Series Granularity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improvements are underway.</w:t>
      </w:r>
    </w:p>
    <w:p w14:paraId="5D7630F1" w14:textId="77777777" w:rsidR="00DA0859" w:rsidRPr="00DA0859" w:rsidRDefault="00DA0859" w:rsidP="00DA08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Alone, this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won’t guarantee SVaR reduction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, but it is a critical prerequisite for:</w:t>
      </w:r>
    </w:p>
    <w:p w14:paraId="1A4087FC" w14:textId="77777777" w:rsidR="00DA0859" w:rsidRPr="00DA0859" w:rsidRDefault="00DA0859" w:rsidP="00DA08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Future hedging of tail risk</w:t>
      </w:r>
    </w:p>
    <w:p w14:paraId="38ADA0BE" w14:textId="77777777" w:rsidR="00DA0859" w:rsidRPr="00DA0859" w:rsidRDefault="00DA0859" w:rsidP="00DA08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Better issuer-level sensitivity capture</w:t>
      </w:r>
    </w:p>
    <w:p w14:paraId="77FC7CD3" w14:textId="77777777" w:rsidR="00DA0859" w:rsidRPr="00DA0859" w:rsidRDefault="00DA0859" w:rsidP="00DA08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Enablement of full revaluation </w:t>
      </w:r>
      <w:proofErr w:type="spellStart"/>
      <w:r w:rsidRPr="00DA0859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or credit curve modeling later</w:t>
      </w:r>
    </w:p>
    <w:p w14:paraId="2C4DA8C2" w14:textId="77777777" w:rsidR="00DA0859" w:rsidRPr="00DA0859" w:rsidRDefault="00DA0859" w:rsidP="00DA08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pict w14:anchorId="6469A91A">
          <v:rect id="_x0000_i1028" style="width:0;height:1.5pt" o:hralign="center" o:hrstd="t" o:hr="t" fillcolor="#a0a0a0" stroked="f"/>
        </w:pict>
      </w:r>
    </w:p>
    <w:p w14:paraId="3A4FE8ED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DA0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Current Credit Optimization Tracks</w:t>
      </w:r>
    </w:p>
    <w:p w14:paraId="26A7ACC2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Callable Bonds → From Standard Charge to DSR</w:t>
      </w:r>
    </w:p>
    <w:p w14:paraId="099B4E18" w14:textId="77777777" w:rsidR="00DA0859" w:rsidRPr="00DA0859" w:rsidRDefault="00DA0859" w:rsidP="00DA0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Capital benefits possible, but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blocked until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0FAA5D" w14:textId="77777777" w:rsidR="00DA0859" w:rsidRPr="00DA0859" w:rsidRDefault="00DA0859" w:rsidP="00DA08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Better FO </w:t>
      </w:r>
      <w:proofErr w:type="spellStart"/>
      <w:r w:rsidRPr="00DA0859">
        <w:rPr>
          <w:rFonts w:ascii="Times New Roman" w:eastAsia="Times New Roman" w:hAnsi="Times New Roman" w:cs="Times New Roman"/>
          <w:kern w:val="0"/>
          <w14:ligatures w14:val="none"/>
        </w:rPr>
        <w:t>pricers</w:t>
      </w:r>
      <w:proofErr w:type="spellEnd"/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are onboarded</w:t>
      </w:r>
    </w:p>
    <w:p w14:paraId="42077BBD" w14:textId="77777777" w:rsidR="00DA0859" w:rsidRPr="00DA0859" w:rsidRDefault="00DA0859" w:rsidP="00DA08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Data models support OAS, hazard curves, credit vol</w:t>
      </w:r>
    </w:p>
    <w:p w14:paraId="3422E637" w14:textId="77777777" w:rsidR="00DA0859" w:rsidRPr="00DA0859" w:rsidRDefault="00DA0859" w:rsidP="00DA0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This was intended for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Vasara + EMR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, currently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 pause due to Clean </w:t>
      </w:r>
      <w:proofErr w:type="spellStart"/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focus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E69CAE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Time Series Granularity</w:t>
      </w:r>
    </w:p>
    <w:p w14:paraId="5F158ABD" w14:textId="77777777" w:rsidR="00DA0859" w:rsidRPr="00DA0859" w:rsidRDefault="00DA0859" w:rsidP="00DA08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Needed regardless of capital outcome</w:t>
      </w:r>
    </w:p>
    <w:p w14:paraId="58785218" w14:textId="77777777" w:rsidR="00DA0859" w:rsidRPr="00DA0859" w:rsidRDefault="00DA0859" w:rsidP="00DA08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Enables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issuer-level modeling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, curve construction, and future enhancements (e.g., relative shift testing, tail hedging)</w:t>
      </w:r>
    </w:p>
    <w:p w14:paraId="1AF24FF7" w14:textId="77777777" w:rsidR="00DA0859" w:rsidRPr="00DA0859" w:rsidRDefault="00DA0859" w:rsidP="00DA08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pict w14:anchorId="448929D4">
          <v:rect id="_x0000_i1029" style="width:0;height:1.5pt" o:hralign="center" o:hrstd="t" o:hr="t" fillcolor="#a0a0a0" stroked="f"/>
        </w:pict>
      </w:r>
    </w:p>
    <w:p w14:paraId="5CF28A20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DA0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Strategic View: Short-Term vs Long-Term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871"/>
        <w:gridCol w:w="3962"/>
      </w:tblGrid>
      <w:tr w:rsidR="00DA0859" w:rsidRPr="00DA0859" w14:paraId="6BBEBA28" w14:textId="77777777" w:rsidTr="00DA0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9CDD5" w14:textId="77777777" w:rsidR="00DA0859" w:rsidRPr="00DA0859" w:rsidRDefault="00DA0859" w:rsidP="00DA0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04A46EA" w14:textId="77777777" w:rsidR="00DA0859" w:rsidRPr="00DA0859" w:rsidRDefault="00DA0859" w:rsidP="00DA0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Short-Term (Mars + RFDM)</w:t>
            </w:r>
          </w:p>
        </w:tc>
        <w:tc>
          <w:tcPr>
            <w:tcW w:w="0" w:type="auto"/>
            <w:vAlign w:val="center"/>
            <w:hideMark/>
          </w:tcPr>
          <w:p w14:paraId="0C8F2D04" w14:textId="77777777" w:rsidR="00DA0859" w:rsidRPr="00DA0859" w:rsidRDefault="00DA0859" w:rsidP="00DA0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Long-Term (Vasara + EMR + MDSOR)</w:t>
            </w:r>
          </w:p>
        </w:tc>
      </w:tr>
      <w:tr w:rsidR="00DA0859" w:rsidRPr="00DA0859" w14:paraId="4E1FADC8" w14:textId="77777777" w:rsidTr="00DA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8A38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Future Compatibility</w:t>
            </w:r>
          </w:p>
        </w:tc>
        <w:tc>
          <w:tcPr>
            <w:tcW w:w="0" w:type="auto"/>
            <w:vAlign w:val="center"/>
            <w:hideMark/>
          </w:tcPr>
          <w:p w14:paraId="6FDB3938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reusable</w:t>
            </w:r>
          </w:p>
        </w:tc>
        <w:tc>
          <w:tcPr>
            <w:tcW w:w="0" w:type="auto"/>
            <w:vAlign w:val="center"/>
            <w:hideMark/>
          </w:tcPr>
          <w:p w14:paraId="482EFFFF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Reusable &amp; scalable</w:t>
            </w:r>
          </w:p>
        </w:tc>
      </w:tr>
      <w:tr w:rsidR="00DA0859" w:rsidRPr="00DA0859" w14:paraId="4DEBFB41" w14:textId="77777777" w:rsidTr="00DA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AAD2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ROA</w:t>
            </w:r>
          </w:p>
        </w:tc>
        <w:tc>
          <w:tcPr>
            <w:tcW w:w="0" w:type="auto"/>
            <w:vAlign w:val="center"/>
            <w:hideMark/>
          </w:tcPr>
          <w:p w14:paraId="215819FA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BE93D93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DA0859" w:rsidRPr="00DA0859" w14:paraId="3F423B76" w14:textId="77777777" w:rsidTr="00DA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D80F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Implementation Difficulty</w:t>
            </w:r>
          </w:p>
        </w:tc>
        <w:tc>
          <w:tcPr>
            <w:tcW w:w="0" w:type="auto"/>
            <w:vAlign w:val="center"/>
            <w:hideMark/>
          </w:tcPr>
          <w:p w14:paraId="7AF7A36B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9453656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(but achievable)</w:t>
            </w:r>
          </w:p>
        </w:tc>
      </w:tr>
      <w:tr w:rsidR="00DA0859" w:rsidRPr="00DA0859" w14:paraId="7025F7FF" w14:textId="77777777" w:rsidTr="00DA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FCE0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Capital Impact</w:t>
            </w:r>
          </w:p>
        </w:tc>
        <w:tc>
          <w:tcPr>
            <w:tcW w:w="0" w:type="auto"/>
            <w:vAlign w:val="center"/>
            <w:hideMark/>
          </w:tcPr>
          <w:p w14:paraId="13C50381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8243586" w14:textId="77777777" w:rsidR="00DA0859" w:rsidRPr="00DA0859" w:rsidRDefault="00DA0859" w:rsidP="00DA0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A08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(with Full Reval &amp; Model Fixes)</w:t>
            </w:r>
          </w:p>
        </w:tc>
      </w:tr>
    </w:tbl>
    <w:p w14:paraId="7BA7D2D1" w14:textId="77777777" w:rsidR="00DA0859" w:rsidRPr="00DA0859" w:rsidRDefault="00DA0859" w:rsidP="00DA08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pict w14:anchorId="5D168C9F">
          <v:rect id="_x0000_i1030" style="width:0;height:1.5pt" o:hralign="center" o:hrstd="t" o:hr="t" fillcolor="#a0a0a0" stroked="f"/>
        </w:pict>
      </w:r>
    </w:p>
    <w:p w14:paraId="704F8C64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🗣️</w:t>
      </w:r>
      <w:r w:rsidRPr="00DA0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Stakeholder Input Needed</w:t>
      </w:r>
    </w:p>
    <w:p w14:paraId="36C9CAE5" w14:textId="77777777" w:rsidR="00DA0859" w:rsidRPr="00DA0859" w:rsidRDefault="00DA0859" w:rsidP="00DA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To move forward effectively, your feedback is essential. Below are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questions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for discussion:</w:t>
      </w:r>
    </w:p>
    <w:p w14:paraId="767982B0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Implementation &amp; Strategy</w:t>
      </w:r>
    </w:p>
    <w:p w14:paraId="2E978F6D" w14:textId="77777777" w:rsidR="00DA0859" w:rsidRPr="00DA0859" w:rsidRDefault="00DA0859" w:rsidP="00DA08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Should we implement Credit TS granularity using short-term RFDM or invest in Vasara/EMR?</w:t>
      </w:r>
    </w:p>
    <w:p w14:paraId="07661B3F" w14:textId="77777777" w:rsidR="00DA0859" w:rsidRPr="00DA0859" w:rsidRDefault="00DA0859" w:rsidP="00DA08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Should we aim for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fixes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scalable integration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33000C6" w14:textId="77777777" w:rsidR="00DA0859" w:rsidRPr="00DA0859" w:rsidRDefault="00DA0859" w:rsidP="00DA08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Do we agree that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compatibility and reusability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are core to the design?</w:t>
      </w:r>
    </w:p>
    <w:p w14:paraId="139A9150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Capital Efficiency &amp; ROA</w:t>
      </w:r>
    </w:p>
    <w:p w14:paraId="2BC55466" w14:textId="77777777" w:rsidR="00DA0859" w:rsidRPr="00DA0859" w:rsidRDefault="00DA0859" w:rsidP="00DA08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 of SVaR/capital reduction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do we expect from this initiative?</w:t>
      </w:r>
    </w:p>
    <w:p w14:paraId="4C439895" w14:textId="77777777" w:rsidR="00DA0859" w:rsidRPr="00DA0859" w:rsidRDefault="00DA0859" w:rsidP="00DA08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Should the initiative prioritize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impact, auditability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transparency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8416990" w14:textId="77777777" w:rsidR="00DA0859" w:rsidRPr="00DA0859" w:rsidRDefault="00DA0859" w:rsidP="00DA08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on investment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(ROA) should we target?</w:t>
      </w:r>
    </w:p>
    <w:p w14:paraId="607BA68E" w14:textId="77777777" w:rsidR="00DA0859" w:rsidRPr="00DA0859" w:rsidRDefault="00DA0859" w:rsidP="00DA0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A085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👥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Execution &amp; Resourcing</w:t>
      </w:r>
    </w:p>
    <w:p w14:paraId="02B18F59" w14:textId="77777777" w:rsidR="00DA0859" w:rsidRPr="00DA0859" w:rsidRDefault="00DA0859" w:rsidP="00DA08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>Can this be delivered with existing resources, or will it require additional funding or support?</w:t>
      </w:r>
    </w:p>
    <w:p w14:paraId="70D5032D" w14:textId="77777777" w:rsidR="00DA0859" w:rsidRPr="00DA0859" w:rsidRDefault="00DA0859" w:rsidP="00DA08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Do we have </w:t>
      </w:r>
      <w:r w:rsidRPr="00DA08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 scenarios</w:t>
      </w:r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DA0859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DA0859">
        <w:rPr>
          <w:rFonts w:ascii="Times New Roman" w:eastAsia="Times New Roman" w:hAnsi="Times New Roman" w:cs="Times New Roman"/>
          <w:kern w:val="0"/>
          <w14:ligatures w14:val="none"/>
        </w:rPr>
        <w:t xml:space="preserve"> that validate the expected capital impact?</w:t>
      </w:r>
    </w:p>
    <w:p w14:paraId="68209308" w14:textId="77777777" w:rsidR="00DA0859" w:rsidRDefault="00DA0859"/>
    <w:sectPr w:rsidR="00DA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74DC6"/>
    <w:multiLevelType w:val="multilevel"/>
    <w:tmpl w:val="C2A6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43DDD"/>
    <w:multiLevelType w:val="multilevel"/>
    <w:tmpl w:val="EBB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25A0A"/>
    <w:multiLevelType w:val="multilevel"/>
    <w:tmpl w:val="E0DC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77013"/>
    <w:multiLevelType w:val="multilevel"/>
    <w:tmpl w:val="C04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00613"/>
    <w:multiLevelType w:val="multilevel"/>
    <w:tmpl w:val="7C1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00018"/>
    <w:multiLevelType w:val="multilevel"/>
    <w:tmpl w:val="AB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6062C"/>
    <w:multiLevelType w:val="multilevel"/>
    <w:tmpl w:val="FFAC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81183"/>
    <w:multiLevelType w:val="multilevel"/>
    <w:tmpl w:val="1B60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6706E"/>
    <w:multiLevelType w:val="multilevel"/>
    <w:tmpl w:val="E6B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283984">
    <w:abstractNumId w:val="6"/>
  </w:num>
  <w:num w:numId="2" w16cid:durableId="822695682">
    <w:abstractNumId w:val="4"/>
  </w:num>
  <w:num w:numId="3" w16cid:durableId="326785338">
    <w:abstractNumId w:val="2"/>
  </w:num>
  <w:num w:numId="4" w16cid:durableId="531965370">
    <w:abstractNumId w:val="7"/>
  </w:num>
  <w:num w:numId="5" w16cid:durableId="264194650">
    <w:abstractNumId w:val="0"/>
  </w:num>
  <w:num w:numId="6" w16cid:durableId="15272058">
    <w:abstractNumId w:val="1"/>
  </w:num>
  <w:num w:numId="7" w16cid:durableId="1311980552">
    <w:abstractNumId w:val="8"/>
  </w:num>
  <w:num w:numId="8" w16cid:durableId="2048673193">
    <w:abstractNumId w:val="5"/>
  </w:num>
  <w:num w:numId="9" w16cid:durableId="163591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59"/>
    <w:rsid w:val="00DA0859"/>
    <w:rsid w:val="00E944A7"/>
    <w:rsid w:val="00ED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D45D"/>
  <w15:chartTrackingRefBased/>
  <w15:docId w15:val="{B61664BF-7271-4BFA-8D26-DC208EEB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0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85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0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9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2025-05-19T13:45:00Z</dcterms:created>
  <dcterms:modified xsi:type="dcterms:W3CDTF">2025-05-19T14:03:00Z</dcterms:modified>
</cp:coreProperties>
</file>