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7D91C" w14:textId="77777777" w:rsidR="009960A5" w:rsidRDefault="009960A5" w:rsidP="009960A5">
      <w:pPr>
        <w:pStyle w:val="truncate"/>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how to accelerate modernize data solution</w:t>
      </w:r>
    </w:p>
    <w:p w14:paraId="5C3694BD" w14:textId="77777777" w:rsidR="008C7CC7" w:rsidRDefault="008C7CC7" w:rsidP="008C7CC7">
      <w:pPr>
        <w:pStyle w:val="truncate"/>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000000"/>
          <w:sz w:val="27"/>
          <w:szCs w:val="27"/>
        </w:rPr>
      </w:pPr>
      <w:r>
        <w:rPr>
          <w:rFonts w:ascii="Arial" w:hAnsi="Arial" w:cs="Arial"/>
          <w:color w:val="000000"/>
          <w:sz w:val="27"/>
          <w:szCs w:val="27"/>
        </w:rPr>
        <w:t>should I build data platform from scratch</w:t>
      </w:r>
    </w:p>
    <w:p w14:paraId="18416E2E" w14:textId="77777777" w:rsidR="008C7CC7" w:rsidRDefault="008C7CC7" w:rsidP="008C7CC7">
      <w:pPr>
        <w:pStyle w:val="truncate"/>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000000"/>
          <w:sz w:val="27"/>
          <w:szCs w:val="27"/>
        </w:rPr>
      </w:pPr>
      <w:r>
        <w:rPr>
          <w:rFonts w:ascii="Arial" w:hAnsi="Arial" w:cs="Arial"/>
          <w:color w:val="000000"/>
          <w:sz w:val="27"/>
          <w:szCs w:val="27"/>
        </w:rPr>
        <w:t>build your own data solution issues</w:t>
      </w:r>
    </w:p>
    <w:p w14:paraId="2BA65EFD" w14:textId="77777777" w:rsidR="009960A5" w:rsidRDefault="009960A5"/>
    <w:p w14:paraId="19DFDED0" w14:textId="77777777" w:rsidR="009960A5" w:rsidRDefault="009960A5"/>
    <w:p w14:paraId="3B6F6C81" w14:textId="77777777" w:rsidR="009960A5" w:rsidRDefault="009960A5"/>
    <w:p w14:paraId="549799D2" w14:textId="06417A3E" w:rsidR="004E3C6A" w:rsidRDefault="009960A5">
      <w:hyperlink r:id="rId5" w:history="1">
        <w:r w:rsidRPr="00A02CC6">
          <w:rPr>
            <w:rStyle w:val="Hyperlink"/>
          </w:rPr>
          <w:t>https://www.datadynamicsinc.com/blog-considering-cloud-migration-here-are-6-strategies-to-choose-from/</w:t>
        </w:r>
      </w:hyperlink>
    </w:p>
    <w:p w14:paraId="502DC7E3" w14:textId="078DE22B" w:rsidR="008D220B" w:rsidRDefault="009875FE">
      <w:hyperlink r:id="rId6" w:history="1">
        <w:r w:rsidRPr="00A02CC6">
          <w:rPr>
            <w:rStyle w:val="Hyperlink"/>
          </w:rPr>
          <w:t>https://sandeeptol.medium.com/an-approach-to-cloud-transformation-and-cloud-migration-635550949249</w:t>
        </w:r>
      </w:hyperlink>
    </w:p>
    <w:p w14:paraId="29AD0EAE" w14:textId="77777777" w:rsidR="009875FE" w:rsidRDefault="009875FE"/>
    <w:p w14:paraId="290C25B7" w14:textId="5AB16409" w:rsidR="008D220B" w:rsidRDefault="008D220B">
      <w:pPr>
        <w:rPr>
          <w:rFonts w:ascii="Montserrat" w:hAnsi="Montserrat"/>
          <w:color w:val="666666"/>
          <w:sz w:val="21"/>
          <w:szCs w:val="21"/>
          <w:shd w:val="clear" w:color="auto" w:fill="FFFFFF"/>
        </w:rPr>
      </w:pPr>
      <w:r>
        <w:rPr>
          <w:rFonts w:ascii="Montserrat" w:hAnsi="Montserrat"/>
          <w:color w:val="666666"/>
          <w:sz w:val="21"/>
          <w:szCs w:val="21"/>
          <w:shd w:val="clear" w:color="auto" w:fill="FFFFFF"/>
        </w:rPr>
        <w:t>An organization’s chosen strategy directly affects the amount of work involved in migration</w:t>
      </w:r>
    </w:p>
    <w:p w14:paraId="36CE124E" w14:textId="55A330B9" w:rsidR="00B30F6F" w:rsidRDefault="005F5EB3">
      <w:pPr>
        <w:rPr>
          <w:rFonts w:ascii="Montserrat" w:hAnsi="Montserrat"/>
          <w:color w:val="666666"/>
          <w:sz w:val="21"/>
          <w:szCs w:val="21"/>
          <w:shd w:val="clear" w:color="auto" w:fill="FFFFFF"/>
        </w:rPr>
      </w:pPr>
      <w:r>
        <w:rPr>
          <w:rFonts w:ascii="Montserrat" w:hAnsi="Montserrat"/>
          <w:color w:val="666666"/>
          <w:sz w:val="21"/>
          <w:szCs w:val="21"/>
          <w:shd w:val="clear" w:color="auto" w:fill="FFFFFF"/>
        </w:rPr>
        <w:t>. Since the world has been experiencing a sudden movement towards digitalization, it’s no surprise that </w:t>
      </w:r>
      <w:hyperlink r:id="rId7" w:history="1">
        <w:r>
          <w:rPr>
            <w:rStyle w:val="Hyperlink"/>
            <w:rFonts w:ascii="Montserrat" w:hAnsi="Montserrat"/>
            <w:color w:val="0080BE"/>
            <w:sz w:val="21"/>
            <w:szCs w:val="21"/>
            <w:bdr w:val="none" w:sz="0" w:space="0" w:color="auto" w:frame="1"/>
            <w:shd w:val="clear" w:color="auto" w:fill="FFFFFF"/>
          </w:rPr>
          <w:t>90 percent</w:t>
        </w:r>
      </w:hyperlink>
      <w:r>
        <w:rPr>
          <w:rFonts w:ascii="Montserrat" w:hAnsi="Montserrat"/>
          <w:color w:val="666666"/>
          <w:sz w:val="21"/>
          <w:szCs w:val="21"/>
          <w:shd w:val="clear" w:color="auto" w:fill="FFFFFF"/>
        </w:rPr>
        <w:t> of the data in the world has been generated just in the last two years.</w:t>
      </w:r>
    </w:p>
    <w:p w14:paraId="401C44ED" w14:textId="77777777" w:rsidR="005F5EB3" w:rsidRDefault="005F5EB3">
      <w:pPr>
        <w:rPr>
          <w:rFonts w:ascii="Montserrat" w:hAnsi="Montserrat"/>
          <w:color w:val="666666"/>
          <w:sz w:val="21"/>
          <w:szCs w:val="21"/>
          <w:shd w:val="clear" w:color="auto" w:fill="FFFFFF"/>
        </w:rPr>
      </w:pPr>
    </w:p>
    <w:p w14:paraId="2BD02A0B"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Steven Orban of Amazon Web Services in 2016, the five original strategies – Rehost, Refactor, Revise, Rebuild and Replace – were revived and adapted, adding a sixth.</w:t>
      </w:r>
    </w:p>
    <w:p w14:paraId="6BE9B492" w14:textId="77777777" w:rsidR="009F29B8" w:rsidRDefault="009F29B8" w:rsidP="009F29B8">
      <w:pPr>
        <w:numPr>
          <w:ilvl w:val="0"/>
          <w:numId w:val="1"/>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Rehost (lift and shift).</w:t>
      </w:r>
    </w:p>
    <w:p w14:paraId="7FC1374D"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 xml:space="preserve">Lift-and-shifting, or rehosting, makes use of </w:t>
      </w:r>
      <w:r w:rsidRPr="00425F67">
        <w:rPr>
          <w:rFonts w:ascii="Montserrat" w:hAnsi="Montserrat"/>
          <w:color w:val="666666"/>
          <w:sz w:val="21"/>
          <w:szCs w:val="21"/>
          <w:highlight w:val="yellow"/>
        </w:rPr>
        <w:t>infrastructure-as-a-service (IaaS</w:t>
      </w:r>
      <w:r>
        <w:rPr>
          <w:rFonts w:ascii="Montserrat" w:hAnsi="Montserrat"/>
          <w:color w:val="666666"/>
          <w:sz w:val="21"/>
          <w:szCs w:val="21"/>
        </w:rPr>
        <w:t>). Data and applications can be redeployed to the cloud server as needed. For organizations not familiar with </w:t>
      </w:r>
      <w:hyperlink r:id="rId8" w:history="1">
        <w:r>
          <w:rPr>
            <w:rStyle w:val="Hyperlink"/>
            <w:rFonts w:ascii="Montserrat" w:hAnsi="Montserrat"/>
            <w:color w:val="0080BE"/>
            <w:sz w:val="21"/>
            <w:szCs w:val="21"/>
            <w:bdr w:val="none" w:sz="0" w:space="0" w:color="auto" w:frame="1"/>
          </w:rPr>
          <w:t>cloud technologies</w:t>
        </w:r>
      </w:hyperlink>
      <w:r>
        <w:rPr>
          <w:rFonts w:ascii="Montserrat" w:hAnsi="Montserrat"/>
          <w:color w:val="666666"/>
          <w:sz w:val="21"/>
          <w:szCs w:val="21"/>
        </w:rPr>
        <w:t>, it is an easy process. For example, despite not implementing any cloud optimizations, GE Oil &amp; Gas found that it could rehost its applications and save roughly 30% of costs.</w:t>
      </w:r>
    </w:p>
    <w:p w14:paraId="32738553"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w:t>
      </w:r>
      <w:r>
        <w:rPr>
          <w:rFonts w:ascii="Montserrat" w:hAnsi="Montserrat"/>
          <w:color w:val="666666"/>
          <w:sz w:val="21"/>
          <w:szCs w:val="21"/>
        </w:rPr>
        <w:t xml:space="preserve"> Legacy migrations, teams with </w:t>
      </w:r>
      <w:r w:rsidRPr="00A45CB9">
        <w:rPr>
          <w:rFonts w:ascii="Montserrat" w:hAnsi="Montserrat"/>
          <w:color w:val="666666"/>
          <w:sz w:val="21"/>
          <w:szCs w:val="21"/>
          <w:highlight w:val="yellow"/>
        </w:rPr>
        <w:t>limited cloud skills.</w:t>
      </w:r>
    </w:p>
    <w:p w14:paraId="14CEA0D7"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w:t>
      </w:r>
      <w:r>
        <w:rPr>
          <w:rFonts w:ascii="Montserrat" w:hAnsi="Montserrat"/>
          <w:color w:val="666666"/>
          <w:sz w:val="21"/>
          <w:szCs w:val="21"/>
        </w:rPr>
        <w:t> Lower risk of breaking applications, faster and easier migration.</w:t>
      </w:r>
    </w:p>
    <w:p w14:paraId="55FD09DB"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Cons:</w:t>
      </w:r>
      <w:r>
        <w:rPr>
          <w:rFonts w:ascii="Montserrat" w:hAnsi="Montserrat"/>
          <w:color w:val="666666"/>
          <w:sz w:val="21"/>
          <w:szCs w:val="21"/>
        </w:rPr>
        <w:t> Applications might be less efficient in using cloud resources and more challenging to scale up and down.</w:t>
      </w:r>
    </w:p>
    <w:p w14:paraId="677007C6" w14:textId="77777777" w:rsidR="009F29B8" w:rsidRDefault="009F29B8" w:rsidP="009F29B8">
      <w:pPr>
        <w:numPr>
          <w:ilvl w:val="0"/>
          <w:numId w:val="2"/>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Replatforming</w:t>
      </w:r>
    </w:p>
    <w:p w14:paraId="77261280" w14:textId="77777777" w:rsidR="00A009AE"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 xml:space="preserve">Through re-platforming, </w:t>
      </w:r>
      <w:r w:rsidRPr="00A009AE">
        <w:rPr>
          <w:rFonts w:ascii="Montserrat" w:hAnsi="Montserrat"/>
          <w:color w:val="666666"/>
          <w:sz w:val="21"/>
          <w:szCs w:val="21"/>
          <w:highlight w:val="yellow"/>
        </w:rPr>
        <w:t>apps can be configured to be more compatible with the cloud environment without changing their core architecture</w:t>
      </w:r>
      <w:r>
        <w:rPr>
          <w:rFonts w:ascii="Montserrat" w:hAnsi="Montserrat"/>
          <w:color w:val="666666"/>
          <w:sz w:val="21"/>
          <w:szCs w:val="21"/>
        </w:rPr>
        <w:t xml:space="preserve">. </w:t>
      </w:r>
    </w:p>
    <w:p w14:paraId="4FE72260" w14:textId="7E0DEC10"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Replatforming requires a deeper insight into an application or virtual machine to be migrated than Rehosting but does not require the complexity and effort of Rearchitecting.</w:t>
      </w:r>
    </w:p>
    <w:p w14:paraId="4F1764D2" w14:textId="77777777" w:rsidR="009B5230" w:rsidRDefault="009B5230" w:rsidP="009F29B8">
      <w:pPr>
        <w:pStyle w:val="NormalWeb"/>
        <w:shd w:val="clear" w:color="auto" w:fill="FFFFFF"/>
        <w:spacing w:before="0" w:beforeAutospacing="0" w:after="0" w:afterAutospacing="0"/>
        <w:textAlignment w:val="baseline"/>
        <w:rPr>
          <w:rFonts w:ascii="Montserrat" w:hAnsi="Montserrat"/>
          <w:color w:val="666666"/>
          <w:sz w:val="21"/>
          <w:szCs w:val="21"/>
        </w:rPr>
      </w:pPr>
    </w:p>
    <w:p w14:paraId="711EA8D8"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 </w:t>
      </w:r>
      <w:r w:rsidRPr="009B5230">
        <w:rPr>
          <w:rFonts w:ascii="Montserrat" w:hAnsi="Montserrat"/>
          <w:color w:val="666666"/>
          <w:sz w:val="21"/>
          <w:szCs w:val="21"/>
          <w:highlight w:val="yellow"/>
        </w:rPr>
        <w:t>App developers commonly use this approach to change the way apps interact with databases to run on managed platforms like Google CloudSQL or Amazon RDS</w:t>
      </w:r>
      <w:r>
        <w:rPr>
          <w:rFonts w:ascii="Montserrat" w:hAnsi="Montserrat"/>
          <w:color w:val="666666"/>
          <w:sz w:val="21"/>
          <w:szCs w:val="21"/>
        </w:rPr>
        <w:t>.</w:t>
      </w:r>
    </w:p>
    <w:p w14:paraId="40405CDB"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 </w:t>
      </w:r>
      <w:r>
        <w:rPr>
          <w:rFonts w:ascii="Montserrat" w:hAnsi="Montserrat"/>
          <w:color w:val="666666"/>
          <w:sz w:val="21"/>
          <w:szCs w:val="21"/>
        </w:rPr>
        <w:t>Using re-platforming, applications can benefit from cloud capabilities such as auto-scaling, managed storage and data processing services, and infrastructure as code (IaC). Cost-effective as it does not require significant investments</w:t>
      </w:r>
    </w:p>
    <w:p w14:paraId="0037171A"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lastRenderedPageBreak/>
        <w:t>Cons: </w:t>
      </w:r>
      <w:r>
        <w:rPr>
          <w:rFonts w:ascii="Montserrat" w:hAnsi="Montserrat"/>
          <w:color w:val="666666"/>
          <w:sz w:val="21"/>
          <w:szCs w:val="21"/>
        </w:rPr>
        <w:t>The scope of the work can grow, and changes must be made aggressively.</w:t>
      </w:r>
      <w:r>
        <w:rPr>
          <w:rStyle w:val="Strong"/>
          <w:rFonts w:ascii="Montserrat" w:hAnsi="Montserrat"/>
          <w:color w:val="666666"/>
          <w:sz w:val="21"/>
          <w:szCs w:val="21"/>
          <w:bdr w:val="none" w:sz="0" w:space="0" w:color="auto" w:frame="1"/>
        </w:rPr>
        <w:t> </w:t>
      </w:r>
      <w:r>
        <w:rPr>
          <w:rFonts w:ascii="Montserrat" w:hAnsi="Montserrat"/>
          <w:color w:val="666666"/>
          <w:sz w:val="21"/>
          <w:szCs w:val="21"/>
        </w:rPr>
        <w:t>To run the system in the cloud, some level of automation that provides some level of flexibility is required.</w:t>
      </w:r>
    </w:p>
    <w:p w14:paraId="5C7DF63E" w14:textId="77777777" w:rsidR="009F29B8" w:rsidRDefault="009F29B8" w:rsidP="009F29B8">
      <w:pPr>
        <w:numPr>
          <w:ilvl w:val="0"/>
          <w:numId w:val="3"/>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Refactor</w:t>
      </w:r>
    </w:p>
    <w:p w14:paraId="675C9266"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Refactoring, or a re-architecture, is the process of looking at existing applications and leveraging cloud-native features and services from the coding or architecture perspectives.   This strategy can also be the most worthwhile if you have a good product-market fit despite being expensive. For example, enterprises can leverage Azure SQL Database Managed Instances and Azure Container Service through refactoring when using public clouds such as Microsoft Azure. Additionally, enterprises can help re-architect, refactor, and rebuild their Azure apps using Azure App Service, Azure Functions, and Logic Apps.  </w:t>
      </w:r>
    </w:p>
    <w:p w14:paraId="65692E2A"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w:t>
      </w:r>
      <w:r>
        <w:rPr>
          <w:rFonts w:ascii="Montserrat" w:hAnsi="Montserrat"/>
          <w:color w:val="666666"/>
          <w:sz w:val="21"/>
          <w:szCs w:val="21"/>
        </w:rPr>
        <w:t> </w:t>
      </w:r>
      <w:r w:rsidRPr="00E97CA4">
        <w:rPr>
          <w:rFonts w:ascii="Montserrat" w:hAnsi="Montserrat"/>
          <w:color w:val="666666"/>
          <w:sz w:val="21"/>
          <w:szCs w:val="21"/>
          <w:highlight w:val="yellow"/>
        </w:rPr>
        <w:t>Applications that are business-critical and sensitive, where disruption of ongoing functions is a concern,</w:t>
      </w:r>
      <w:r>
        <w:rPr>
          <w:rFonts w:ascii="Montserrat" w:hAnsi="Montserrat"/>
          <w:color w:val="666666"/>
          <w:sz w:val="21"/>
          <w:szCs w:val="21"/>
        </w:rPr>
        <w:t xml:space="preserve"> but where it is necessary to improve or modernize the infrastructure.</w:t>
      </w:r>
    </w:p>
    <w:p w14:paraId="0F1CFCAB"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w:t>
      </w:r>
      <w:r>
        <w:rPr>
          <w:rFonts w:ascii="Montserrat" w:hAnsi="Montserrat"/>
          <w:color w:val="666666"/>
          <w:sz w:val="21"/>
          <w:szCs w:val="21"/>
        </w:rPr>
        <w:t> It’s quick and easy but allows you to upgrade your infrastructure by integrating DevOps automation and switching to container deployment. </w:t>
      </w:r>
    </w:p>
    <w:p w14:paraId="6615E5D0"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Cons:</w:t>
      </w:r>
      <w:r>
        <w:rPr>
          <w:rFonts w:ascii="Montserrat" w:hAnsi="Montserrat"/>
          <w:color w:val="666666"/>
          <w:sz w:val="21"/>
          <w:szCs w:val="21"/>
        </w:rPr>
        <w:t> </w:t>
      </w:r>
      <w:r w:rsidRPr="00E97CA4">
        <w:rPr>
          <w:rFonts w:ascii="Montserrat" w:hAnsi="Montserrat"/>
          <w:color w:val="666666"/>
          <w:sz w:val="21"/>
          <w:szCs w:val="21"/>
          <w:highlight w:val="yellow"/>
        </w:rPr>
        <w:t>The application cannot be split into microservices</w:t>
      </w:r>
      <w:r>
        <w:rPr>
          <w:rFonts w:ascii="Montserrat" w:hAnsi="Montserrat"/>
          <w:color w:val="666666"/>
          <w:sz w:val="21"/>
          <w:szCs w:val="21"/>
        </w:rPr>
        <w:t>, which can provide significant efficiencies in the cloud</w:t>
      </w:r>
    </w:p>
    <w:p w14:paraId="711E5784" w14:textId="77777777" w:rsidR="009F29B8" w:rsidRDefault="009F29B8" w:rsidP="009F29B8">
      <w:pPr>
        <w:numPr>
          <w:ilvl w:val="0"/>
          <w:numId w:val="4"/>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Retire</w:t>
      </w:r>
    </w:p>
    <w:p w14:paraId="341065EE"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A business needs to identify assets and services that can be retired to focus on widely used services and provide immediate value.</w:t>
      </w:r>
    </w:p>
    <w:p w14:paraId="7423226A"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w:t>
      </w:r>
      <w:r>
        <w:rPr>
          <w:rFonts w:ascii="Montserrat" w:hAnsi="Montserrat"/>
          <w:color w:val="666666"/>
          <w:sz w:val="21"/>
          <w:szCs w:val="21"/>
        </w:rPr>
        <w:t xml:space="preserve"> In cases where the </w:t>
      </w:r>
      <w:r w:rsidRPr="00AC3925">
        <w:rPr>
          <w:rFonts w:ascii="Montserrat" w:hAnsi="Montserrat"/>
          <w:color w:val="666666"/>
          <w:sz w:val="21"/>
          <w:szCs w:val="21"/>
          <w:highlight w:val="yellow"/>
        </w:rPr>
        <w:t>application’s capabilities are redundant or no longer needed</w:t>
      </w:r>
      <w:r>
        <w:rPr>
          <w:rFonts w:ascii="Montserrat" w:hAnsi="Montserrat"/>
          <w:color w:val="666666"/>
          <w:sz w:val="21"/>
          <w:szCs w:val="21"/>
        </w:rPr>
        <w:t>, it makes sense to disable it.  </w:t>
      </w:r>
    </w:p>
    <w:p w14:paraId="02EC3D3D"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w:t>
      </w:r>
      <w:r>
        <w:rPr>
          <w:rFonts w:ascii="Montserrat" w:hAnsi="Montserrat"/>
          <w:color w:val="666666"/>
          <w:sz w:val="21"/>
          <w:szCs w:val="21"/>
        </w:rPr>
        <w:t xml:space="preserve"> An opportunity to eliminate </w:t>
      </w:r>
      <w:r w:rsidRPr="00AC3925">
        <w:rPr>
          <w:rFonts w:ascii="Montserrat" w:hAnsi="Montserrat"/>
          <w:color w:val="666666"/>
          <w:sz w:val="21"/>
          <w:szCs w:val="21"/>
          <w:highlight w:val="yellow"/>
        </w:rPr>
        <w:t>obsolete applications from your portfolio.</w:t>
      </w:r>
      <w:r>
        <w:rPr>
          <w:rFonts w:ascii="Montserrat" w:hAnsi="Montserrat"/>
          <w:color w:val="666666"/>
          <w:sz w:val="21"/>
          <w:szCs w:val="21"/>
        </w:rPr>
        <w:t xml:space="preserve"> Save money and other factors associated with outdated applications.</w:t>
      </w:r>
    </w:p>
    <w:p w14:paraId="3BF60309" w14:textId="77777777" w:rsidR="009F29B8" w:rsidRDefault="009F29B8" w:rsidP="009F29B8">
      <w:pPr>
        <w:numPr>
          <w:ilvl w:val="0"/>
          <w:numId w:val="5"/>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Retain: </w:t>
      </w:r>
    </w:p>
    <w:p w14:paraId="67DF3AC0"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sidRPr="00FE2384">
        <w:rPr>
          <w:rFonts w:ascii="Montserrat" w:hAnsi="Montserrat"/>
          <w:color w:val="666666"/>
          <w:sz w:val="21"/>
          <w:szCs w:val="21"/>
          <w:highlight w:val="yellow"/>
        </w:rPr>
        <w:t>Migration may not be feasible for all applications, platforms, or data</w:t>
      </w:r>
      <w:r>
        <w:rPr>
          <w:rFonts w:ascii="Montserrat" w:hAnsi="Montserrat"/>
          <w:color w:val="666666"/>
          <w:sz w:val="21"/>
          <w:szCs w:val="21"/>
        </w:rPr>
        <w:t xml:space="preserve">. It’s not uncommon for organizations that consider migrating to the public cloud to realize that they’re better suited for </w:t>
      </w:r>
      <w:r w:rsidRPr="00FE2384">
        <w:rPr>
          <w:rFonts w:ascii="Montserrat" w:hAnsi="Montserrat"/>
          <w:color w:val="666666"/>
          <w:sz w:val="21"/>
          <w:szCs w:val="21"/>
          <w:highlight w:val="yellow"/>
        </w:rPr>
        <w:t>hybrid cloud deployment</w:t>
      </w:r>
      <w:r>
        <w:rPr>
          <w:rFonts w:ascii="Montserrat" w:hAnsi="Montserrat"/>
          <w:color w:val="666666"/>
          <w:sz w:val="21"/>
          <w:szCs w:val="21"/>
        </w:rPr>
        <w:t>, as some of their existing architectures are still valuable in-house.</w:t>
      </w:r>
    </w:p>
    <w:p w14:paraId="79DDB75B"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w:t>
      </w:r>
      <w:r>
        <w:rPr>
          <w:rFonts w:ascii="Montserrat" w:hAnsi="Montserrat"/>
          <w:color w:val="666666"/>
          <w:sz w:val="21"/>
          <w:szCs w:val="21"/>
        </w:rPr>
        <w:t>   When organizations deploy hybrid clouds, retaining is often used to maintain business continuity throughout long-term migrations. Heavily invested in on-premises applications, the legacy app is not compatible with the cloud and works well on-prem.</w:t>
      </w:r>
    </w:p>
    <w:p w14:paraId="49D01592"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 </w:t>
      </w:r>
      <w:r>
        <w:rPr>
          <w:rFonts w:ascii="Montserrat" w:hAnsi="Montserrat"/>
          <w:color w:val="666666"/>
          <w:sz w:val="21"/>
          <w:szCs w:val="21"/>
        </w:rPr>
        <w:t>Revisits complex apps later</w:t>
      </w:r>
    </w:p>
    <w:p w14:paraId="4ED85116" w14:textId="77777777" w:rsidR="009F29B8" w:rsidRDefault="009F29B8" w:rsidP="009F29B8">
      <w:pPr>
        <w:numPr>
          <w:ilvl w:val="0"/>
          <w:numId w:val="6"/>
        </w:numPr>
        <w:spacing w:after="0" w:line="390" w:lineRule="atLeast"/>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Repurchase:</w:t>
      </w:r>
    </w:p>
    <w:p w14:paraId="5BABAB08"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Fonts w:ascii="Montserrat" w:hAnsi="Montserrat"/>
          <w:color w:val="666666"/>
          <w:sz w:val="21"/>
          <w:szCs w:val="21"/>
        </w:rPr>
        <w:t xml:space="preserve">An organization may decide to switch to another product, ending current licensing and repurposing services on a new platform. Typically, moving to </w:t>
      </w:r>
      <w:r w:rsidRPr="00FE2384">
        <w:rPr>
          <w:rFonts w:ascii="Montserrat" w:hAnsi="Montserrat"/>
          <w:color w:val="666666"/>
          <w:sz w:val="21"/>
          <w:szCs w:val="21"/>
          <w:highlight w:val="yellow"/>
        </w:rPr>
        <w:t>SaaS (Software as a Service</w:t>
      </w:r>
      <w:r>
        <w:rPr>
          <w:rFonts w:ascii="Montserrat" w:hAnsi="Montserrat"/>
          <w:color w:val="666666"/>
          <w:sz w:val="21"/>
          <w:szCs w:val="21"/>
        </w:rPr>
        <w:t>) is the solution. Essentially, it involves changing your licensing agreement with the cloud provider; you stop the on-premises license and take on a new one with the cloud provider.</w:t>
      </w:r>
    </w:p>
    <w:p w14:paraId="63CD3D47"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Ideal for: </w:t>
      </w:r>
      <w:r w:rsidRPr="00502B3E">
        <w:rPr>
          <w:rFonts w:ascii="Montserrat" w:hAnsi="Montserrat"/>
          <w:color w:val="666666"/>
          <w:sz w:val="21"/>
          <w:szCs w:val="21"/>
          <w:highlight w:val="yellow"/>
        </w:rPr>
        <w:t>You are replacing software for standard functions like finance</w:t>
      </w:r>
      <w:r>
        <w:rPr>
          <w:rFonts w:ascii="Montserrat" w:hAnsi="Montserrat"/>
          <w:color w:val="666666"/>
          <w:sz w:val="21"/>
          <w:szCs w:val="21"/>
        </w:rPr>
        <w:t>, accounting, CRM, human resource management, ERP, email, content management systems, etc. Legacy applications that are not compatible with cloud services.</w:t>
      </w:r>
    </w:p>
    <w:p w14:paraId="53B4B1CC"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Pros: </w:t>
      </w:r>
      <w:r>
        <w:rPr>
          <w:rFonts w:ascii="Montserrat" w:hAnsi="Montserrat"/>
          <w:color w:val="666666"/>
          <w:sz w:val="21"/>
          <w:szCs w:val="21"/>
        </w:rPr>
        <w:t>Cloud-based apps are now more efficient, and app storage and maintenance costs can be reduced.</w:t>
      </w:r>
    </w:p>
    <w:p w14:paraId="5615B341" w14:textId="77777777" w:rsidR="009F29B8" w:rsidRDefault="009F29B8" w:rsidP="009F29B8">
      <w:pPr>
        <w:pStyle w:val="NormalWeb"/>
        <w:shd w:val="clear" w:color="auto" w:fill="FFFFFF"/>
        <w:spacing w:before="0" w:beforeAutospacing="0" w:after="0" w:afterAutospacing="0"/>
        <w:textAlignment w:val="baseline"/>
        <w:rPr>
          <w:rFonts w:ascii="Montserrat" w:hAnsi="Montserrat"/>
          <w:color w:val="666666"/>
          <w:sz w:val="21"/>
          <w:szCs w:val="21"/>
        </w:rPr>
      </w:pPr>
      <w:r>
        <w:rPr>
          <w:rStyle w:val="Strong"/>
          <w:rFonts w:ascii="Montserrat" w:hAnsi="Montserrat"/>
          <w:color w:val="666666"/>
          <w:sz w:val="21"/>
          <w:szCs w:val="21"/>
          <w:bdr w:val="none" w:sz="0" w:space="0" w:color="auto" w:frame="1"/>
        </w:rPr>
        <w:t>Cons: </w:t>
      </w:r>
      <w:r>
        <w:rPr>
          <w:rFonts w:ascii="Montserrat" w:hAnsi="Montserrat"/>
          <w:color w:val="666666"/>
          <w:sz w:val="21"/>
          <w:szCs w:val="21"/>
        </w:rPr>
        <w:t>When repurchasing, you might face training staff and vendor lock-in challenges. Cloud-based platforms are less customizable and offer less control.</w:t>
      </w:r>
    </w:p>
    <w:p w14:paraId="1A40B280" w14:textId="77777777" w:rsidR="005F5EB3" w:rsidRDefault="005F5EB3"/>
    <w:p w14:paraId="3F1D8F88" w14:textId="77777777" w:rsidR="00A07768" w:rsidRDefault="00A07768"/>
    <w:p w14:paraId="55BB40FD" w14:textId="77777777" w:rsidR="00B1133F" w:rsidRDefault="00B1133F">
      <w:pPr>
        <w:rPr>
          <w:noProof/>
        </w:rPr>
      </w:pPr>
    </w:p>
    <w:p w14:paraId="5619342B" w14:textId="77777777" w:rsidR="00B1133F" w:rsidRDefault="00B1133F">
      <w:pPr>
        <w:rPr>
          <w:noProof/>
        </w:rPr>
      </w:pPr>
    </w:p>
    <w:p w14:paraId="507BE783" w14:textId="77777777" w:rsidR="00B1133F" w:rsidRDefault="00B1133F">
      <w:pPr>
        <w:rPr>
          <w:noProof/>
        </w:rPr>
      </w:pPr>
    </w:p>
    <w:p w14:paraId="4BFC7BC3" w14:textId="77777777" w:rsidR="00B1133F" w:rsidRDefault="00B1133F">
      <w:pPr>
        <w:rPr>
          <w:noProof/>
        </w:rPr>
      </w:pPr>
    </w:p>
    <w:p w14:paraId="0DB3DB8D" w14:textId="77777777" w:rsidR="00B1133F" w:rsidRDefault="00B1133F">
      <w:pPr>
        <w:rPr>
          <w:noProof/>
        </w:rPr>
      </w:pPr>
    </w:p>
    <w:p w14:paraId="2047B8B5" w14:textId="77777777" w:rsidR="00B1133F" w:rsidRDefault="00B1133F">
      <w:pPr>
        <w:rPr>
          <w:noProof/>
        </w:rPr>
      </w:pPr>
    </w:p>
    <w:p w14:paraId="758DE206" w14:textId="77777777" w:rsidR="00B1133F" w:rsidRDefault="00B1133F">
      <w:pPr>
        <w:rPr>
          <w:noProof/>
        </w:rPr>
      </w:pPr>
    </w:p>
    <w:p w14:paraId="2936453B" w14:textId="77777777" w:rsidR="00B1133F" w:rsidRDefault="00B1133F">
      <w:pPr>
        <w:rPr>
          <w:noProof/>
        </w:rPr>
      </w:pPr>
    </w:p>
    <w:p w14:paraId="76375E1E" w14:textId="5F24FE22" w:rsidR="00A07768" w:rsidRDefault="00A07768">
      <w:r>
        <w:rPr>
          <w:noProof/>
        </w:rPr>
        <w:drawing>
          <wp:inline distT="0" distB="0" distL="0" distR="0" wp14:anchorId="4F9FD94A" wp14:editId="4F5A175D">
            <wp:extent cx="5622520" cy="1850746"/>
            <wp:effectExtent l="0" t="0" r="0" b="0"/>
            <wp:docPr id="204459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95873" name=""/>
                    <pic:cNvPicPr/>
                  </pic:nvPicPr>
                  <pic:blipFill>
                    <a:blip r:embed="rId9"/>
                    <a:stretch>
                      <a:fillRect/>
                    </a:stretch>
                  </pic:blipFill>
                  <pic:spPr>
                    <a:xfrm>
                      <a:off x="0" y="0"/>
                      <a:ext cx="5680830" cy="1869940"/>
                    </a:xfrm>
                    <a:prstGeom prst="rect">
                      <a:avLst/>
                    </a:prstGeom>
                  </pic:spPr>
                </pic:pic>
              </a:graphicData>
            </a:graphic>
          </wp:inline>
        </w:drawing>
      </w:r>
    </w:p>
    <w:p w14:paraId="6F8C32C7" w14:textId="77777777" w:rsidR="003E6A15" w:rsidRDefault="003E6A15"/>
    <w:p w14:paraId="38252DE7" w14:textId="77777777" w:rsidR="003E6A15" w:rsidRDefault="003E6A15"/>
    <w:p w14:paraId="20843F46" w14:textId="605F97B4" w:rsidR="003E6A15" w:rsidRDefault="003E6A15">
      <w:hyperlink r:id="rId10" w:history="1">
        <w:r w:rsidRPr="00A02CC6">
          <w:rPr>
            <w:rStyle w:val="Hyperlink"/>
          </w:rPr>
          <w:t>https://medium.com/the-modern-scientist/data-ingestion-part-2-tool-selection-strategy-07c6ca7aeddb</w:t>
        </w:r>
      </w:hyperlink>
    </w:p>
    <w:p w14:paraId="6F847DE8" w14:textId="3F1C6AD7" w:rsidR="003E6A15" w:rsidRDefault="002C44E5">
      <w:r>
        <w:rPr>
          <w:noProof/>
        </w:rPr>
        <w:drawing>
          <wp:inline distT="0" distB="0" distL="0" distR="0" wp14:anchorId="403B95BE" wp14:editId="1E386054">
            <wp:extent cx="5127955" cy="2340999"/>
            <wp:effectExtent l="0" t="0" r="0" b="2540"/>
            <wp:docPr id="2209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44466" name=""/>
                    <pic:cNvPicPr/>
                  </pic:nvPicPr>
                  <pic:blipFill>
                    <a:blip r:embed="rId11"/>
                    <a:stretch>
                      <a:fillRect/>
                    </a:stretch>
                  </pic:blipFill>
                  <pic:spPr>
                    <a:xfrm>
                      <a:off x="0" y="0"/>
                      <a:ext cx="5133975" cy="2343747"/>
                    </a:xfrm>
                    <a:prstGeom prst="rect">
                      <a:avLst/>
                    </a:prstGeom>
                  </pic:spPr>
                </pic:pic>
              </a:graphicData>
            </a:graphic>
          </wp:inline>
        </w:drawing>
      </w:r>
    </w:p>
    <w:p w14:paraId="32079126" w14:textId="77777777" w:rsidR="003E0F5C" w:rsidRDefault="003E0F5C"/>
    <w:p w14:paraId="3A8291A7" w14:textId="0F2A3F33" w:rsidR="003E0F5C" w:rsidRDefault="003E0F5C">
      <w:r>
        <w:rPr>
          <w:noProof/>
        </w:rPr>
        <w:drawing>
          <wp:inline distT="0" distB="0" distL="0" distR="0" wp14:anchorId="62C74724" wp14:editId="2375B77E">
            <wp:extent cx="5943600" cy="2697480"/>
            <wp:effectExtent l="0" t="0" r="0" b="7620"/>
            <wp:docPr id="58183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30262" name=""/>
                    <pic:cNvPicPr/>
                  </pic:nvPicPr>
                  <pic:blipFill>
                    <a:blip r:embed="rId12"/>
                    <a:stretch>
                      <a:fillRect/>
                    </a:stretch>
                  </pic:blipFill>
                  <pic:spPr>
                    <a:xfrm>
                      <a:off x="0" y="0"/>
                      <a:ext cx="5943600" cy="2697480"/>
                    </a:xfrm>
                    <a:prstGeom prst="rect">
                      <a:avLst/>
                    </a:prstGeom>
                  </pic:spPr>
                </pic:pic>
              </a:graphicData>
            </a:graphic>
          </wp:inline>
        </w:drawing>
      </w:r>
    </w:p>
    <w:p w14:paraId="64774CB4" w14:textId="77777777" w:rsidR="00341B74" w:rsidRDefault="00341B74"/>
    <w:p w14:paraId="0FA242B0" w14:textId="77777777" w:rsidR="00341B74" w:rsidRDefault="00341B74"/>
    <w:p w14:paraId="15EF99C9" w14:textId="7C9E232F" w:rsidR="00341B74" w:rsidRDefault="00341B74">
      <w:hyperlink r:id="rId13" w:history="1">
        <w:r w:rsidRPr="00A02CC6">
          <w:rPr>
            <w:rStyle w:val="Hyperlink"/>
          </w:rPr>
          <w:t>https://blogs.oracle.com/analytics/post/increase-data-literacy-and-accelerate-self-service-analytics-with-data-catalog</w:t>
        </w:r>
      </w:hyperlink>
    </w:p>
    <w:p w14:paraId="19520EC5" w14:textId="65AEB026" w:rsidR="00341B74" w:rsidRDefault="009D13B9">
      <w:r>
        <w:rPr>
          <w:noProof/>
        </w:rPr>
        <w:drawing>
          <wp:inline distT="0" distB="0" distL="0" distR="0" wp14:anchorId="79A89DBC" wp14:editId="6E49AE89">
            <wp:extent cx="5057910" cy="3288182"/>
            <wp:effectExtent l="0" t="0" r="0" b="7620"/>
            <wp:docPr id="3644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9359" name=""/>
                    <pic:cNvPicPr/>
                  </pic:nvPicPr>
                  <pic:blipFill>
                    <a:blip r:embed="rId14"/>
                    <a:stretch>
                      <a:fillRect/>
                    </a:stretch>
                  </pic:blipFill>
                  <pic:spPr>
                    <a:xfrm>
                      <a:off x="0" y="0"/>
                      <a:ext cx="5060951" cy="3290159"/>
                    </a:xfrm>
                    <a:prstGeom prst="rect">
                      <a:avLst/>
                    </a:prstGeom>
                  </pic:spPr>
                </pic:pic>
              </a:graphicData>
            </a:graphic>
          </wp:inline>
        </w:drawing>
      </w:r>
    </w:p>
    <w:p w14:paraId="42F2347D" w14:textId="77777777" w:rsidR="00D61B16" w:rsidRDefault="00D61B16"/>
    <w:p w14:paraId="53840F2E" w14:textId="77777777" w:rsidR="00D61B16" w:rsidRDefault="00D61B16"/>
    <w:p w14:paraId="20C950F8" w14:textId="790AB8FC" w:rsidR="00D61B16" w:rsidRDefault="00D61B16">
      <w:r>
        <w:rPr>
          <w:noProof/>
        </w:rPr>
        <w:lastRenderedPageBreak/>
        <w:drawing>
          <wp:inline distT="0" distB="0" distL="0" distR="0" wp14:anchorId="2B67A724" wp14:editId="2F305957">
            <wp:extent cx="5943600" cy="2218055"/>
            <wp:effectExtent l="0" t="0" r="0" b="0"/>
            <wp:docPr id="19502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31054" name=""/>
                    <pic:cNvPicPr/>
                  </pic:nvPicPr>
                  <pic:blipFill>
                    <a:blip r:embed="rId15"/>
                    <a:stretch>
                      <a:fillRect/>
                    </a:stretch>
                  </pic:blipFill>
                  <pic:spPr>
                    <a:xfrm>
                      <a:off x="0" y="0"/>
                      <a:ext cx="5943600" cy="2218055"/>
                    </a:xfrm>
                    <a:prstGeom prst="rect">
                      <a:avLst/>
                    </a:prstGeom>
                  </pic:spPr>
                </pic:pic>
              </a:graphicData>
            </a:graphic>
          </wp:inline>
        </w:drawing>
      </w:r>
    </w:p>
    <w:p w14:paraId="70B9781F" w14:textId="77777777" w:rsidR="005C00AF" w:rsidRDefault="005C00AF"/>
    <w:p w14:paraId="0448A67C" w14:textId="5ECD37C0" w:rsidR="005C00AF" w:rsidRDefault="005C00AF">
      <w:pPr>
        <w:rPr>
          <w:rFonts w:ascii="Arial" w:hAnsi="Arial" w:cs="Arial"/>
          <w:color w:val="000000"/>
          <w:sz w:val="21"/>
          <w:szCs w:val="21"/>
          <w:shd w:val="clear" w:color="auto" w:fill="FFFFFF"/>
        </w:rPr>
      </w:pPr>
      <w:r>
        <w:rPr>
          <w:rFonts w:ascii="Arial" w:hAnsi="Arial" w:cs="Arial"/>
          <w:color w:val="000000"/>
          <w:sz w:val="21"/>
          <w:szCs w:val="21"/>
          <w:shd w:val="clear" w:color="auto" w:fill="FFFFFF"/>
        </w:rPr>
        <w:t>Building a data platform from scratch can present several challenges, but there are ways to accelerate and modernize the data solution: One key issue to consider is whether to build a data platform from scratch or leverage existing cloud-based data solutions. Building from scratch offers more customization but requires significant time and resources, while cloud-based solutions provide faster deployment and scalability. To accelerate the modernization of a data solution, organizations can explore low-code/no-code platforms, pre-built data connectors, and automated data pipeline tools. These can help streamline the development process and reduce the need for extensive custom coding.</w:t>
      </w:r>
    </w:p>
    <w:p w14:paraId="2B0F9055" w14:textId="77777777" w:rsidR="001A0205" w:rsidRDefault="001A0205">
      <w:pPr>
        <w:rPr>
          <w:rFonts w:ascii="Arial" w:hAnsi="Arial" w:cs="Arial"/>
          <w:color w:val="000000"/>
          <w:sz w:val="21"/>
          <w:szCs w:val="21"/>
          <w:shd w:val="clear" w:color="auto" w:fill="FFFFFF"/>
        </w:rPr>
      </w:pPr>
    </w:p>
    <w:p w14:paraId="18C6AEA2" w14:textId="77777777" w:rsidR="00813D34" w:rsidRDefault="00813D34" w:rsidP="00813D34">
      <w:pPr>
        <w:pStyle w:val="truncate"/>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Modernize Legacy Systems</w:t>
      </w:r>
    </w:p>
    <w:p w14:paraId="7C7C4FCC" w14:textId="77777777" w:rsidR="001A0205" w:rsidRDefault="001A0205">
      <w:pPr>
        <w:rPr>
          <w:rFonts w:ascii="Arial" w:hAnsi="Arial" w:cs="Arial"/>
          <w:color w:val="000000"/>
          <w:sz w:val="21"/>
          <w:szCs w:val="21"/>
          <w:shd w:val="clear" w:color="auto" w:fill="FFFFFF"/>
        </w:rPr>
      </w:pPr>
    </w:p>
    <w:p w14:paraId="1CBAB77E" w14:textId="77777777" w:rsidR="001A0205" w:rsidRDefault="001A0205"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rFonts w:ascii="Arial" w:hAnsi="Arial" w:cs="Arial"/>
          <w:color w:val="000000"/>
        </w:rPr>
        <w:t>Modernizing legacy systems involves updating or replacing outdated technology, software, and infrastructure to improve functionality, efficiency, and compatibility with newer systems. This process helps organizations adapt to changing business needs, take advantage of modern capabilities, and reduce the risks associated with relying on aging, unsupported legacy technologies.</w:t>
      </w:r>
    </w:p>
    <w:p w14:paraId="125E86F0" w14:textId="77777777" w:rsidR="00863688" w:rsidRDefault="00863688"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66A2277E" w14:textId="77777777" w:rsidR="00863688" w:rsidRDefault="00863688"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150C72B9" w14:textId="1317200B" w:rsidR="00863688" w:rsidRDefault="00863688"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noProof/>
        </w:rPr>
        <w:lastRenderedPageBreak/>
        <w:drawing>
          <wp:inline distT="0" distB="0" distL="0" distR="0" wp14:anchorId="7934FE30" wp14:editId="3803B16D">
            <wp:extent cx="5943600" cy="3491230"/>
            <wp:effectExtent l="0" t="0" r="0" b="0"/>
            <wp:docPr id="48124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5597" name=""/>
                    <pic:cNvPicPr/>
                  </pic:nvPicPr>
                  <pic:blipFill>
                    <a:blip r:embed="rId16"/>
                    <a:stretch>
                      <a:fillRect/>
                    </a:stretch>
                  </pic:blipFill>
                  <pic:spPr>
                    <a:xfrm>
                      <a:off x="0" y="0"/>
                      <a:ext cx="5943600" cy="3491230"/>
                    </a:xfrm>
                    <a:prstGeom prst="rect">
                      <a:avLst/>
                    </a:prstGeom>
                  </pic:spPr>
                </pic:pic>
              </a:graphicData>
            </a:graphic>
          </wp:inline>
        </w:drawing>
      </w:r>
    </w:p>
    <w:p w14:paraId="16F346AE" w14:textId="77777777" w:rsidR="00863688" w:rsidRDefault="00863688" w:rsidP="00863688">
      <w:pPr>
        <w:pStyle w:val="truncate"/>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Modernize Legacy Systems</w:t>
      </w:r>
    </w:p>
    <w:p w14:paraId="0B9299E4" w14:textId="60B2B8AA" w:rsidR="00863688" w:rsidRDefault="0035752A"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noProof/>
        </w:rPr>
        <w:drawing>
          <wp:inline distT="0" distB="0" distL="0" distR="0" wp14:anchorId="436339C2" wp14:editId="2C4343E7">
            <wp:extent cx="5943600" cy="2714625"/>
            <wp:effectExtent l="0" t="0" r="0" b="9525"/>
            <wp:docPr id="51758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88989" name=""/>
                    <pic:cNvPicPr/>
                  </pic:nvPicPr>
                  <pic:blipFill>
                    <a:blip r:embed="rId17"/>
                    <a:stretch>
                      <a:fillRect/>
                    </a:stretch>
                  </pic:blipFill>
                  <pic:spPr>
                    <a:xfrm>
                      <a:off x="0" y="0"/>
                      <a:ext cx="5943600" cy="2714625"/>
                    </a:xfrm>
                    <a:prstGeom prst="rect">
                      <a:avLst/>
                    </a:prstGeom>
                  </pic:spPr>
                </pic:pic>
              </a:graphicData>
            </a:graphic>
          </wp:inline>
        </w:drawing>
      </w:r>
    </w:p>
    <w:p w14:paraId="3D339718" w14:textId="77777777" w:rsidR="009124E5" w:rsidRDefault="009124E5" w:rsidP="009124E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rFonts w:ascii="Arial" w:hAnsi="Arial" w:cs="Arial"/>
          <w:color w:val="000000"/>
        </w:rPr>
        <w:t xml:space="preserve">Historical Time Series Data System Problems: Legacy market data systems often struggle to efficiently manage and store large volumes of historical time series data. This can lead to performance issues and challenges in accessing and analyzing past market information. Modernizing Legacy Market Data Systems: To address the challenges of legacy market data systems, organizations are working to modernize their infrastructure. This typically involves migrating to more scalable, cloud-based platforms that can handle growing data volumes and provide faster access to historical </w:t>
      </w:r>
      <w:r>
        <w:rPr>
          <w:rFonts w:ascii="Arial" w:hAnsi="Arial" w:cs="Arial"/>
          <w:color w:val="000000"/>
        </w:rPr>
        <w:lastRenderedPageBreak/>
        <w:t>information. Market Data System Migration Challenges: Migrating market data systems to modern platforms presents various challenges, such as data mapping, system integration, and ensuring seamless continuity of market data delivery during the transition. Careful planning and execution are crucial to minimize disruptions.</w:t>
      </w:r>
    </w:p>
    <w:p w14:paraId="76C9F3F3" w14:textId="77777777" w:rsidR="00863688" w:rsidRDefault="00863688"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37282037" w14:textId="77777777" w:rsidR="009124E5" w:rsidRDefault="009124E5"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629736FE" w14:textId="163546D7" w:rsidR="009124E5" w:rsidRDefault="00DA5A2F"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noProof/>
        </w:rPr>
        <w:drawing>
          <wp:inline distT="0" distB="0" distL="0" distR="0" wp14:anchorId="14EB644D" wp14:editId="60649250">
            <wp:extent cx="5943600" cy="2096770"/>
            <wp:effectExtent l="0" t="0" r="0" b="0"/>
            <wp:docPr id="17313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878" name=""/>
                    <pic:cNvPicPr/>
                  </pic:nvPicPr>
                  <pic:blipFill>
                    <a:blip r:embed="rId18"/>
                    <a:stretch>
                      <a:fillRect/>
                    </a:stretch>
                  </pic:blipFill>
                  <pic:spPr>
                    <a:xfrm>
                      <a:off x="0" y="0"/>
                      <a:ext cx="5943600" cy="2096770"/>
                    </a:xfrm>
                    <a:prstGeom prst="rect">
                      <a:avLst/>
                    </a:prstGeom>
                  </pic:spPr>
                </pic:pic>
              </a:graphicData>
            </a:graphic>
          </wp:inline>
        </w:drawing>
      </w:r>
    </w:p>
    <w:p w14:paraId="7C5546F6" w14:textId="70517479" w:rsidR="00863688" w:rsidRDefault="00F35A93"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r>
        <w:rPr>
          <w:noProof/>
        </w:rPr>
        <w:drawing>
          <wp:inline distT="0" distB="0" distL="0" distR="0" wp14:anchorId="7FEE3B37" wp14:editId="1D57E618">
            <wp:extent cx="5943600" cy="3239135"/>
            <wp:effectExtent l="0" t="0" r="0" b="0"/>
            <wp:docPr id="19982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613" name=""/>
                    <pic:cNvPicPr/>
                  </pic:nvPicPr>
                  <pic:blipFill>
                    <a:blip r:embed="rId19"/>
                    <a:stretch>
                      <a:fillRect/>
                    </a:stretch>
                  </pic:blipFill>
                  <pic:spPr>
                    <a:xfrm>
                      <a:off x="0" y="0"/>
                      <a:ext cx="5943600" cy="3239135"/>
                    </a:xfrm>
                    <a:prstGeom prst="rect">
                      <a:avLst/>
                    </a:prstGeom>
                  </pic:spPr>
                </pic:pic>
              </a:graphicData>
            </a:graphic>
          </wp:inline>
        </w:drawing>
      </w:r>
    </w:p>
    <w:p w14:paraId="034BE678" w14:textId="77777777" w:rsidR="00DA5A2F" w:rsidRDefault="00DA5A2F"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3B97B898" w14:textId="77777777" w:rsidR="00DA5A2F" w:rsidRDefault="00DA5A2F"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2F87DF08" w14:textId="77777777" w:rsidR="00863688" w:rsidRDefault="00863688" w:rsidP="001A0205">
      <w:pPr>
        <w:pStyle w:val="mt-2"/>
        <w:pBdr>
          <w:top w:val="single" w:sz="2" w:space="0" w:color="E5E7EB"/>
          <w:left w:val="single" w:sz="2" w:space="0" w:color="E5E7EB"/>
          <w:bottom w:val="single" w:sz="2" w:space="0" w:color="E5E7EB"/>
          <w:right w:val="single" w:sz="2" w:space="0" w:color="E5E7EB"/>
        </w:pBdr>
        <w:rPr>
          <w:rFonts w:ascii="Arial" w:hAnsi="Arial" w:cs="Arial"/>
          <w:color w:val="000000"/>
        </w:rPr>
      </w:pPr>
    </w:p>
    <w:p w14:paraId="6E9B1E6D" w14:textId="77777777" w:rsidR="00E66DFF" w:rsidRDefault="00E66DFF" w:rsidP="00E66DF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Montserrat" w:hAnsi="Montserrat"/>
          <w:color w:val="000000"/>
          <w:sz w:val="30"/>
          <w:szCs w:val="30"/>
        </w:rPr>
      </w:pPr>
      <w:r>
        <w:rPr>
          <w:rStyle w:val="Strong"/>
          <w:rFonts w:ascii="Montserrat" w:hAnsi="Montserrat" w:cs="Arial"/>
          <w:color w:val="000000"/>
          <w:sz w:val="30"/>
          <w:szCs w:val="30"/>
          <w:bdr w:val="single" w:sz="2" w:space="0" w:color="E5E7EB" w:frame="1"/>
        </w:rPr>
        <w:lastRenderedPageBreak/>
        <w:t>4) JPMorgan leverages Big Data Analytics to give a clear perspective of Credit Market Data</w:t>
      </w:r>
    </w:p>
    <w:p w14:paraId="4FEB3774" w14:textId="77777777" w:rsidR="00E66DFF" w:rsidRDefault="00E66DFF" w:rsidP="00E66DF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Montserrat" w:hAnsi="Montserrat"/>
          <w:color w:val="000000"/>
          <w:sz w:val="30"/>
          <w:szCs w:val="30"/>
        </w:rPr>
      </w:pPr>
      <w:r>
        <w:rPr>
          <w:rFonts w:ascii="Arial" w:hAnsi="Arial" w:cs="Arial"/>
          <w:color w:val="000000"/>
          <w:sz w:val="30"/>
          <w:szCs w:val="30"/>
          <w:bdr w:val="single" w:sz="2" w:space="0" w:color="E5E7EB" w:frame="1"/>
        </w:rPr>
        <w:t>There are huge amounts of credit market data. Visualizing and understanding the massive amounts of credit data using traditional techniques like charts, tables and document repositories is difficult as it does not give a clear perspective. It does not help the bank to be responsive to potential investment opportunities.</w:t>
      </w:r>
    </w:p>
    <w:p w14:paraId="0DBB40B9" w14:textId="77777777" w:rsidR="00E66DFF" w:rsidRDefault="00E66DFF" w:rsidP="00E66DF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Montserrat" w:hAnsi="Montserrat"/>
          <w:color w:val="000000"/>
          <w:sz w:val="30"/>
          <w:szCs w:val="30"/>
        </w:rPr>
      </w:pPr>
      <w:r>
        <w:rPr>
          <w:rFonts w:ascii="Arial" w:hAnsi="Arial" w:cs="Arial"/>
          <w:color w:val="000000"/>
          <w:sz w:val="30"/>
          <w:szCs w:val="30"/>
          <w:bdr w:val="single" w:sz="2" w:space="0" w:color="E5E7EB" w:frame="1"/>
        </w:rPr>
        <w:t>Earlier, JPMorgan customers could get a perspective of the bond market report by reading text reports or viewing tables with statistical information but with the ever increasing volume of data, it was difficult to provide JPMorgan customers with clear insights on market </w:t>
      </w:r>
      <w:hyperlink r:id="rId20" w:tgtFrame="_blank" w:tooltip="trends" w:history="1">
        <w:r>
          <w:rPr>
            <w:rStyle w:val="Hyperlink"/>
            <w:rFonts w:ascii="Montserrat" w:hAnsi="Montserrat" w:cs="Arial"/>
            <w:color w:val="184CD1"/>
            <w:sz w:val="30"/>
            <w:szCs w:val="30"/>
            <w:bdr w:val="single" w:sz="2" w:space="0" w:color="E5E7EB" w:frame="1"/>
          </w:rPr>
          <w:t>trends</w:t>
        </w:r>
      </w:hyperlink>
      <w:r>
        <w:rPr>
          <w:rFonts w:ascii="Arial" w:hAnsi="Arial" w:cs="Arial"/>
          <w:color w:val="000000"/>
          <w:sz w:val="30"/>
          <w:szCs w:val="30"/>
          <w:bdr w:val="single" w:sz="2" w:space="0" w:color="E5E7EB" w:frame="1"/>
        </w:rPr>
        <w:t xml:space="preserve">. To provide valuable and intuitive services to customers JPMorgan leverages big data analytics through its “CreditMap” application that’s uses </w:t>
      </w:r>
      <w:r w:rsidRPr="00E66DFF">
        <w:rPr>
          <w:rFonts w:ascii="Arial" w:hAnsi="Arial" w:cs="Arial"/>
          <w:color w:val="000000"/>
          <w:sz w:val="30"/>
          <w:szCs w:val="30"/>
          <w:highlight w:val="yellow"/>
          <w:bdr w:val="single" w:sz="2" w:space="0" w:color="E5E7EB" w:frame="1"/>
        </w:rPr>
        <w:t>Datawatch platform</w:t>
      </w:r>
      <w:r>
        <w:rPr>
          <w:rFonts w:ascii="Arial" w:hAnsi="Arial" w:cs="Arial"/>
          <w:color w:val="000000"/>
          <w:sz w:val="30"/>
          <w:szCs w:val="30"/>
          <w:bdr w:val="single" w:sz="2" w:space="0" w:color="E5E7EB" w:frame="1"/>
        </w:rPr>
        <w:t xml:space="preserve"> to provide customers with accurate and faster real-time managed analytics. The new Datawatch analytics platform helps customers view and analyse information by using colour, size and proximity according to their needs with an easy to use interface.</w:t>
      </w:r>
    </w:p>
    <w:p w14:paraId="63AEBC0B" w14:textId="77777777" w:rsidR="00E66DFF" w:rsidRDefault="00E66DFF" w:rsidP="00E66DF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Montserrat" w:hAnsi="Montserrat"/>
          <w:color w:val="000000"/>
          <w:sz w:val="30"/>
          <w:szCs w:val="30"/>
        </w:rPr>
      </w:pPr>
      <w:r>
        <w:rPr>
          <w:rFonts w:ascii="Arial" w:hAnsi="Arial" w:cs="Arial"/>
          <w:color w:val="000000"/>
          <w:sz w:val="30"/>
          <w:szCs w:val="30"/>
          <w:bdr w:val="single" w:sz="2" w:space="0" w:color="E5E7EB" w:frame="1"/>
        </w:rPr>
        <w:t>JPMorgan won the Euromoney award for “Best Online Fixed Income Research” using the “</w:t>
      </w:r>
      <w:r w:rsidRPr="00E66DFF">
        <w:rPr>
          <w:rFonts w:ascii="Arial" w:hAnsi="Arial" w:cs="Arial"/>
          <w:color w:val="000000"/>
          <w:sz w:val="30"/>
          <w:szCs w:val="30"/>
          <w:highlight w:val="yellow"/>
          <w:bdr w:val="single" w:sz="2" w:space="0" w:color="E5E7EB" w:frame="1"/>
        </w:rPr>
        <w:t>CreditMap</w:t>
      </w:r>
      <w:r>
        <w:rPr>
          <w:rFonts w:ascii="Arial" w:hAnsi="Arial" w:cs="Arial"/>
          <w:color w:val="000000"/>
          <w:sz w:val="30"/>
          <w:szCs w:val="30"/>
          <w:bdr w:val="single" w:sz="2" w:space="0" w:color="E5E7EB" w:frame="1"/>
        </w:rPr>
        <w:t>” solution as it successfully bridged the gap between providing informative research and valuable analytics to its customers.</w:t>
      </w:r>
    </w:p>
    <w:p w14:paraId="4170CCBC" w14:textId="77777777" w:rsidR="00E66DFF" w:rsidRDefault="00E66DFF" w:rsidP="00E66DF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rFonts w:ascii="Montserrat" w:hAnsi="Montserrat"/>
          <w:color w:val="000000"/>
          <w:sz w:val="30"/>
          <w:szCs w:val="30"/>
        </w:rPr>
      </w:pPr>
      <w:r>
        <w:rPr>
          <w:rFonts w:ascii="Arial" w:hAnsi="Arial" w:cs="Arial"/>
          <w:color w:val="000000"/>
          <w:sz w:val="30"/>
          <w:szCs w:val="30"/>
          <w:bdr w:val="single" w:sz="2" w:space="0" w:color="E5E7EB" w:frame="1"/>
        </w:rPr>
        <w:t>“Datawatch has greatly enhanced our user’s ability to visualize the credit markets and utilize analytics- it is an important contributing factor to us winning the Euromoney Award.”-said Lee McGinty, Head of European Portfolio at JPMorgan.</w:t>
      </w:r>
    </w:p>
    <w:p w14:paraId="1F6B20DD" w14:textId="77777777" w:rsidR="00E66DFF" w:rsidRDefault="00E66DFF" w:rsidP="00E66DFF">
      <w:pPr>
        <w:pStyle w:val="banner-title-head"/>
        <w:pBdr>
          <w:top w:val="single" w:sz="2" w:space="15" w:color="E5E7EB"/>
          <w:left w:val="single" w:sz="2" w:space="0" w:color="E5E7EB"/>
          <w:bottom w:val="single" w:sz="2" w:space="0" w:color="E5E7EB"/>
          <w:right w:val="single" w:sz="2" w:space="0" w:color="E5E7EB"/>
        </w:pBdr>
        <w:spacing w:before="150" w:beforeAutospacing="0" w:after="150" w:afterAutospacing="0"/>
        <w:jc w:val="center"/>
        <w:rPr>
          <w:rFonts w:ascii="Montserrat" w:hAnsi="Montserrat"/>
          <w:color w:val="000000"/>
          <w:sz w:val="30"/>
          <w:szCs w:val="30"/>
        </w:rPr>
      </w:pPr>
      <w:r>
        <w:rPr>
          <w:rFonts w:ascii="Montserrat" w:hAnsi="Montserrat"/>
          <w:color w:val="000000"/>
          <w:sz w:val="30"/>
          <w:szCs w:val="30"/>
        </w:rPr>
        <w:t>Get confident to build end-to-end projects</w:t>
      </w:r>
    </w:p>
    <w:p w14:paraId="64FC119A" w14:textId="77777777" w:rsidR="001A0205" w:rsidRDefault="001A0205"/>
    <w:p w14:paraId="45C2074B" w14:textId="77777777" w:rsidR="004A2876" w:rsidRDefault="004A2876"/>
    <w:p w14:paraId="445270F0" w14:textId="31901C78" w:rsidR="004A2876" w:rsidRDefault="004A2876">
      <w:hyperlink r:id="rId21" w:history="1">
        <w:r w:rsidRPr="004A2876">
          <w:rPr>
            <w:rStyle w:val="Hyperlink"/>
            <w:highlight w:val="yellow"/>
          </w:rPr>
          <w:t>https://www.jpmorgan.com/markets/dataquery</w:t>
        </w:r>
      </w:hyperlink>
    </w:p>
    <w:p w14:paraId="37F9C282" w14:textId="192892A8" w:rsidR="004A2876" w:rsidRDefault="00CF411F">
      <w:hyperlink r:id="rId22" w:history="1">
        <w:r w:rsidRPr="00A02CC6">
          <w:rPr>
            <w:rStyle w:val="Hyperlink"/>
          </w:rPr>
          <w:t>https://markets.jpmorgan.com/data-and-analytics/data-solutions#data-query</w:t>
        </w:r>
      </w:hyperlink>
    </w:p>
    <w:p w14:paraId="6F6ACD2B" w14:textId="77777777" w:rsidR="00CF411F" w:rsidRDefault="00CF411F"/>
    <w:p w14:paraId="515F98F3" w14:textId="77777777" w:rsidR="00CF411F" w:rsidRDefault="00CF411F"/>
    <w:p w14:paraId="2C1124AF" w14:textId="77777777" w:rsidR="00CF411F" w:rsidRDefault="00CF411F"/>
    <w:p w14:paraId="5508973F" w14:textId="77777777" w:rsidR="00CF411F" w:rsidRDefault="00CF411F" w:rsidP="00CF411F">
      <w:pPr>
        <w:pStyle w:val="short-description"/>
        <w:shd w:val="clear" w:color="auto" w:fill="101820"/>
        <w:spacing w:before="0" w:beforeAutospacing="0" w:after="0" w:afterAutospacing="0"/>
        <w:rPr>
          <w:rFonts w:ascii="Arial" w:hAnsi="Arial" w:cs="Arial"/>
          <w:color w:val="FFFFFF"/>
        </w:rPr>
      </w:pPr>
      <w:r>
        <w:rPr>
          <w:rFonts w:ascii="Arial" w:hAnsi="Arial" w:cs="Arial"/>
          <w:color w:val="FFFFFF"/>
        </w:rPr>
        <w:t>DataQuery</w:t>
      </w:r>
    </w:p>
    <w:p w14:paraId="459F28DF" w14:textId="77777777" w:rsidR="00CF411F" w:rsidRDefault="00CF411F" w:rsidP="00CF411F">
      <w:pPr>
        <w:pStyle w:val="long-description"/>
        <w:shd w:val="clear" w:color="auto" w:fill="101820"/>
        <w:spacing w:before="0" w:beforeAutospacing="0" w:after="478" w:afterAutospacing="0"/>
        <w:rPr>
          <w:rFonts w:ascii="Arial" w:hAnsi="Arial" w:cs="Arial"/>
          <w:color w:val="FFFFFF"/>
        </w:rPr>
      </w:pPr>
      <w:r>
        <w:rPr>
          <w:rFonts w:ascii="Arial" w:hAnsi="Arial" w:cs="Arial"/>
          <w:color w:val="FFFFFF"/>
        </w:rPr>
        <w:t>Drive your investment insights using J.P. Morgan’s data marketplace with over 50 million time series accessible on the web, desktop, excel, batch and modern APIs.</w:t>
      </w:r>
    </w:p>
    <w:p w14:paraId="602786B3" w14:textId="77777777" w:rsidR="00547301" w:rsidRDefault="00547301" w:rsidP="00CF411F">
      <w:pPr>
        <w:pStyle w:val="long-description"/>
        <w:shd w:val="clear" w:color="auto" w:fill="101820"/>
        <w:spacing w:before="0" w:beforeAutospacing="0" w:after="478" w:afterAutospacing="0"/>
        <w:rPr>
          <w:rFonts w:ascii="Arial" w:hAnsi="Arial" w:cs="Arial"/>
          <w:color w:val="FFFFFF"/>
        </w:rPr>
      </w:pPr>
    </w:p>
    <w:p w14:paraId="05910BBE" w14:textId="77777777" w:rsidR="00547301" w:rsidRDefault="00547301" w:rsidP="00CF411F">
      <w:pPr>
        <w:pStyle w:val="long-description"/>
        <w:shd w:val="clear" w:color="auto" w:fill="101820"/>
        <w:spacing w:before="0" w:beforeAutospacing="0" w:after="478" w:afterAutospacing="0"/>
        <w:rPr>
          <w:rFonts w:ascii="Arial" w:hAnsi="Arial" w:cs="Arial"/>
          <w:color w:val="FFFFFF"/>
        </w:rPr>
      </w:pPr>
    </w:p>
    <w:p w14:paraId="650CF79E" w14:textId="77777777" w:rsidR="00547301" w:rsidRDefault="00547301" w:rsidP="00547301">
      <w:pPr>
        <w:pStyle w:val="short-description"/>
        <w:shd w:val="clear" w:color="auto" w:fill="101820"/>
        <w:spacing w:before="0" w:beforeAutospacing="0" w:after="0" w:afterAutospacing="0"/>
        <w:rPr>
          <w:rFonts w:ascii="Arial" w:hAnsi="Arial" w:cs="Arial"/>
          <w:color w:val="FFFFFF"/>
        </w:rPr>
      </w:pPr>
      <w:r>
        <w:rPr>
          <w:rFonts w:ascii="Arial" w:hAnsi="Arial" w:cs="Arial"/>
          <w:color w:val="FFFFFF"/>
        </w:rPr>
        <w:t>PricingDirect</w:t>
      </w:r>
    </w:p>
    <w:p w14:paraId="3D844589" w14:textId="77777777" w:rsidR="00547301" w:rsidRDefault="00547301" w:rsidP="00547301">
      <w:pPr>
        <w:pStyle w:val="long-description"/>
        <w:shd w:val="clear" w:color="auto" w:fill="101820"/>
        <w:spacing w:before="0" w:beforeAutospacing="0" w:after="478" w:afterAutospacing="0"/>
        <w:rPr>
          <w:rFonts w:ascii="Arial" w:hAnsi="Arial" w:cs="Arial"/>
          <w:color w:val="FFFFFF"/>
        </w:rPr>
      </w:pPr>
      <w:r>
        <w:rPr>
          <w:rFonts w:ascii="Arial" w:hAnsi="Arial" w:cs="Arial"/>
          <w:color w:val="FFFFFF"/>
        </w:rPr>
        <w:t>Access independent, intra-day valuations and analytics services for over 1.5 million securities.</w:t>
      </w:r>
    </w:p>
    <w:p w14:paraId="400AAEBF" w14:textId="77777777" w:rsidR="00547301" w:rsidRDefault="00547301" w:rsidP="00CF411F">
      <w:pPr>
        <w:pStyle w:val="long-description"/>
        <w:shd w:val="clear" w:color="auto" w:fill="101820"/>
        <w:spacing w:before="0" w:beforeAutospacing="0" w:after="478" w:afterAutospacing="0"/>
        <w:rPr>
          <w:rFonts w:ascii="Arial" w:hAnsi="Arial" w:cs="Arial"/>
          <w:color w:val="FFFFFF"/>
        </w:rPr>
      </w:pPr>
    </w:p>
    <w:p w14:paraId="0BBBD949" w14:textId="77777777" w:rsidR="00547301" w:rsidRDefault="00547301" w:rsidP="00CF411F">
      <w:pPr>
        <w:pStyle w:val="long-description"/>
        <w:shd w:val="clear" w:color="auto" w:fill="101820"/>
        <w:spacing w:before="0" w:beforeAutospacing="0" w:after="478" w:afterAutospacing="0"/>
        <w:rPr>
          <w:rFonts w:ascii="Arial" w:hAnsi="Arial" w:cs="Arial"/>
          <w:color w:val="FFFFFF"/>
        </w:rPr>
      </w:pPr>
    </w:p>
    <w:p w14:paraId="3D63A804" w14:textId="77777777" w:rsidR="005F3B82" w:rsidRDefault="005F3B82" w:rsidP="005F3B82">
      <w:pPr>
        <w:pStyle w:val="short-description"/>
        <w:shd w:val="clear" w:color="auto" w:fill="101820"/>
        <w:spacing w:before="0" w:beforeAutospacing="0" w:after="0" w:afterAutospacing="0"/>
        <w:rPr>
          <w:rFonts w:ascii="Arial" w:hAnsi="Arial" w:cs="Arial"/>
          <w:color w:val="FFFFFF"/>
        </w:rPr>
      </w:pPr>
      <w:r>
        <w:rPr>
          <w:rFonts w:ascii="Arial" w:hAnsi="Arial" w:cs="Arial"/>
          <w:color w:val="FFFFFF"/>
        </w:rPr>
        <w:t>Instrument Analytics</w:t>
      </w:r>
    </w:p>
    <w:p w14:paraId="33316890" w14:textId="77777777" w:rsidR="005F3B82" w:rsidRDefault="005F3B82" w:rsidP="005F3B82">
      <w:pPr>
        <w:pStyle w:val="long-description"/>
        <w:shd w:val="clear" w:color="auto" w:fill="101820"/>
        <w:spacing w:before="0" w:beforeAutospacing="0" w:after="478" w:afterAutospacing="0"/>
        <w:rPr>
          <w:rFonts w:ascii="Arial" w:hAnsi="Arial" w:cs="Arial"/>
          <w:color w:val="FFFFFF"/>
        </w:rPr>
      </w:pPr>
      <w:r>
        <w:rPr>
          <w:rFonts w:ascii="Arial" w:hAnsi="Arial" w:cs="Arial"/>
          <w:color w:val="FFFFFF"/>
        </w:rPr>
        <w:t>Harness the power of J.P. Morgan’s proprietary models and powerful calculation engines to derive your own analytics.</w:t>
      </w:r>
    </w:p>
    <w:p w14:paraId="504C6934" w14:textId="77777777" w:rsidR="005F3B82" w:rsidRDefault="005F3B82" w:rsidP="005F3B82">
      <w:pPr>
        <w:pStyle w:val="short-description"/>
        <w:shd w:val="clear" w:color="auto" w:fill="101820"/>
        <w:spacing w:before="0" w:beforeAutospacing="0" w:after="0" w:afterAutospacing="0"/>
        <w:rPr>
          <w:rFonts w:ascii="Arial" w:hAnsi="Arial" w:cs="Arial"/>
          <w:color w:val="FFFFFF"/>
        </w:rPr>
      </w:pPr>
      <w:r>
        <w:rPr>
          <w:rFonts w:ascii="Arial" w:hAnsi="Arial" w:cs="Arial"/>
          <w:color w:val="FFFFFF"/>
        </w:rPr>
        <w:t>Risk as a Service</w:t>
      </w:r>
    </w:p>
    <w:p w14:paraId="1E6CC1DD" w14:textId="77777777" w:rsidR="005F3B82" w:rsidRDefault="005F3B82" w:rsidP="005F3B82">
      <w:pPr>
        <w:pStyle w:val="long-description"/>
        <w:shd w:val="clear" w:color="auto" w:fill="101820"/>
        <w:spacing w:before="0" w:beforeAutospacing="0" w:after="478" w:afterAutospacing="0"/>
        <w:rPr>
          <w:rFonts w:ascii="Arial" w:hAnsi="Arial" w:cs="Arial"/>
          <w:color w:val="FFFFFF"/>
        </w:rPr>
      </w:pPr>
      <w:r>
        <w:rPr>
          <w:rFonts w:ascii="Arial" w:hAnsi="Arial" w:cs="Arial"/>
          <w:color w:val="FFFFFF"/>
        </w:rPr>
        <w:t>The power of J.P. Morgan’s proprietary quantitative analytics, derived market data and real-time risk management technology, seamlessly delivered to your desktop.</w:t>
      </w:r>
    </w:p>
    <w:p w14:paraId="6E53C71F" w14:textId="77777777" w:rsidR="001D612E" w:rsidRDefault="001D612E" w:rsidP="001D612E">
      <w:pPr>
        <w:pStyle w:val="short-description"/>
        <w:shd w:val="clear" w:color="auto" w:fill="101820"/>
        <w:spacing w:before="0" w:beforeAutospacing="0" w:after="0" w:afterAutospacing="0"/>
        <w:rPr>
          <w:rFonts w:ascii="Arial" w:hAnsi="Arial" w:cs="Arial"/>
          <w:color w:val="FFFFFF"/>
        </w:rPr>
      </w:pPr>
      <w:r>
        <w:rPr>
          <w:rFonts w:ascii="Arial" w:hAnsi="Arial" w:cs="Arial"/>
          <w:color w:val="FFFFFF"/>
        </w:rPr>
        <w:t>Risk Analytics</w:t>
      </w:r>
    </w:p>
    <w:p w14:paraId="1F0AD784" w14:textId="77777777" w:rsidR="001D612E" w:rsidRDefault="001D612E" w:rsidP="001D612E">
      <w:pPr>
        <w:pStyle w:val="long-description"/>
        <w:shd w:val="clear" w:color="auto" w:fill="101820"/>
        <w:spacing w:before="0" w:beforeAutospacing="0" w:after="478" w:afterAutospacing="0"/>
        <w:rPr>
          <w:rFonts w:ascii="Arial" w:hAnsi="Arial" w:cs="Arial"/>
          <w:color w:val="FFFFFF"/>
        </w:rPr>
      </w:pPr>
      <w:r>
        <w:rPr>
          <w:rFonts w:ascii="Arial" w:hAnsi="Arial" w:cs="Arial"/>
          <w:color w:val="FFFFFF"/>
        </w:rPr>
        <w:t>Gain scale and efficiency as your business grows with robust reporting solutions that extend across a number of regulatory regimes.</w:t>
      </w:r>
    </w:p>
    <w:p w14:paraId="44626124" w14:textId="77777777" w:rsidR="00547301" w:rsidRDefault="00547301" w:rsidP="00CF411F">
      <w:pPr>
        <w:pStyle w:val="long-description"/>
        <w:shd w:val="clear" w:color="auto" w:fill="101820"/>
        <w:spacing w:before="0" w:beforeAutospacing="0" w:after="478" w:afterAutospacing="0"/>
        <w:rPr>
          <w:rFonts w:ascii="Arial" w:hAnsi="Arial" w:cs="Arial"/>
          <w:color w:val="FFFFFF"/>
        </w:rPr>
      </w:pPr>
    </w:p>
    <w:p w14:paraId="60CB2EF5" w14:textId="77777777" w:rsidR="00CF411F" w:rsidRDefault="00CF411F"/>
    <w:p w14:paraId="3EFA35A9" w14:textId="476A47A7" w:rsidR="00CF411F" w:rsidRDefault="003703AC">
      <w:r>
        <w:rPr>
          <w:noProof/>
        </w:rPr>
        <w:lastRenderedPageBreak/>
        <w:drawing>
          <wp:inline distT="0" distB="0" distL="0" distR="0" wp14:anchorId="534B99D3" wp14:editId="19E752C4">
            <wp:extent cx="5943600" cy="2680335"/>
            <wp:effectExtent l="0" t="0" r="0" b="5715"/>
            <wp:docPr id="147436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0296" name=""/>
                    <pic:cNvPicPr/>
                  </pic:nvPicPr>
                  <pic:blipFill>
                    <a:blip r:embed="rId23"/>
                    <a:stretch>
                      <a:fillRect/>
                    </a:stretch>
                  </pic:blipFill>
                  <pic:spPr>
                    <a:xfrm>
                      <a:off x="0" y="0"/>
                      <a:ext cx="5943600" cy="2680335"/>
                    </a:xfrm>
                    <a:prstGeom prst="rect">
                      <a:avLst/>
                    </a:prstGeom>
                  </pic:spPr>
                </pic:pic>
              </a:graphicData>
            </a:graphic>
          </wp:inline>
        </w:drawing>
      </w:r>
    </w:p>
    <w:p w14:paraId="5684E482" w14:textId="59BFB728" w:rsidR="00CF411F" w:rsidRDefault="000969AF">
      <w:r>
        <w:rPr>
          <w:noProof/>
        </w:rPr>
        <w:drawing>
          <wp:inline distT="0" distB="0" distL="0" distR="0" wp14:anchorId="2AE251E0" wp14:editId="65D0F0B3">
            <wp:extent cx="5943600" cy="2668270"/>
            <wp:effectExtent l="0" t="0" r="0" b="0"/>
            <wp:docPr id="11754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35898" name=""/>
                    <pic:cNvPicPr/>
                  </pic:nvPicPr>
                  <pic:blipFill>
                    <a:blip r:embed="rId24"/>
                    <a:stretch>
                      <a:fillRect/>
                    </a:stretch>
                  </pic:blipFill>
                  <pic:spPr>
                    <a:xfrm>
                      <a:off x="0" y="0"/>
                      <a:ext cx="5943600" cy="2668270"/>
                    </a:xfrm>
                    <a:prstGeom prst="rect">
                      <a:avLst/>
                    </a:prstGeom>
                  </pic:spPr>
                </pic:pic>
              </a:graphicData>
            </a:graphic>
          </wp:inline>
        </w:drawing>
      </w:r>
    </w:p>
    <w:p w14:paraId="7A8811DD" w14:textId="77777777" w:rsidR="0018514D" w:rsidRDefault="0018514D"/>
    <w:p w14:paraId="29EAE0DA" w14:textId="0C4AFAEA" w:rsidR="0018514D" w:rsidRDefault="0018514D">
      <w:r>
        <w:rPr>
          <w:noProof/>
        </w:rPr>
        <w:lastRenderedPageBreak/>
        <w:drawing>
          <wp:inline distT="0" distB="0" distL="0" distR="0" wp14:anchorId="3388A7DE" wp14:editId="2B716B01">
            <wp:extent cx="5943600" cy="2486660"/>
            <wp:effectExtent l="0" t="0" r="0" b="8890"/>
            <wp:docPr id="90496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3509" name=""/>
                    <pic:cNvPicPr/>
                  </pic:nvPicPr>
                  <pic:blipFill>
                    <a:blip r:embed="rId25"/>
                    <a:stretch>
                      <a:fillRect/>
                    </a:stretch>
                  </pic:blipFill>
                  <pic:spPr>
                    <a:xfrm>
                      <a:off x="0" y="0"/>
                      <a:ext cx="5943600" cy="2486660"/>
                    </a:xfrm>
                    <a:prstGeom prst="rect">
                      <a:avLst/>
                    </a:prstGeom>
                  </pic:spPr>
                </pic:pic>
              </a:graphicData>
            </a:graphic>
          </wp:inline>
        </w:drawing>
      </w:r>
    </w:p>
    <w:p w14:paraId="1124D2F1" w14:textId="77777777" w:rsidR="00AA63D0" w:rsidRDefault="00AA63D0"/>
    <w:p w14:paraId="4C722A7A" w14:textId="77777777" w:rsidR="002B3179" w:rsidRDefault="002B3179">
      <w:pPr>
        <w:rPr>
          <w:noProof/>
        </w:rPr>
      </w:pPr>
    </w:p>
    <w:p w14:paraId="3C88A2BC" w14:textId="77777777" w:rsidR="002B3179" w:rsidRDefault="002B3179">
      <w:pPr>
        <w:rPr>
          <w:noProof/>
        </w:rPr>
      </w:pPr>
    </w:p>
    <w:p w14:paraId="110447B7" w14:textId="52D47B3D" w:rsidR="00AA63D0" w:rsidRDefault="00AA63D0">
      <w:r>
        <w:rPr>
          <w:noProof/>
        </w:rPr>
        <w:drawing>
          <wp:inline distT="0" distB="0" distL="0" distR="0" wp14:anchorId="52E558BD" wp14:editId="4F394E51">
            <wp:extent cx="5943600" cy="2787650"/>
            <wp:effectExtent l="0" t="0" r="0" b="0"/>
            <wp:docPr id="139255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52602" name=""/>
                    <pic:cNvPicPr/>
                  </pic:nvPicPr>
                  <pic:blipFill>
                    <a:blip r:embed="rId26"/>
                    <a:stretch>
                      <a:fillRect/>
                    </a:stretch>
                  </pic:blipFill>
                  <pic:spPr>
                    <a:xfrm>
                      <a:off x="0" y="0"/>
                      <a:ext cx="5943600" cy="2787650"/>
                    </a:xfrm>
                    <a:prstGeom prst="rect">
                      <a:avLst/>
                    </a:prstGeom>
                  </pic:spPr>
                </pic:pic>
              </a:graphicData>
            </a:graphic>
          </wp:inline>
        </w:drawing>
      </w:r>
    </w:p>
    <w:p w14:paraId="542EB6DA" w14:textId="77777777" w:rsidR="002B3179" w:rsidRDefault="002B3179"/>
    <w:p w14:paraId="1D714A26" w14:textId="1704FDF0" w:rsidR="002B3179" w:rsidRDefault="002B3179">
      <w:r>
        <w:rPr>
          <w:noProof/>
        </w:rPr>
        <w:lastRenderedPageBreak/>
        <w:drawing>
          <wp:inline distT="0" distB="0" distL="0" distR="0" wp14:anchorId="358EA845" wp14:editId="48B95859">
            <wp:extent cx="5943600" cy="2168525"/>
            <wp:effectExtent l="0" t="0" r="0" b="3175"/>
            <wp:docPr id="17216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357" name=""/>
                    <pic:cNvPicPr/>
                  </pic:nvPicPr>
                  <pic:blipFill>
                    <a:blip r:embed="rId27"/>
                    <a:stretch>
                      <a:fillRect/>
                    </a:stretch>
                  </pic:blipFill>
                  <pic:spPr>
                    <a:xfrm>
                      <a:off x="0" y="0"/>
                      <a:ext cx="5943600" cy="2168525"/>
                    </a:xfrm>
                    <a:prstGeom prst="rect">
                      <a:avLst/>
                    </a:prstGeom>
                  </pic:spPr>
                </pic:pic>
              </a:graphicData>
            </a:graphic>
          </wp:inline>
        </w:drawing>
      </w:r>
    </w:p>
    <w:sectPr w:rsidR="002B3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A25D87"/>
    <w:multiLevelType w:val="multilevel"/>
    <w:tmpl w:val="85E6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0F3DD4"/>
    <w:multiLevelType w:val="multilevel"/>
    <w:tmpl w:val="592C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A20AC4"/>
    <w:multiLevelType w:val="multilevel"/>
    <w:tmpl w:val="7C90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E313D7"/>
    <w:multiLevelType w:val="multilevel"/>
    <w:tmpl w:val="95F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771F8B"/>
    <w:multiLevelType w:val="multilevel"/>
    <w:tmpl w:val="A0D2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4E268D"/>
    <w:multiLevelType w:val="multilevel"/>
    <w:tmpl w:val="47E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9941157">
    <w:abstractNumId w:val="2"/>
  </w:num>
  <w:num w:numId="2" w16cid:durableId="1869639312">
    <w:abstractNumId w:val="5"/>
  </w:num>
  <w:num w:numId="3" w16cid:durableId="494033558">
    <w:abstractNumId w:val="1"/>
  </w:num>
  <w:num w:numId="4" w16cid:durableId="1849098385">
    <w:abstractNumId w:val="3"/>
  </w:num>
  <w:num w:numId="5" w16cid:durableId="172037086">
    <w:abstractNumId w:val="4"/>
  </w:num>
  <w:num w:numId="6" w16cid:durableId="1845167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F6F"/>
    <w:rsid w:val="000969AF"/>
    <w:rsid w:val="0018514D"/>
    <w:rsid w:val="001A0205"/>
    <w:rsid w:val="001D612E"/>
    <w:rsid w:val="002B3179"/>
    <w:rsid w:val="002C44E5"/>
    <w:rsid w:val="00341B74"/>
    <w:rsid w:val="0035752A"/>
    <w:rsid w:val="003703AC"/>
    <w:rsid w:val="003E0F5C"/>
    <w:rsid w:val="003E6A15"/>
    <w:rsid w:val="00425F67"/>
    <w:rsid w:val="00486043"/>
    <w:rsid w:val="004A2876"/>
    <w:rsid w:val="004E3C6A"/>
    <w:rsid w:val="00502B3E"/>
    <w:rsid w:val="00547301"/>
    <w:rsid w:val="005C00AF"/>
    <w:rsid w:val="005F3B82"/>
    <w:rsid w:val="005F5EB3"/>
    <w:rsid w:val="006C0841"/>
    <w:rsid w:val="00813D34"/>
    <w:rsid w:val="00863688"/>
    <w:rsid w:val="008C7CC7"/>
    <w:rsid w:val="008D220B"/>
    <w:rsid w:val="009124E5"/>
    <w:rsid w:val="009875FE"/>
    <w:rsid w:val="009960A5"/>
    <w:rsid w:val="009B5230"/>
    <w:rsid w:val="009D13B9"/>
    <w:rsid w:val="009F29B8"/>
    <w:rsid w:val="00A009AE"/>
    <w:rsid w:val="00A07768"/>
    <w:rsid w:val="00A45CB9"/>
    <w:rsid w:val="00AA63D0"/>
    <w:rsid w:val="00AC3925"/>
    <w:rsid w:val="00B1133F"/>
    <w:rsid w:val="00B30F6F"/>
    <w:rsid w:val="00CF411F"/>
    <w:rsid w:val="00D170E0"/>
    <w:rsid w:val="00D61B16"/>
    <w:rsid w:val="00D9244C"/>
    <w:rsid w:val="00DA5A2F"/>
    <w:rsid w:val="00E66DFF"/>
    <w:rsid w:val="00E97CA4"/>
    <w:rsid w:val="00F35A93"/>
    <w:rsid w:val="00FE2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9BD3"/>
  <w15:chartTrackingRefBased/>
  <w15:docId w15:val="{E3C828E4-5E9E-4543-AA10-FC8D0258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0F6F"/>
    <w:rPr>
      <w:color w:val="0563C1" w:themeColor="hyperlink"/>
      <w:u w:val="single"/>
    </w:rPr>
  </w:style>
  <w:style w:type="character" w:styleId="UnresolvedMention">
    <w:name w:val="Unresolved Mention"/>
    <w:basedOn w:val="DefaultParagraphFont"/>
    <w:uiPriority w:val="99"/>
    <w:semiHidden/>
    <w:unhideWhenUsed/>
    <w:rsid w:val="00B30F6F"/>
    <w:rPr>
      <w:color w:val="605E5C"/>
      <w:shd w:val="clear" w:color="auto" w:fill="E1DFDD"/>
    </w:rPr>
  </w:style>
  <w:style w:type="paragraph" w:styleId="NormalWeb">
    <w:name w:val="Normal (Web)"/>
    <w:basedOn w:val="Normal"/>
    <w:uiPriority w:val="99"/>
    <w:semiHidden/>
    <w:unhideWhenUsed/>
    <w:rsid w:val="009F29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29B8"/>
    <w:rPr>
      <w:b/>
      <w:bCs/>
    </w:rPr>
  </w:style>
  <w:style w:type="paragraph" w:customStyle="1" w:styleId="truncate">
    <w:name w:val="truncate"/>
    <w:basedOn w:val="Normal"/>
    <w:rsid w:val="009960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2">
    <w:name w:val="mt-2"/>
    <w:basedOn w:val="Normal"/>
    <w:rsid w:val="001A02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ner-title-head">
    <w:name w:val="banner-title-head"/>
    <w:basedOn w:val="Normal"/>
    <w:rsid w:val="00E66DF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ription">
    <w:name w:val="short-description"/>
    <w:basedOn w:val="Normal"/>
    <w:rsid w:val="00CF41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ng-description">
    <w:name w:val="long-description"/>
    <w:basedOn w:val="Normal"/>
    <w:rsid w:val="00CF41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5913">
      <w:bodyDiv w:val="1"/>
      <w:marLeft w:val="0"/>
      <w:marRight w:val="0"/>
      <w:marTop w:val="0"/>
      <w:marBottom w:val="0"/>
      <w:divBdr>
        <w:top w:val="none" w:sz="0" w:space="0" w:color="auto"/>
        <w:left w:val="none" w:sz="0" w:space="0" w:color="auto"/>
        <w:bottom w:val="none" w:sz="0" w:space="0" w:color="auto"/>
        <w:right w:val="none" w:sz="0" w:space="0" w:color="auto"/>
      </w:divBdr>
    </w:div>
    <w:div w:id="246887661">
      <w:bodyDiv w:val="1"/>
      <w:marLeft w:val="0"/>
      <w:marRight w:val="0"/>
      <w:marTop w:val="0"/>
      <w:marBottom w:val="0"/>
      <w:divBdr>
        <w:top w:val="none" w:sz="0" w:space="0" w:color="auto"/>
        <w:left w:val="none" w:sz="0" w:space="0" w:color="auto"/>
        <w:bottom w:val="none" w:sz="0" w:space="0" w:color="auto"/>
        <w:right w:val="none" w:sz="0" w:space="0" w:color="auto"/>
      </w:divBdr>
      <w:divsChild>
        <w:div w:id="11419178">
          <w:marLeft w:val="0"/>
          <w:marRight w:val="0"/>
          <w:marTop w:val="0"/>
          <w:marBottom w:val="0"/>
          <w:divBdr>
            <w:top w:val="single" w:sz="8" w:space="0" w:color="auto"/>
            <w:left w:val="single" w:sz="8" w:space="0" w:color="auto"/>
            <w:bottom w:val="single" w:sz="8" w:space="0" w:color="auto"/>
            <w:right w:val="single" w:sz="8" w:space="0" w:color="auto"/>
          </w:divBdr>
        </w:div>
      </w:divsChild>
    </w:div>
    <w:div w:id="433551390">
      <w:bodyDiv w:val="1"/>
      <w:marLeft w:val="0"/>
      <w:marRight w:val="0"/>
      <w:marTop w:val="0"/>
      <w:marBottom w:val="0"/>
      <w:divBdr>
        <w:top w:val="none" w:sz="0" w:space="0" w:color="auto"/>
        <w:left w:val="none" w:sz="0" w:space="0" w:color="auto"/>
        <w:bottom w:val="none" w:sz="0" w:space="0" w:color="auto"/>
        <w:right w:val="none" w:sz="0" w:space="0" w:color="auto"/>
      </w:divBdr>
      <w:divsChild>
        <w:div w:id="1943953432">
          <w:marLeft w:val="0"/>
          <w:marRight w:val="0"/>
          <w:marTop w:val="0"/>
          <w:marBottom w:val="0"/>
          <w:divBdr>
            <w:top w:val="single" w:sz="2" w:space="0" w:color="E5E7EB"/>
            <w:left w:val="single" w:sz="2" w:space="0" w:color="E5E7EB"/>
            <w:bottom w:val="single" w:sz="2" w:space="0" w:color="E5E7EB"/>
            <w:right w:val="single" w:sz="2" w:space="0" w:color="E5E7EB"/>
          </w:divBdr>
          <w:divsChild>
            <w:div w:id="1836342165">
              <w:marLeft w:val="0"/>
              <w:marRight w:val="0"/>
              <w:marTop w:val="0"/>
              <w:marBottom w:val="0"/>
              <w:divBdr>
                <w:top w:val="single" w:sz="8" w:space="0" w:color="auto"/>
                <w:left w:val="single" w:sz="8" w:space="0" w:color="auto"/>
                <w:bottom w:val="single" w:sz="8" w:space="0" w:color="auto"/>
                <w:right w:val="single" w:sz="8" w:space="0" w:color="auto"/>
              </w:divBdr>
            </w:div>
          </w:divsChild>
        </w:div>
      </w:divsChild>
    </w:div>
    <w:div w:id="486409217">
      <w:bodyDiv w:val="1"/>
      <w:marLeft w:val="0"/>
      <w:marRight w:val="0"/>
      <w:marTop w:val="0"/>
      <w:marBottom w:val="0"/>
      <w:divBdr>
        <w:top w:val="none" w:sz="0" w:space="0" w:color="auto"/>
        <w:left w:val="none" w:sz="0" w:space="0" w:color="auto"/>
        <w:bottom w:val="none" w:sz="0" w:space="0" w:color="auto"/>
        <w:right w:val="none" w:sz="0" w:space="0" w:color="auto"/>
      </w:divBdr>
    </w:div>
    <w:div w:id="561253854">
      <w:bodyDiv w:val="1"/>
      <w:marLeft w:val="0"/>
      <w:marRight w:val="0"/>
      <w:marTop w:val="0"/>
      <w:marBottom w:val="0"/>
      <w:divBdr>
        <w:top w:val="none" w:sz="0" w:space="0" w:color="auto"/>
        <w:left w:val="none" w:sz="0" w:space="0" w:color="auto"/>
        <w:bottom w:val="none" w:sz="0" w:space="0" w:color="auto"/>
        <w:right w:val="none" w:sz="0" w:space="0" w:color="auto"/>
      </w:divBdr>
      <w:divsChild>
        <w:div w:id="1478717729">
          <w:marLeft w:val="0"/>
          <w:marRight w:val="0"/>
          <w:marTop w:val="0"/>
          <w:marBottom w:val="0"/>
          <w:divBdr>
            <w:top w:val="single" w:sz="2" w:space="0" w:color="E5E7EB"/>
            <w:left w:val="single" w:sz="2" w:space="0" w:color="E5E7EB"/>
            <w:bottom w:val="single" w:sz="2" w:space="0" w:color="E5E7EB"/>
            <w:right w:val="single" w:sz="2" w:space="0" w:color="E5E7EB"/>
          </w:divBdr>
          <w:divsChild>
            <w:div w:id="1247156658">
              <w:marLeft w:val="0"/>
              <w:marRight w:val="0"/>
              <w:marTop w:val="0"/>
              <w:marBottom w:val="0"/>
              <w:divBdr>
                <w:top w:val="single" w:sz="8" w:space="0" w:color="auto"/>
                <w:left w:val="single" w:sz="8" w:space="0" w:color="auto"/>
                <w:bottom w:val="single" w:sz="8" w:space="0" w:color="auto"/>
                <w:right w:val="single" w:sz="8" w:space="0" w:color="auto"/>
              </w:divBdr>
            </w:div>
          </w:divsChild>
        </w:div>
      </w:divsChild>
    </w:div>
    <w:div w:id="575551245">
      <w:bodyDiv w:val="1"/>
      <w:marLeft w:val="0"/>
      <w:marRight w:val="0"/>
      <w:marTop w:val="0"/>
      <w:marBottom w:val="0"/>
      <w:divBdr>
        <w:top w:val="none" w:sz="0" w:space="0" w:color="auto"/>
        <w:left w:val="none" w:sz="0" w:space="0" w:color="auto"/>
        <w:bottom w:val="none" w:sz="0" w:space="0" w:color="auto"/>
        <w:right w:val="none" w:sz="0" w:space="0" w:color="auto"/>
      </w:divBdr>
    </w:div>
    <w:div w:id="638264860">
      <w:bodyDiv w:val="1"/>
      <w:marLeft w:val="0"/>
      <w:marRight w:val="0"/>
      <w:marTop w:val="0"/>
      <w:marBottom w:val="0"/>
      <w:divBdr>
        <w:top w:val="none" w:sz="0" w:space="0" w:color="auto"/>
        <w:left w:val="none" w:sz="0" w:space="0" w:color="auto"/>
        <w:bottom w:val="none" w:sz="0" w:space="0" w:color="auto"/>
        <w:right w:val="none" w:sz="0" w:space="0" w:color="auto"/>
      </w:divBdr>
      <w:divsChild>
        <w:div w:id="1271014847">
          <w:marLeft w:val="0"/>
          <w:marRight w:val="0"/>
          <w:marTop w:val="0"/>
          <w:marBottom w:val="0"/>
          <w:divBdr>
            <w:top w:val="single" w:sz="2" w:space="0" w:color="E5E7EB"/>
            <w:left w:val="single" w:sz="2" w:space="0" w:color="E5E7EB"/>
            <w:bottom w:val="single" w:sz="2" w:space="0" w:color="E5E7EB"/>
            <w:right w:val="single" w:sz="2" w:space="0" w:color="E5E7EB"/>
          </w:divBdr>
          <w:divsChild>
            <w:div w:id="1800147134">
              <w:marLeft w:val="0"/>
              <w:marRight w:val="0"/>
              <w:marTop w:val="0"/>
              <w:marBottom w:val="0"/>
              <w:divBdr>
                <w:top w:val="single" w:sz="8" w:space="0" w:color="auto"/>
                <w:left w:val="single" w:sz="8" w:space="0" w:color="auto"/>
                <w:bottom w:val="single" w:sz="8" w:space="0" w:color="auto"/>
                <w:right w:val="single" w:sz="8" w:space="0" w:color="auto"/>
              </w:divBdr>
            </w:div>
          </w:divsChild>
        </w:div>
      </w:divsChild>
    </w:div>
    <w:div w:id="1206992141">
      <w:bodyDiv w:val="1"/>
      <w:marLeft w:val="0"/>
      <w:marRight w:val="0"/>
      <w:marTop w:val="0"/>
      <w:marBottom w:val="0"/>
      <w:divBdr>
        <w:top w:val="none" w:sz="0" w:space="0" w:color="auto"/>
        <w:left w:val="none" w:sz="0" w:space="0" w:color="auto"/>
        <w:bottom w:val="none" w:sz="0" w:space="0" w:color="auto"/>
        <w:right w:val="none" w:sz="0" w:space="0" w:color="auto"/>
      </w:divBdr>
    </w:div>
    <w:div w:id="1625430329">
      <w:bodyDiv w:val="1"/>
      <w:marLeft w:val="0"/>
      <w:marRight w:val="0"/>
      <w:marTop w:val="0"/>
      <w:marBottom w:val="0"/>
      <w:divBdr>
        <w:top w:val="none" w:sz="0" w:space="0" w:color="auto"/>
        <w:left w:val="none" w:sz="0" w:space="0" w:color="auto"/>
        <w:bottom w:val="none" w:sz="0" w:space="0" w:color="auto"/>
        <w:right w:val="none" w:sz="0" w:space="0" w:color="auto"/>
      </w:divBdr>
    </w:div>
    <w:div w:id="1645308923">
      <w:bodyDiv w:val="1"/>
      <w:marLeft w:val="0"/>
      <w:marRight w:val="0"/>
      <w:marTop w:val="0"/>
      <w:marBottom w:val="0"/>
      <w:divBdr>
        <w:top w:val="none" w:sz="0" w:space="0" w:color="auto"/>
        <w:left w:val="none" w:sz="0" w:space="0" w:color="auto"/>
        <w:bottom w:val="none" w:sz="0" w:space="0" w:color="auto"/>
        <w:right w:val="none" w:sz="0" w:space="0" w:color="auto"/>
      </w:divBdr>
      <w:divsChild>
        <w:div w:id="1955820948">
          <w:marLeft w:val="0"/>
          <w:marRight w:val="0"/>
          <w:marTop w:val="0"/>
          <w:marBottom w:val="0"/>
          <w:divBdr>
            <w:top w:val="single" w:sz="2" w:space="0" w:color="E5E7EB"/>
            <w:left w:val="single" w:sz="2" w:space="0" w:color="E5E7EB"/>
            <w:bottom w:val="single" w:sz="2" w:space="0" w:color="E5E7EB"/>
            <w:right w:val="single" w:sz="2" w:space="0" w:color="E5E7EB"/>
          </w:divBdr>
          <w:divsChild>
            <w:div w:id="1373529588">
              <w:marLeft w:val="0"/>
              <w:marRight w:val="0"/>
              <w:marTop w:val="450"/>
              <w:marBottom w:val="450"/>
              <w:divBdr>
                <w:top w:val="single" w:sz="2" w:space="12" w:color="E5E7EB"/>
                <w:left w:val="single" w:sz="2" w:space="0" w:color="E5E7EB"/>
                <w:bottom w:val="single" w:sz="2" w:space="15" w:color="E5E7EB"/>
                <w:right w:val="single" w:sz="2" w:space="0" w:color="E5E7EB"/>
              </w:divBdr>
            </w:div>
          </w:divsChild>
        </w:div>
      </w:divsChild>
    </w:div>
    <w:div w:id="1700667304">
      <w:bodyDiv w:val="1"/>
      <w:marLeft w:val="0"/>
      <w:marRight w:val="0"/>
      <w:marTop w:val="0"/>
      <w:marBottom w:val="0"/>
      <w:divBdr>
        <w:top w:val="none" w:sz="0" w:space="0" w:color="auto"/>
        <w:left w:val="none" w:sz="0" w:space="0" w:color="auto"/>
        <w:bottom w:val="none" w:sz="0" w:space="0" w:color="auto"/>
        <w:right w:val="none" w:sz="0" w:space="0" w:color="auto"/>
      </w:divBdr>
      <w:divsChild>
        <w:div w:id="2015107593">
          <w:marLeft w:val="0"/>
          <w:marRight w:val="0"/>
          <w:marTop w:val="0"/>
          <w:marBottom w:val="0"/>
          <w:divBdr>
            <w:top w:val="single" w:sz="6" w:space="0" w:color="auto"/>
            <w:left w:val="single" w:sz="6" w:space="0" w:color="auto"/>
            <w:bottom w:val="single" w:sz="6" w:space="0" w:color="auto"/>
            <w:right w:val="single" w:sz="6" w:space="0" w:color="auto"/>
          </w:divBdr>
        </w:div>
      </w:divsChild>
    </w:div>
    <w:div w:id="1737124400">
      <w:bodyDiv w:val="1"/>
      <w:marLeft w:val="0"/>
      <w:marRight w:val="0"/>
      <w:marTop w:val="0"/>
      <w:marBottom w:val="0"/>
      <w:divBdr>
        <w:top w:val="none" w:sz="0" w:space="0" w:color="auto"/>
        <w:left w:val="none" w:sz="0" w:space="0" w:color="auto"/>
        <w:bottom w:val="none" w:sz="0" w:space="0" w:color="auto"/>
        <w:right w:val="none" w:sz="0" w:space="0" w:color="auto"/>
      </w:divBdr>
    </w:div>
    <w:div w:id="1847867014">
      <w:bodyDiv w:val="1"/>
      <w:marLeft w:val="0"/>
      <w:marRight w:val="0"/>
      <w:marTop w:val="0"/>
      <w:marBottom w:val="0"/>
      <w:divBdr>
        <w:top w:val="none" w:sz="0" w:space="0" w:color="auto"/>
        <w:left w:val="none" w:sz="0" w:space="0" w:color="auto"/>
        <w:bottom w:val="none" w:sz="0" w:space="0" w:color="auto"/>
        <w:right w:val="none" w:sz="0" w:space="0" w:color="auto"/>
      </w:divBdr>
      <w:divsChild>
        <w:div w:id="403065931">
          <w:marLeft w:val="0"/>
          <w:marRight w:val="0"/>
          <w:marTop w:val="0"/>
          <w:marBottom w:val="0"/>
          <w:divBdr>
            <w:top w:val="single" w:sz="8" w:space="0" w:color="auto"/>
            <w:left w:val="single" w:sz="8" w:space="0" w:color="auto"/>
            <w:bottom w:val="single" w:sz="8" w:space="0" w:color="auto"/>
            <w:right w:val="single" w:sz="8" w:space="0" w:color="auto"/>
          </w:divBdr>
        </w:div>
      </w:divsChild>
    </w:div>
    <w:div w:id="1981618091">
      <w:bodyDiv w:val="1"/>
      <w:marLeft w:val="0"/>
      <w:marRight w:val="0"/>
      <w:marTop w:val="0"/>
      <w:marBottom w:val="0"/>
      <w:divBdr>
        <w:top w:val="none" w:sz="0" w:space="0" w:color="auto"/>
        <w:left w:val="none" w:sz="0" w:space="0" w:color="auto"/>
        <w:bottom w:val="none" w:sz="0" w:space="0" w:color="auto"/>
        <w:right w:val="none" w:sz="0" w:space="0" w:color="auto"/>
      </w:divBdr>
      <w:divsChild>
        <w:div w:id="2120370273">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statistics/871513/worldwide-data-created/" TargetMode="External"/><Relationship Id="rId13" Type="http://schemas.openxmlformats.org/officeDocument/2006/relationships/hyperlink" Target="https://blogs.oracle.com/analytics/post/increase-data-literacy-and-accelerate-self-service-analytics-with-data-catalog"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jpmorgan.com/markets/dataquery" TargetMode="External"/><Relationship Id="rId7" Type="http://schemas.openxmlformats.org/officeDocument/2006/relationships/hyperlink" Target="https://www.forbes.com/sites/bernardmarr/2018/05/21/how-much-data-do-we-create-every-day-the-mind-blowing-stats-everyone-should-read/?sh=4cccfc4b60ba"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projectpro.io/article/emerging-big-data-trends-for-2017/33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andeeptol.medium.com/an-approach-to-cloud-transformation-and-cloud-migration-635550949249" TargetMode="Externa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hyperlink" Target="https://www.datadynamicsinc.com/blog-considering-cloud-migration-here-are-6-strategies-to-choose-from/"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medium.com/the-modern-scientist/data-ingestion-part-2-tool-selection-strategy-07c6ca7aeddb"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arkets.jpmorgan.com/data-and-analytics/data-solutions#data-query" TargetMode="External"/><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1640</TotalTime>
  <Pages>12</Pages>
  <Words>1646</Words>
  <Characters>9386</Characters>
  <Application>Microsoft Office Word</Application>
  <DocSecurity>0</DocSecurity>
  <Lines>78</Lines>
  <Paragraphs>22</Paragraphs>
  <ScaleCrop>false</ScaleCrop>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44</cp:revision>
  <dcterms:created xsi:type="dcterms:W3CDTF">2024-05-18T17:08:00Z</dcterms:created>
  <dcterms:modified xsi:type="dcterms:W3CDTF">2024-05-19T21:31:00Z</dcterms:modified>
</cp:coreProperties>
</file>