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MUTUO PARTICIPATIVO. -</w:t>
      </w:r>
    </w:p>
    <w:p w:rsidR="00000000" w:rsidDel="00000000" w:rsidP="00000000" w:rsidRDefault="00000000" w:rsidRPr="00000000" w14:paraId="00000002">
      <w:pPr>
        <w:spacing w:after="120" w:before="120" w:line="240" w:lineRule="auto"/>
        <w:ind w:hanging="2"/>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Ciudad Autónoma de Buenos Aires, a los 10 días del mes de julio de 2024 </w:t>
      </w:r>
      <w:r w:rsidDel="00000000" w:rsidR="00000000" w:rsidRPr="00000000">
        <w:rPr>
          <w:rFonts w:ascii="Arial Narrow" w:cs="Arial Narrow" w:eastAsia="Arial Narrow" w:hAnsi="Arial Narrow"/>
          <w:u w:val="single"/>
          <w:rtl w:val="0"/>
        </w:rPr>
        <w:t xml:space="preserve">COMPARECEN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3">
      <w:pPr>
        <w:numPr>
          <w:ilvl w:val="0"/>
          <w:numId w:val="3"/>
        </w:numPr>
        <w:spacing w:after="120" w:before="120" w:line="240" w:lineRule="auto"/>
        <w:ind w:left="426" w:firstLine="0"/>
        <w:jc w:val="both"/>
        <w:rPr/>
      </w:pPr>
      <w:r w:rsidDel="00000000" w:rsidR="00000000" w:rsidRPr="00000000">
        <w:rPr>
          <w:rFonts w:ascii="Arial Narrow" w:cs="Arial Narrow" w:eastAsia="Arial Narrow" w:hAnsi="Arial Narrow"/>
          <w:rtl w:val="0"/>
        </w:rPr>
        <w:t xml:space="preserve">La Sra. </w:t>
      </w:r>
      <w:r w:rsidDel="00000000" w:rsidR="00000000" w:rsidRPr="00000000">
        <w:rPr>
          <w:rFonts w:ascii="Arial Narrow" w:cs="Arial Narrow" w:eastAsia="Arial Narrow" w:hAnsi="Arial Narrow"/>
          <w:b w:val="1"/>
          <w:rtl w:val="0"/>
        </w:rPr>
        <w:t xml:space="preserve">Florencia Tiscornia</w:t>
      </w:r>
      <w:r w:rsidDel="00000000" w:rsidR="00000000" w:rsidRPr="00000000">
        <w:rPr>
          <w:rFonts w:ascii="Arial Narrow" w:cs="Arial Narrow" w:eastAsia="Arial Narrow" w:hAnsi="Arial Narrow"/>
          <w:rtl w:val="0"/>
        </w:rPr>
        <w:t xml:space="preserve">, argentina, titular del Documento Nacional de Identidad número 23.969.051</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titular de la C.U.I.T. 27-23969051-9</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rtl w:val="0"/>
        </w:rPr>
        <w:t xml:space="preserve"> empleada, con domicilio real y fiscal en la calle Joaquín V. Gonzalez 4174, de esta Ciudad (en adelante, la “</w:t>
      </w:r>
      <w:r w:rsidDel="00000000" w:rsidR="00000000" w:rsidRPr="00000000">
        <w:rPr>
          <w:rFonts w:ascii="Arial Narrow" w:cs="Arial Narrow" w:eastAsia="Arial Narrow" w:hAnsi="Arial Narrow"/>
          <w:u w:val="single"/>
          <w:rtl w:val="0"/>
        </w:rPr>
        <w:t xml:space="preserve">Inversionista</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04">
      <w:pPr>
        <w:numPr>
          <w:ilvl w:val="0"/>
          <w:numId w:val="3"/>
        </w:numPr>
        <w:spacing w:after="120" w:before="120" w:line="240" w:lineRule="auto"/>
        <w:ind w:left="426" w:firstLine="0"/>
        <w:jc w:val="both"/>
        <w:rPr/>
      </w:pPr>
      <w:r w:rsidDel="00000000" w:rsidR="00000000" w:rsidRPr="00000000">
        <w:rPr>
          <w:rFonts w:ascii="Arial Narrow" w:cs="Arial Narrow" w:eastAsia="Arial Narrow" w:hAnsi="Arial Narrow"/>
          <w:rtl w:val="0"/>
        </w:rPr>
        <w:t xml:space="preserve">Y el Sr. </w:t>
      </w:r>
      <w:r w:rsidDel="00000000" w:rsidR="00000000" w:rsidRPr="00000000">
        <w:rPr>
          <w:rFonts w:ascii="Arial Narrow" w:cs="Arial Narrow" w:eastAsia="Arial Narrow" w:hAnsi="Arial Narrow"/>
          <w:b w:val="1"/>
          <w:rtl w:val="0"/>
        </w:rPr>
        <w:t xml:space="preserve">Carlos Federico Baccino,</w:t>
      </w:r>
      <w:r w:rsidDel="00000000" w:rsidR="00000000" w:rsidRPr="00000000">
        <w:rPr>
          <w:rFonts w:ascii="Arial Narrow" w:cs="Arial Narrow" w:eastAsia="Arial Narrow" w:hAnsi="Arial Narrow"/>
          <w:rtl w:val="0"/>
        </w:rPr>
        <w:t xml:space="preserve"> titular del Documento Nacional de Identidad número 25.249.164, en carácter de Presidente de la sociedad comercial</w:t>
      </w:r>
      <w:r w:rsidDel="00000000" w:rsidR="00000000" w:rsidRPr="00000000">
        <w:rPr>
          <w:rFonts w:ascii="Arial Narrow" w:cs="Arial Narrow" w:eastAsia="Arial Narrow" w:hAnsi="Arial Narrow"/>
          <w:b w:val="1"/>
          <w:rtl w:val="0"/>
        </w:rPr>
        <w:t xml:space="preserve"> BTLL S.A.,</w:t>
      </w:r>
      <w:r w:rsidDel="00000000" w:rsidR="00000000" w:rsidRPr="00000000">
        <w:rPr>
          <w:rFonts w:ascii="Arial Narrow" w:cs="Arial Narrow" w:eastAsia="Arial Narrow" w:hAnsi="Arial Narrow"/>
          <w:rtl w:val="0"/>
        </w:rPr>
        <w:t xml:space="preserve"> titular de la CUIT 30-71857080-4, constituyendo domicilio contractual en la calle Joaquín V. Gonzalez 4174, de esta Ciudad (en adelante, la “</w:t>
      </w:r>
      <w:r w:rsidDel="00000000" w:rsidR="00000000" w:rsidRPr="00000000">
        <w:rPr>
          <w:rFonts w:ascii="Arial Narrow" w:cs="Arial Narrow" w:eastAsia="Arial Narrow" w:hAnsi="Arial Narrow"/>
          <w:u w:val="single"/>
          <w:rtl w:val="0"/>
        </w:rPr>
        <w:t xml:space="preserve">Sociedad</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u w:val="single"/>
          <w:rtl w:val="0"/>
        </w:rPr>
        <w:t xml:space="preserve">Desarrollista</w:t>
      </w:r>
      <w:r w:rsidDel="00000000" w:rsidR="00000000" w:rsidRPr="00000000">
        <w:rPr>
          <w:rFonts w:ascii="Arial Narrow" w:cs="Arial Narrow" w:eastAsia="Arial Narrow" w:hAnsi="Arial Narrow"/>
          <w:rtl w:val="0"/>
        </w:rPr>
        <w:t xml:space="preserve">” indistintamente);</w:t>
      </w:r>
    </w:p>
    <w:p w:rsidR="00000000" w:rsidDel="00000000" w:rsidP="00000000" w:rsidRDefault="00000000" w:rsidRPr="00000000" w14:paraId="0000000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(denominados conjuntamente como “Partes” o “</w:t>
      </w:r>
      <w:r w:rsidDel="00000000" w:rsidR="00000000" w:rsidRPr="00000000">
        <w:rPr>
          <w:rFonts w:ascii="Arial Narrow" w:cs="Arial Narrow" w:eastAsia="Arial Narrow" w:hAnsi="Arial Narrow"/>
          <w:u w:val="single"/>
          <w:rtl w:val="0"/>
        </w:rPr>
        <w:t xml:space="preserve">Las Partes</w:t>
      </w:r>
      <w:r w:rsidDel="00000000" w:rsidR="00000000" w:rsidRPr="00000000">
        <w:rPr>
          <w:rFonts w:ascii="Arial Narrow" w:cs="Arial Narrow" w:eastAsia="Arial Narrow" w:hAnsi="Arial Narrow"/>
          <w:rtl w:val="0"/>
        </w:rPr>
        <w:t xml:space="preserve">”), en pleno ejercicio de su libertad y voluntad, manifestando que poseen plena capacidad para contratar, resuelven formalizar el presente </w:t>
      </w:r>
      <w:r w:rsidDel="00000000" w:rsidR="00000000" w:rsidRPr="00000000">
        <w:rPr>
          <w:rFonts w:ascii="Arial Narrow" w:cs="Arial Narrow" w:eastAsia="Arial Narrow" w:hAnsi="Arial Narrow"/>
          <w:b w:val="1"/>
          <w:rtl w:val="0"/>
        </w:rPr>
        <w:t xml:space="preserve">Contrato de Mutuo</w:t>
      </w:r>
      <w:r w:rsidDel="00000000" w:rsidR="00000000" w:rsidRPr="00000000">
        <w:rPr>
          <w:rFonts w:ascii="Arial Narrow" w:cs="Arial Narrow" w:eastAsia="Arial Narrow" w:hAnsi="Arial Narrow"/>
          <w:rtl w:val="0"/>
        </w:rPr>
        <w:t xml:space="preserve">, sujeto a las siguientes cláusulas:</w:t>
      </w:r>
    </w:p>
    <w:p w:rsidR="00000000" w:rsidDel="00000000" w:rsidP="00000000" w:rsidRDefault="00000000" w:rsidRPr="00000000" w14:paraId="00000006">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7">
      <w:pPr>
        <w:spacing w:after="120" w:before="12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Antecedentes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8">
      <w:pPr>
        <w:numPr>
          <w:ilvl w:val="0"/>
          <w:numId w:val="4"/>
        </w:numPr>
        <w:tabs>
          <w:tab w:val="left" w:leader="none" w:pos="284"/>
        </w:tabs>
        <w:spacing w:after="120" w:before="120" w:line="240" w:lineRule="auto"/>
        <w:ind w:left="108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Partes manifiestan que esta operación se efectúa con el fin de documentar el otorgamiento de recursos financieros para (i) la compra del terreno ubicado en la calle Paroissien 3957, de la Ciudad Autónoma de Buenos Aires (en adelante “el </w:t>
      </w:r>
      <w:r w:rsidDel="00000000" w:rsidR="00000000" w:rsidRPr="00000000">
        <w:rPr>
          <w:rFonts w:ascii="Arial Narrow" w:cs="Arial Narrow" w:eastAsia="Arial Narrow" w:hAnsi="Arial Narrow"/>
          <w:u w:val="single"/>
          <w:rtl w:val="0"/>
        </w:rPr>
        <w:t xml:space="preserve">Terreno</w:t>
      </w:r>
      <w:r w:rsidDel="00000000" w:rsidR="00000000" w:rsidRPr="00000000">
        <w:rPr>
          <w:rFonts w:ascii="Arial Narrow" w:cs="Arial Narrow" w:eastAsia="Arial Narrow" w:hAnsi="Arial Narrow"/>
          <w:rtl w:val="0"/>
        </w:rPr>
        <w:t xml:space="preserve">”); y (ii)  posterior ejecución del desarrollo inmobiliario en el Terreno, conforme al Plan de Ejecución de Obra, planos, y memoria descripta (en adelante “el </w:t>
      </w:r>
      <w:r w:rsidDel="00000000" w:rsidR="00000000" w:rsidRPr="00000000">
        <w:rPr>
          <w:rFonts w:ascii="Arial Narrow" w:cs="Arial Narrow" w:eastAsia="Arial Narrow" w:hAnsi="Arial Narrow"/>
          <w:u w:val="single"/>
          <w:rtl w:val="0"/>
        </w:rPr>
        <w:t xml:space="preserve">Proyecto</w:t>
      </w:r>
      <w:r w:rsidDel="00000000" w:rsidR="00000000" w:rsidRPr="00000000">
        <w:rPr>
          <w:rFonts w:ascii="Arial Narrow" w:cs="Arial Narrow" w:eastAsia="Arial Narrow" w:hAnsi="Arial Narrow"/>
          <w:rtl w:val="0"/>
        </w:rPr>
        <w:t xml:space="preserve">” o la “</w:t>
      </w:r>
      <w:r w:rsidDel="00000000" w:rsidR="00000000" w:rsidRPr="00000000">
        <w:rPr>
          <w:rFonts w:ascii="Arial Narrow" w:cs="Arial Narrow" w:eastAsia="Arial Narrow" w:hAnsi="Arial Narrow"/>
          <w:u w:val="single"/>
          <w:rtl w:val="0"/>
        </w:rPr>
        <w:t xml:space="preserve">Obra</w:t>
      </w:r>
      <w:r w:rsidDel="00000000" w:rsidR="00000000" w:rsidRPr="00000000">
        <w:rPr>
          <w:rFonts w:ascii="Arial Narrow" w:cs="Arial Narrow" w:eastAsia="Arial Narrow" w:hAnsi="Arial Narrow"/>
          <w:rtl w:val="0"/>
        </w:rPr>
        <w:t xml:space="preserve">” indistintamente).</w:t>
      </w:r>
    </w:p>
    <w:p w:rsidR="00000000" w:rsidDel="00000000" w:rsidP="00000000" w:rsidRDefault="00000000" w:rsidRPr="00000000" w14:paraId="00000009">
      <w:pPr>
        <w:numPr>
          <w:ilvl w:val="0"/>
          <w:numId w:val="4"/>
        </w:numPr>
        <w:tabs>
          <w:tab w:val="left" w:leader="none" w:pos="284"/>
        </w:tabs>
        <w:spacing w:after="120" w:before="120" w:line="240" w:lineRule="auto"/>
        <w:ind w:left="108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Por ende, el presente Acuerdo tendrá algunas características particulares, en punto a los compromisos de La Desarrolladora respecto al uso de los fondos percibidos, la administración y ejecución del Proyecto y el deber de información al Inversionista.</w:t>
      </w:r>
    </w:p>
    <w:p w:rsidR="00000000" w:rsidDel="00000000" w:rsidP="00000000" w:rsidRDefault="00000000" w:rsidRPr="00000000" w14:paraId="0000000A">
      <w:pPr>
        <w:numPr>
          <w:ilvl w:val="0"/>
          <w:numId w:val="4"/>
        </w:numPr>
        <w:tabs>
          <w:tab w:val="left" w:leader="none" w:pos="284"/>
        </w:tabs>
        <w:spacing w:after="120" w:before="120" w:line="240" w:lineRule="auto"/>
        <w:ind w:left="1080" w:hanging="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definitiva, entre las partes existe un interés recíproco en el éxito y la viabilidad del complejo edilicio a construirse, y existe también un grado de confianza especial entre ellas, por lo que el presente acuerdo debe entenderse regido por las más altas normas de la ética y la buena fe que impera en el universo de los negocios y la consideración recíproca que liga a las Partes.</w:t>
      </w:r>
    </w:p>
    <w:p w:rsidR="00000000" w:rsidDel="00000000" w:rsidP="00000000" w:rsidRDefault="00000000" w:rsidRPr="00000000" w14:paraId="0000000B">
      <w:pPr>
        <w:spacing w:after="120" w:before="12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Primera: Objeto.</w:t>
      </w:r>
    </w:p>
    <w:p w:rsidR="00000000" w:rsidDel="00000000" w:rsidP="00000000" w:rsidRDefault="00000000" w:rsidRPr="00000000" w14:paraId="0000000C">
      <w:pPr>
        <w:tabs>
          <w:tab w:val="left" w:leader="none" w:pos="426"/>
        </w:tabs>
        <w:spacing w:after="120" w:before="120" w:line="240" w:lineRule="auto"/>
        <w:ind w:left="-192"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En el marco de los Antecedentes expuestos, las Partes suscriben el presente a los efectos de documentar la operación mediante la cual el Inversionista ha entregado y colocado a disposición de la Desarrollista en fecha 3/07/2024, la suma de </w:t>
      </w:r>
      <w:r w:rsidDel="00000000" w:rsidR="00000000" w:rsidRPr="00000000">
        <w:rPr>
          <w:rFonts w:ascii="Arial Narrow" w:cs="Arial Narrow" w:eastAsia="Arial Narrow" w:hAnsi="Arial Narrow"/>
          <w:b w:val="1"/>
          <w:rtl w:val="0"/>
        </w:rPr>
        <w:t xml:space="preserve">Dólares Estadounidenses Billetes Cien Mil (u$s 100.000,00.-)</w:t>
      </w:r>
      <w:r w:rsidDel="00000000" w:rsidR="00000000" w:rsidRPr="00000000">
        <w:rPr>
          <w:rFonts w:ascii="Arial Narrow" w:cs="Arial Narrow" w:eastAsia="Arial Narrow" w:hAnsi="Arial Narrow"/>
          <w:rtl w:val="0"/>
        </w:rPr>
        <w:t xml:space="preserve"> mediante la entrega de dichas sumas en dinero en efectivo, sirviendo el presente de formal recibo y carta de pago; y la suma de </w:t>
      </w:r>
      <w:r w:rsidDel="00000000" w:rsidR="00000000" w:rsidRPr="00000000">
        <w:rPr>
          <w:rFonts w:ascii="Arial Narrow" w:cs="Arial Narrow" w:eastAsia="Arial Narrow" w:hAnsi="Arial Narrow"/>
          <w:b w:val="1"/>
          <w:rtl w:val="0"/>
        </w:rPr>
        <w:t xml:space="preserve">Pesos Tres Millones Setecientos Noventa y Un Mil Trescientos Once con Cuarenta y Dos Centavos ($3.791.311,42.-)</w:t>
      </w:r>
      <w:r w:rsidDel="00000000" w:rsidR="00000000" w:rsidRPr="00000000">
        <w:rPr>
          <w:rFonts w:ascii="Arial Narrow" w:cs="Arial Narrow" w:eastAsia="Arial Narrow" w:hAnsi="Arial Narrow"/>
          <w:rtl w:val="0"/>
        </w:rPr>
        <w:t xml:space="preserve"> mediante la realización de una transferencia bancaria directa a la escribanía encargada de llevar adelante la escrituración del Terreno en favor de </w:t>
      </w:r>
      <w:r w:rsidDel="00000000" w:rsidR="00000000" w:rsidRPr="00000000">
        <w:rPr>
          <w:rFonts w:ascii="Arial Narrow" w:cs="Arial Narrow" w:eastAsia="Arial Narrow" w:hAnsi="Arial Narrow"/>
          <w:b w:val="1"/>
          <w:rtl w:val="0"/>
        </w:rPr>
        <w:t xml:space="preserve">BTLL S.A. </w:t>
      </w:r>
      <w:r w:rsidDel="00000000" w:rsidR="00000000" w:rsidRPr="00000000">
        <w:rPr>
          <w:rFonts w:ascii="Arial Narrow" w:cs="Arial Narrow" w:eastAsia="Arial Narrow" w:hAnsi="Arial Narrow"/>
          <w:rtl w:val="0"/>
        </w:rPr>
        <w:t xml:space="preserve">desde una cuenta bancaria de su titularidad a la cuenta bancaria indicada por la referida escribanía (en adelante, las “</w:t>
      </w:r>
      <w:r w:rsidDel="00000000" w:rsidR="00000000" w:rsidRPr="00000000">
        <w:rPr>
          <w:rFonts w:ascii="Arial Narrow" w:cs="Arial Narrow" w:eastAsia="Arial Narrow" w:hAnsi="Arial Narrow"/>
          <w:u w:val="single"/>
          <w:rtl w:val="0"/>
        </w:rPr>
        <w:t xml:space="preserve">Sumas Invertidas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0D">
      <w:pPr>
        <w:tabs>
          <w:tab w:val="left" w:leader="none" w:pos="426"/>
        </w:tabs>
        <w:spacing w:after="120" w:before="120" w:line="240" w:lineRule="auto"/>
        <w:ind w:left="-192"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Las Partes acuerdan que, una vez se encuentre finalizada la etapa constructiva del Proyecto y que se encuentren entregadas la totalidad de las Unidades Funcionales a los terceros adquirentes de las mismas, el Inversionista obtendrá un Ocho Por Ciento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(8%)</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de la rentabilidad sobre las Sumas Invertidas, conforme la inversión efectuada. </w:t>
      </w:r>
    </w:p>
    <w:p w:rsidR="00000000" w:rsidDel="00000000" w:rsidP="00000000" w:rsidRDefault="00000000" w:rsidRPr="00000000" w14:paraId="0000000E">
      <w:pPr>
        <w:tabs>
          <w:tab w:val="left" w:leader="none" w:pos="426"/>
        </w:tabs>
        <w:spacing w:after="120" w:before="120" w:line="240" w:lineRule="auto"/>
        <w:ind w:left="-192"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1.3. Asimismo, se establece expresamente que las Sumas Invertidas percibidas por la Sociedad </w:t>
      </w:r>
      <w:r w:rsidDel="00000000" w:rsidR="00000000" w:rsidRPr="00000000">
        <w:rPr>
          <w:rFonts w:ascii="Arial Narrow" w:cs="Arial Narrow" w:eastAsia="Arial Narrow" w:hAnsi="Arial Narrow"/>
          <w:b w:val="1"/>
          <w:rtl w:val="0"/>
        </w:rPr>
        <w:t xml:space="preserve">BTLL S.A.</w:t>
      </w:r>
      <w:r w:rsidDel="00000000" w:rsidR="00000000" w:rsidRPr="00000000">
        <w:rPr>
          <w:rFonts w:ascii="Arial Narrow" w:cs="Arial Narrow" w:eastAsia="Arial Narrow" w:hAnsi="Arial Narrow"/>
          <w:rtl w:val="0"/>
        </w:rPr>
        <w:t xml:space="preserve"> serán aplicadas conforme al siguiente esquema:</w:t>
      </w:r>
    </w:p>
    <w:p w:rsidR="00000000" w:rsidDel="00000000" w:rsidP="00000000" w:rsidRDefault="00000000" w:rsidRPr="00000000" w14:paraId="0000000F">
      <w:pPr>
        <w:numPr>
          <w:ilvl w:val="0"/>
          <w:numId w:val="1"/>
        </w:numPr>
        <w:tabs>
          <w:tab w:val="left" w:leader="none" w:pos="426"/>
        </w:tabs>
        <w:spacing w:after="0" w:afterAutospacing="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sumas de</w:t>
      </w:r>
      <w:r w:rsidDel="00000000" w:rsidR="00000000" w:rsidRPr="00000000">
        <w:rPr>
          <w:rFonts w:ascii="Arial Narrow" w:cs="Arial Narrow" w:eastAsia="Arial Narrow" w:hAnsi="Arial Narrow"/>
          <w:b w:val="1"/>
          <w:rtl w:val="0"/>
        </w:rPr>
        <w:t xml:space="preserve"> Dólares Estadounidenses Billetes Sesenta y Dos Mil (u$s 62.000.-)</w:t>
      </w:r>
      <w:r w:rsidDel="00000000" w:rsidR="00000000" w:rsidRPr="00000000">
        <w:rPr>
          <w:rFonts w:ascii="Arial Narrow" w:cs="Arial Narrow" w:eastAsia="Arial Narrow" w:hAnsi="Arial Narrow"/>
          <w:rtl w:val="0"/>
        </w:rPr>
        <w:t xml:space="preserve">, serán destinadas únicamente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al </w:t>
      </w:r>
      <w:r w:rsidDel="00000000" w:rsidR="00000000" w:rsidRPr="00000000">
        <w:rPr>
          <w:rFonts w:ascii="Arial Narrow" w:cs="Arial Narrow" w:eastAsia="Arial Narrow" w:hAnsi="Arial Narrow"/>
          <w:u w:val="single"/>
          <w:rtl w:val="0"/>
        </w:rPr>
        <w:t xml:space="preserve">fondeo del pago del Terreno. </w:t>
      </w:r>
    </w:p>
    <w:p w:rsidR="00000000" w:rsidDel="00000000" w:rsidP="00000000" w:rsidRDefault="00000000" w:rsidRPr="00000000" w14:paraId="00000010">
      <w:pPr>
        <w:numPr>
          <w:ilvl w:val="0"/>
          <w:numId w:val="1"/>
        </w:numPr>
        <w:tabs>
          <w:tab w:val="left" w:leader="none" w:pos="426"/>
        </w:tabs>
        <w:spacing w:after="120" w:before="0" w:beforeAutospacing="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sumas de </w:t>
      </w:r>
      <w:r w:rsidDel="00000000" w:rsidR="00000000" w:rsidRPr="00000000">
        <w:rPr>
          <w:rFonts w:ascii="Arial Narrow" w:cs="Arial Narrow" w:eastAsia="Arial Narrow" w:hAnsi="Arial Narrow"/>
          <w:b w:val="1"/>
          <w:rtl w:val="0"/>
        </w:rPr>
        <w:t xml:space="preserve">Dólares Estadounidenses Billetes Treinta y Ocho Mil (u$s 38.000.-), </w:t>
      </w:r>
      <w:r w:rsidDel="00000000" w:rsidR="00000000" w:rsidRPr="00000000">
        <w:rPr>
          <w:rFonts w:ascii="Arial Narrow" w:cs="Arial Narrow" w:eastAsia="Arial Narrow" w:hAnsi="Arial Narrow"/>
          <w:rtl w:val="0"/>
        </w:rPr>
        <w:t xml:space="preserve">serán destinadas únicamente</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a la </w:t>
      </w:r>
      <w:r w:rsidDel="00000000" w:rsidR="00000000" w:rsidRPr="00000000">
        <w:rPr>
          <w:rFonts w:ascii="Arial Narrow" w:cs="Arial Narrow" w:eastAsia="Arial Narrow" w:hAnsi="Arial Narrow"/>
          <w:u w:val="single"/>
          <w:rtl w:val="0"/>
        </w:rPr>
        <w:t xml:space="preserve">ejecución del Proyecto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1">
      <w:pPr>
        <w:numPr>
          <w:ilvl w:val="0"/>
          <w:numId w:val="1"/>
        </w:numPr>
        <w:spacing w:after="120" w:before="12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sumas de </w:t>
      </w:r>
      <w:r w:rsidDel="00000000" w:rsidR="00000000" w:rsidRPr="00000000">
        <w:rPr>
          <w:rFonts w:ascii="Arial Narrow" w:cs="Arial Narrow" w:eastAsia="Arial Narrow" w:hAnsi="Arial Narrow"/>
          <w:b w:val="1"/>
          <w:rtl w:val="0"/>
        </w:rPr>
        <w:t xml:space="preserve">Pesos Tres Millones Setecientos Noventa y Un Mil Trescientos Once con Cuarenta y Dos Centavos ($3.791.311,42.-)</w:t>
      </w:r>
      <w:r w:rsidDel="00000000" w:rsidR="00000000" w:rsidRPr="00000000">
        <w:rPr>
          <w:rFonts w:ascii="Arial Narrow" w:cs="Arial Narrow" w:eastAsia="Arial Narrow" w:hAnsi="Arial Narrow"/>
          <w:rtl w:val="0"/>
        </w:rPr>
        <w:t xml:space="preserve">, serán destinadas únicamente a los </w:t>
      </w:r>
      <w:r w:rsidDel="00000000" w:rsidR="00000000" w:rsidRPr="00000000">
        <w:rPr>
          <w:rFonts w:ascii="Arial Narrow" w:cs="Arial Narrow" w:eastAsia="Arial Narrow" w:hAnsi="Arial Narrow"/>
          <w:u w:val="single"/>
          <w:rtl w:val="0"/>
        </w:rPr>
        <w:t xml:space="preserve">costos de escrituración</w:t>
      </w:r>
      <w:r w:rsidDel="00000000" w:rsidR="00000000" w:rsidRPr="00000000">
        <w:rPr>
          <w:rFonts w:ascii="Arial Narrow" w:cs="Arial Narrow" w:eastAsia="Arial Narrow" w:hAnsi="Arial Narrow"/>
          <w:rtl w:val="0"/>
        </w:rPr>
        <w:t xml:space="preserve"> del Terreno en favor de </w:t>
      </w:r>
      <w:r w:rsidDel="00000000" w:rsidR="00000000" w:rsidRPr="00000000">
        <w:rPr>
          <w:rFonts w:ascii="Arial Narrow" w:cs="Arial Narrow" w:eastAsia="Arial Narrow" w:hAnsi="Arial Narrow"/>
          <w:b w:val="1"/>
          <w:rtl w:val="0"/>
        </w:rPr>
        <w:t xml:space="preserve">BTLL S.A.</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2">
      <w:pPr>
        <w:tabs>
          <w:tab w:val="left" w:leader="none" w:pos="426"/>
        </w:tabs>
        <w:spacing w:after="120" w:before="120" w:line="240" w:lineRule="auto"/>
        <w:ind w:left="-192"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La cancelación de las sumas colocadas a disposición, y la distribución de la rentabilidad arrojada por el Proyecto podrá consistir originariamente en:</w:t>
      </w:r>
    </w:p>
    <w:p w:rsidR="00000000" w:rsidDel="00000000" w:rsidP="00000000" w:rsidRDefault="00000000" w:rsidRPr="00000000" w14:paraId="00000013">
      <w:pPr>
        <w:spacing w:after="120" w:before="120"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(a)  En efectivo, siempre respetando el porcentaje de participación, y en idéntica moneda;</w:t>
      </w:r>
    </w:p>
    <w:p w:rsidR="00000000" w:rsidDel="00000000" w:rsidP="00000000" w:rsidRDefault="00000000" w:rsidRPr="00000000" w14:paraId="00000014">
      <w:pPr>
        <w:spacing w:after="120" w:before="120" w:line="240" w:lineRule="auto"/>
        <w:ind w:left="567"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1.4. (b) En su defecto, en metros cuadrados construidos en el Proyecto, según esquema de reparto que se acordará oportunamente con la Sociedad. Toda distribución se debe realizar en forma equitativa y proporcional al monto de inversión, tanto sea en especie (unidades construidas), en moneda en efectivo, o un mix de ambas, intentando contemporizar los intereses de todas las partes.</w:t>
      </w:r>
    </w:p>
    <w:p w:rsidR="00000000" w:rsidDel="00000000" w:rsidP="00000000" w:rsidRDefault="00000000" w:rsidRPr="00000000" w14:paraId="00000015">
      <w:pPr>
        <w:spacing w:after="120" w:before="12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Segunda: Precio Total De Compra del Terreno: </w:t>
      </w:r>
    </w:p>
    <w:p w:rsidR="00000000" w:rsidDel="00000000" w:rsidP="00000000" w:rsidRDefault="00000000" w:rsidRPr="00000000" w14:paraId="00000016">
      <w:pPr>
        <w:spacing w:after="120" w:before="120" w:line="240"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2.1. El Precio de Compra del Terreno es el que surge del instrumento de transmisión de dominio a título de venta que será celebrado el día de la fecha, esto es la suma total de </w:t>
      </w:r>
      <w:r w:rsidDel="00000000" w:rsidR="00000000" w:rsidRPr="00000000">
        <w:rPr>
          <w:rFonts w:ascii="Arial Narrow" w:cs="Arial Narrow" w:eastAsia="Arial Narrow" w:hAnsi="Arial Narrow"/>
          <w:b w:val="1"/>
          <w:rtl w:val="0"/>
        </w:rPr>
        <w:t xml:space="preserve">Dólares Estadounidenses Billetes Ciento Sesenta y Dos Mil  (u$s 162.000</w:t>
      </w:r>
      <w:r w:rsidDel="00000000" w:rsidR="00000000" w:rsidRPr="00000000">
        <w:rPr>
          <w:rFonts w:ascii="Arial Narrow" w:cs="Arial Narrow" w:eastAsia="Arial Narrow" w:hAnsi="Arial Narrow"/>
          <w:b w:val="1"/>
          <w:rtl w:val="0"/>
        </w:rPr>
        <w:t xml:space="preserve">.-</w:t>
      </w:r>
      <w:r w:rsidDel="00000000" w:rsidR="00000000" w:rsidRPr="00000000">
        <w:rPr>
          <w:rFonts w:ascii="Arial Narrow" w:cs="Arial Narrow" w:eastAsia="Arial Narrow" w:hAnsi="Arial Narrow"/>
          <w:b w:val="1"/>
          <w:rtl w:val="0"/>
        </w:rPr>
        <w:t xml:space="preserve">).</w:t>
      </w:r>
      <w:r w:rsidDel="00000000" w:rsidR="00000000" w:rsidRPr="00000000">
        <w:rPr>
          <w:rtl w:val="0"/>
        </w:rPr>
      </w:r>
    </w:p>
    <w:p w:rsidR="00000000" w:rsidDel="00000000" w:rsidP="00000000" w:rsidRDefault="00000000" w:rsidRPr="00000000" w14:paraId="00000017">
      <w:pPr>
        <w:spacing w:after="120" w:before="12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Tercera: Solución de Controversias.</w:t>
      </w:r>
    </w:p>
    <w:p w:rsidR="00000000" w:rsidDel="00000000" w:rsidP="00000000" w:rsidRDefault="00000000" w:rsidRPr="00000000" w14:paraId="00000018">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3.1. Cualquier divergencia, disputa o controversia que surja entre las Partes, en primer término, será resuelta de manera amistosa, privada y guiada por la buena fe contractual. Sólo en el caso de que tal iniciativa privada fallará, el conflicto será sometido a los Tribunales ordinarios sitos en la Ciudad Autónoma de Buenos Aires, renunciando ambas Partes expresamente a cualquier otro fuero y/o jurisdicción que pudiere corresponder.</w:t>
      </w:r>
    </w:p>
    <w:p w:rsidR="00000000" w:rsidDel="00000000" w:rsidP="00000000" w:rsidRDefault="00000000" w:rsidRPr="00000000" w14:paraId="00000019">
      <w:pPr>
        <w:spacing w:after="120" w:before="12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Cuarta: Irrenunciabilidad de los Derechos.</w:t>
      </w:r>
    </w:p>
    <w:p w:rsidR="00000000" w:rsidDel="00000000" w:rsidP="00000000" w:rsidRDefault="00000000" w:rsidRPr="00000000" w14:paraId="0000001A">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La eventual falta de ejercicio por parte del Inversionistas de cualquiera de los derechos que este contrato le concede, así como el otorgamiento a la Desarrollista, bajo cualquier forma jurídica, de una prórroga en los plazos pactados, no implicará la renuncia a esos derechos ni a sus garantías, ni impedirá a la Inversionista, ejercer tales derechos u otros en lo sucesivo.</w:t>
      </w:r>
    </w:p>
    <w:p w:rsidR="00000000" w:rsidDel="00000000" w:rsidP="00000000" w:rsidRDefault="00000000" w:rsidRPr="00000000" w14:paraId="0000001B">
      <w:pPr>
        <w:spacing w:after="120" w:before="12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Quinta: Contactos Principales.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before="240" w:line="240" w:lineRule="auto"/>
        <w:jc w:val="both"/>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5</w:t>
      </w:r>
      <w:r w:rsidDel="00000000" w:rsidR="00000000" w:rsidRPr="00000000">
        <w:rPr>
          <w:rFonts w:ascii="Arial Narrow" w:cs="Arial Narrow" w:eastAsia="Arial Narrow" w:hAnsi="Arial Narrow"/>
          <w:color w:val="000000"/>
          <w:rtl w:val="0"/>
        </w:rPr>
        <w:t xml:space="preserve">.1. A los efectos del presente Contrato, las Partes constituyen como medios de comunicación donde se tendrán por válidas las comunicaciones realizadas entre ellos, produciendo todos los efectos jurídicos correspondientes de todas las comunicaciones y/o citaciones y/o intimaciones y/o reclamos y/o interpelaciones y/o notificaciones, judiciales o extrajudiciales, que deban ser cursadas entre las Partes. Todas las notificaciones realizadas bajo el presente Acuerdo deberán ser efectuadas por escrito y entregadas por mano, courier aéreo o correo certificado, con acuse de recibo (o cualquier otro medio de comunicación fehaciente). Las direcciones para las notificaciones realizadas de acuerdo al presente Contrato podrán ser modificadas mediante aviso escrito fehaciente dado a la otra parte con cinco (5) días de anticipación a la fecha en que pretenda hacerse efectiva dicha modificación; a saber: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before="120" w:line="240" w:lineRule="auto"/>
        <w:ind w:left="993" w:firstLine="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5</w:t>
      </w:r>
      <w:r w:rsidDel="00000000" w:rsidR="00000000" w:rsidRPr="00000000">
        <w:rPr>
          <w:rFonts w:ascii="Arial Narrow" w:cs="Arial Narrow" w:eastAsia="Arial Narrow" w:hAnsi="Arial Narrow"/>
          <w:color w:val="000000"/>
          <w:rtl w:val="0"/>
        </w:rPr>
        <w:t xml:space="preserve">.1.1.</w:t>
      </w:r>
      <w:r w:rsidDel="00000000" w:rsidR="00000000" w:rsidRPr="00000000">
        <w:rPr>
          <w:rFonts w:ascii="Arial Narrow" w:cs="Arial Narrow" w:eastAsia="Arial Narrow" w:hAnsi="Arial Narrow"/>
          <w:b w:val="1"/>
          <w:color w:val="000000"/>
          <w:rtl w:val="0"/>
        </w:rPr>
        <w:t xml:space="preserve"> </w:t>
      </w:r>
      <w:r w:rsidDel="00000000" w:rsidR="00000000" w:rsidRPr="00000000">
        <w:rPr>
          <w:rFonts w:ascii="Arial Narrow" w:cs="Arial Narrow" w:eastAsia="Arial Narrow" w:hAnsi="Arial Narrow"/>
          <w:b w:val="1"/>
          <w:color w:val="000000"/>
          <w:u w:val="single"/>
          <w:rtl w:val="0"/>
        </w:rPr>
        <w:t xml:space="preserve">Inversionista:</w:t>
      </w:r>
      <w:r w:rsidDel="00000000" w:rsidR="00000000" w:rsidRPr="00000000">
        <w:rPr>
          <w:rtl w:val="0"/>
        </w:rPr>
      </w:r>
    </w:p>
    <w:p w:rsidR="00000000" w:rsidDel="00000000" w:rsidP="00000000" w:rsidRDefault="00000000" w:rsidRPr="00000000" w14:paraId="0000001E">
      <w:pPr>
        <w:tabs>
          <w:tab w:val="left" w:leader="none" w:pos="2127"/>
        </w:tabs>
        <w:spacing w:after="120" w:before="120" w:line="240" w:lineRule="auto"/>
        <w:ind w:left="720" w:firstLine="720"/>
        <w:jc w:val="both"/>
        <w:rPr>
          <w:rFonts w:ascii="Arial Narrow" w:cs="Arial Narrow" w:eastAsia="Arial Narrow" w:hAnsi="Arial Narrow"/>
          <w:color w:val="ff0000"/>
        </w:rPr>
      </w:pPr>
      <w:r w:rsidDel="00000000" w:rsidR="00000000" w:rsidRPr="00000000">
        <w:rPr>
          <w:rFonts w:ascii="Arial Narrow" w:cs="Arial Narrow" w:eastAsia="Arial Narrow" w:hAnsi="Arial Narrow"/>
          <w:rtl w:val="0"/>
        </w:rPr>
        <w:t xml:space="preserve">- Domicilio</w:t>
      </w:r>
      <w:r w:rsidDel="00000000" w:rsidR="00000000" w:rsidRPr="00000000">
        <w:rPr>
          <w:rFonts w:ascii="Arial Narrow" w:cs="Arial Narrow" w:eastAsia="Arial Narrow" w:hAnsi="Arial Narrow"/>
          <w:b w:val="1"/>
          <w:rtl w:val="0"/>
        </w:rPr>
        <w:t xml:space="preserve">: </w:t>
      </w:r>
      <w:r w:rsidDel="00000000" w:rsidR="00000000" w:rsidRPr="00000000">
        <w:rPr>
          <w:rFonts w:ascii="Arial Narrow" w:cs="Arial Narrow" w:eastAsia="Arial Narrow" w:hAnsi="Arial Narrow"/>
          <w:rtl w:val="0"/>
        </w:rPr>
        <w:t xml:space="preserve">Joaquín V. Gonzalez 4174, Capital Federal </w:t>
      </w:r>
      <w:r w:rsidDel="00000000" w:rsidR="00000000" w:rsidRPr="00000000">
        <w:rPr>
          <w:rtl w:val="0"/>
        </w:rPr>
      </w:r>
    </w:p>
    <w:p w:rsidR="00000000" w:rsidDel="00000000" w:rsidP="00000000" w:rsidRDefault="00000000" w:rsidRPr="00000000" w14:paraId="0000001F">
      <w:pPr>
        <w:tabs>
          <w:tab w:val="left" w:leader="none" w:pos="2127"/>
        </w:tabs>
        <w:spacing w:after="120" w:before="120" w:line="240" w:lineRule="auto"/>
        <w:ind w:left="720" w:firstLine="72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Teléfono: 1124813167</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120" w:before="120" w:line="240" w:lineRule="auto"/>
        <w:ind w:left="993" w:firstLine="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5</w:t>
      </w:r>
      <w:r w:rsidDel="00000000" w:rsidR="00000000" w:rsidRPr="00000000">
        <w:rPr>
          <w:rFonts w:ascii="Arial Narrow" w:cs="Arial Narrow" w:eastAsia="Arial Narrow" w:hAnsi="Arial Narrow"/>
          <w:color w:val="000000"/>
          <w:rtl w:val="0"/>
        </w:rPr>
        <w:t xml:space="preserve">.1.2. </w:t>
      </w:r>
      <w:r w:rsidDel="00000000" w:rsidR="00000000" w:rsidRPr="00000000">
        <w:rPr>
          <w:rFonts w:ascii="Arial Narrow" w:cs="Arial Narrow" w:eastAsia="Arial Narrow" w:hAnsi="Arial Narrow"/>
          <w:b w:val="1"/>
          <w:u w:val="single"/>
          <w:rtl w:val="0"/>
        </w:rPr>
        <w:t xml:space="preserve">Desarrollista</w:t>
      </w:r>
      <w:r w:rsidDel="00000000" w:rsidR="00000000" w:rsidRPr="00000000">
        <w:rPr>
          <w:rFonts w:ascii="Arial Narrow" w:cs="Arial Narrow" w:eastAsia="Arial Narrow" w:hAnsi="Arial Narrow"/>
          <w:b w:val="1"/>
          <w:color w:val="000000"/>
          <w:rtl w:val="0"/>
        </w:rPr>
        <w:t xml:space="preserve">:</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120" w:before="120" w:line="240" w:lineRule="auto"/>
        <w:ind w:left="720" w:firstLine="414.00000000000006"/>
        <w:rPr>
          <w:color w:val="000000"/>
          <w:sz w:val="22"/>
          <w:szCs w:val="22"/>
        </w:rPr>
      </w:pPr>
      <w:r w:rsidDel="00000000" w:rsidR="00000000" w:rsidRPr="00000000">
        <w:rPr>
          <w:rFonts w:ascii="Arial Narrow" w:cs="Arial Narrow" w:eastAsia="Arial Narrow" w:hAnsi="Arial Narrow"/>
          <w:rtl w:val="0"/>
        </w:rPr>
        <w:t xml:space="preserve">Domicilio: Joaquín V. Gonzalez 4174, Capital Federal</w:t>
      </w:r>
      <w:r w:rsidDel="00000000" w:rsidR="00000000" w:rsidRPr="00000000">
        <w:rPr>
          <w:rFonts w:ascii="Arial Narrow" w:cs="Arial Narrow" w:eastAsia="Arial Narrow" w:hAnsi="Arial Narrow"/>
          <w:color w:val="000000"/>
          <w:rtl w:val="0"/>
        </w:rPr>
        <w:t xml:space="preserve">;</w:t>
      </w:r>
      <w:r w:rsidDel="00000000" w:rsidR="00000000" w:rsidRPr="00000000">
        <w:rPr>
          <w:rFonts w:ascii="Arial Narrow" w:cs="Arial Narrow" w:eastAsia="Arial Narrow" w:hAnsi="Arial Narrow"/>
          <w:color w:val="ff0000"/>
          <w:rtl w:val="0"/>
        </w:rPr>
        <w:t xml:space="preserve"> </w:t>
      </w:r>
      <w:r w:rsidDel="00000000" w:rsidR="00000000" w:rsidRPr="00000000">
        <w:rPr>
          <w:rFonts w:ascii="Arial Narrow" w:cs="Arial Narrow" w:eastAsia="Arial Narrow" w:hAnsi="Arial Narrow"/>
          <w:color w:val="000000"/>
          <w:rtl w:val="0"/>
        </w:rPr>
        <w:t xml:space="preserve"> </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120" w:before="120" w:line="240" w:lineRule="auto"/>
        <w:ind w:left="720" w:firstLine="414.00000000000006"/>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rtl w:val="0"/>
        </w:rPr>
        <w:t xml:space="preserve">Teléfono: 1155621476</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120" w:line="240" w:lineRule="auto"/>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4">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5">
      <w:pPr>
        <w:spacing w:after="120" w:before="120" w:line="240" w:lineRule="auto"/>
        <w:rPr>
          <w:rFonts w:ascii="Arial Narrow" w:cs="Arial Narrow" w:eastAsia="Arial Narrow" w:hAnsi="Arial Narrow"/>
        </w:rPr>
      </w:pPr>
      <w:r w:rsidDel="00000000" w:rsidR="00000000" w:rsidRPr="00000000">
        <w:rPr>
          <w:rtl w:val="0"/>
        </w:rPr>
      </w:r>
    </w:p>
    <w:sectPr>
      <w:pgSz w:h="16838" w:w="11906" w:orient="portrait"/>
      <w:pgMar w:bottom="1418" w:top="1702" w:left="851"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1004" w:hanging="360"/>
      </w:pPr>
      <w:rPr>
        <w:rFonts w:ascii="Arial Narrow" w:cs="Arial Narrow" w:eastAsia="Arial Narrow" w:hAnsi="Arial Narrow"/>
        <w:b w:val="0"/>
        <w:sz w:val="22"/>
        <w:szCs w:val="22"/>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4">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