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b/>
          <w:color w:val="000000"/>
          <w:u w:val="single"/>
        </w:rPr>
        <w:t>BOLETO DE COMPRAVENTA</w:t>
      </w:r>
    </w:p>
    <w:p w14:paraId="00000002" w14:textId="77777777" w:rsidR="000D4A3B" w:rsidRDefault="000D4A3B">
      <w:pPr>
        <w:spacing w:after="0" w:line="240" w:lineRule="auto"/>
        <w:rPr>
          <w:rFonts w:ascii="Times New Roman" w:eastAsia="Times New Roman" w:hAnsi="Times New Roman" w:cs="Times New Roman"/>
          <w:sz w:val="24"/>
          <w:szCs w:val="24"/>
        </w:rPr>
      </w:pPr>
    </w:p>
    <w:p w14:paraId="00000003" w14:textId="61B53AB1" w:rsidR="000D4A3B" w:rsidRDefault="00000000">
      <w:pPr>
        <w:spacing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En la Ciudad Autónoma de </w:t>
      </w:r>
      <w:r w:rsidRPr="00434660">
        <w:rPr>
          <w:rFonts w:ascii="Arial Narrow" w:eastAsia="Arial Narrow" w:hAnsi="Arial Narrow" w:cs="Arial Narrow"/>
        </w:rPr>
        <w:t xml:space="preserve">Buenos Aires, a los </w:t>
      </w:r>
      <w:r w:rsidR="00742797">
        <w:rPr>
          <w:rFonts w:ascii="Arial Narrow" w:eastAsia="Arial Narrow" w:hAnsi="Arial Narrow" w:cs="Arial Narrow"/>
        </w:rPr>
        <w:t xml:space="preserve">03 </w:t>
      </w:r>
      <w:r w:rsidRPr="00434660">
        <w:rPr>
          <w:rFonts w:ascii="Arial Narrow" w:eastAsia="Arial Narrow" w:hAnsi="Arial Narrow" w:cs="Arial Narrow"/>
        </w:rPr>
        <w:t xml:space="preserve">días del mes de </w:t>
      </w:r>
      <w:r w:rsidR="00742797">
        <w:rPr>
          <w:rFonts w:ascii="Arial Narrow" w:eastAsia="Arial Narrow" w:hAnsi="Arial Narrow" w:cs="Arial Narrow"/>
        </w:rPr>
        <w:t>septiembre</w:t>
      </w:r>
      <w:r w:rsidR="00434660" w:rsidRPr="00434660">
        <w:rPr>
          <w:rFonts w:ascii="Arial Narrow" w:eastAsia="Arial Narrow" w:hAnsi="Arial Narrow" w:cs="Arial Narrow"/>
        </w:rPr>
        <w:t xml:space="preserve"> </w:t>
      </w:r>
      <w:r w:rsidRPr="00434660">
        <w:rPr>
          <w:rFonts w:ascii="Arial Narrow" w:eastAsia="Arial Narrow" w:hAnsi="Arial Narrow" w:cs="Arial Narrow"/>
        </w:rPr>
        <w:t xml:space="preserve">de dos mil veinticuatro </w:t>
      </w:r>
      <w:r>
        <w:rPr>
          <w:rFonts w:ascii="Arial Narrow" w:eastAsia="Arial Narrow" w:hAnsi="Arial Narrow" w:cs="Arial Narrow"/>
          <w:color w:val="000000"/>
          <w:u w:val="single"/>
        </w:rPr>
        <w:t>Comparecen</w:t>
      </w:r>
      <w:r>
        <w:rPr>
          <w:rFonts w:ascii="Arial Narrow" w:eastAsia="Arial Narrow" w:hAnsi="Arial Narrow" w:cs="Arial Narrow"/>
          <w:color w:val="000000"/>
        </w:rPr>
        <w:t>: </w:t>
      </w:r>
    </w:p>
    <w:p w14:paraId="00000004" w14:textId="6F8086C7" w:rsidR="000D4A3B" w:rsidRPr="00C91DCC" w:rsidRDefault="00000000" w:rsidP="00C91DCC">
      <w:pPr>
        <w:numPr>
          <w:ilvl w:val="0"/>
          <w:numId w:val="4"/>
        </w:numPr>
        <w:pBdr>
          <w:top w:val="nil"/>
          <w:left w:val="nil"/>
          <w:bottom w:val="nil"/>
          <w:right w:val="nil"/>
          <w:between w:val="nil"/>
        </w:pBdr>
        <w:spacing w:before="120" w:after="120" w:line="240" w:lineRule="auto"/>
        <w:jc w:val="both"/>
        <w:rPr>
          <w:rFonts w:ascii="Arial Narrow" w:eastAsia="Arial Narrow" w:hAnsi="Arial Narrow" w:cs="Arial Narrow"/>
          <w:b/>
          <w:bCs/>
          <w:color w:val="000000"/>
        </w:rPr>
      </w:pPr>
      <w:r w:rsidRPr="00C91DCC">
        <w:rPr>
          <w:rFonts w:ascii="Arial Narrow" w:eastAsia="Arial Narrow" w:hAnsi="Arial Narrow" w:cs="Arial Narrow"/>
          <w:color w:val="000000"/>
        </w:rPr>
        <w:t xml:space="preserve">Por una parte, el </w:t>
      </w:r>
      <w:r w:rsidR="00C91DCC" w:rsidRPr="00C91DCC">
        <w:rPr>
          <w:rFonts w:ascii="Arial Narrow" w:eastAsia="Arial Narrow" w:hAnsi="Arial Narrow" w:cs="Arial Narrow"/>
          <w:color w:val="000000"/>
        </w:rPr>
        <w:t xml:space="preserve">Sr. </w:t>
      </w:r>
      <w:r w:rsidR="00C91DCC" w:rsidRPr="00C91DCC">
        <w:rPr>
          <w:rFonts w:ascii="Arial Narrow" w:eastAsia="Arial Narrow" w:hAnsi="Arial Narrow" w:cs="Arial Narrow"/>
          <w:b/>
          <w:bCs/>
          <w:color w:val="000000"/>
        </w:rPr>
        <w:t>Sebastián Leonardo Safdie</w:t>
      </w:r>
      <w:r w:rsidR="00C91DCC" w:rsidRPr="00C91DCC">
        <w:rPr>
          <w:rFonts w:ascii="Arial Narrow" w:eastAsia="Arial Narrow" w:hAnsi="Arial Narrow" w:cs="Arial Narrow"/>
          <w:color w:val="000000"/>
        </w:rPr>
        <w:t xml:space="preserve">, argentino, titular del Documento Nacional de Identidad número 31.252.043, en mi carácter de Presidente de la sociedad comercial </w:t>
      </w:r>
      <w:r w:rsidR="00C91DCC">
        <w:rPr>
          <w:rFonts w:ascii="Arial Narrow" w:eastAsia="Arial Narrow" w:hAnsi="Arial Narrow" w:cs="Arial Narrow"/>
          <w:b/>
          <w:color w:val="000000"/>
        </w:rPr>
        <w:t>DONADO 2148 S.A.</w:t>
      </w:r>
      <w:r w:rsidR="00C91DCC">
        <w:rPr>
          <w:rFonts w:ascii="Arial Narrow" w:eastAsia="Arial Narrow" w:hAnsi="Arial Narrow" w:cs="Arial Narrow"/>
          <w:color w:val="000000"/>
        </w:rPr>
        <w:t>, titular de la C.U.I.T. 30-71819785-2</w:t>
      </w:r>
      <w:r w:rsidR="00C91DCC" w:rsidRPr="00C91DCC">
        <w:rPr>
          <w:rFonts w:ascii="Arial Narrow" w:eastAsia="Arial Narrow" w:hAnsi="Arial Narrow" w:cs="Arial Narrow"/>
          <w:color w:val="000000"/>
        </w:rPr>
        <w:t xml:space="preserve">, constituyendo domicilio contractual en la calle </w:t>
      </w:r>
      <w:r w:rsidR="00C91DCC">
        <w:rPr>
          <w:rFonts w:ascii="Arial Narrow" w:eastAsia="Arial Narrow" w:hAnsi="Arial Narrow" w:cs="Arial Narrow"/>
          <w:color w:val="000000"/>
        </w:rPr>
        <w:t>Gorriti 5963 Piso 2do.</w:t>
      </w:r>
      <w:r w:rsidR="00C91DCC" w:rsidRPr="00C91DCC">
        <w:rPr>
          <w:rFonts w:ascii="Arial Narrow" w:eastAsia="Arial Narrow" w:hAnsi="Arial Narrow" w:cs="Arial Narrow"/>
          <w:color w:val="000000"/>
        </w:rPr>
        <w:t xml:space="preserve"> de la Ciudad Autónoma de Buenos Aires, en adelante, el “</w:t>
      </w:r>
      <w:r w:rsidR="00C91DCC" w:rsidRPr="00C91DCC">
        <w:rPr>
          <w:rFonts w:ascii="Arial Narrow" w:eastAsia="Arial Narrow" w:hAnsi="Arial Narrow" w:cs="Arial Narrow"/>
          <w:color w:val="000000"/>
          <w:u w:val="single"/>
        </w:rPr>
        <w:t>Vendedor</w:t>
      </w:r>
      <w:r w:rsidR="00C91DCC" w:rsidRPr="00C91DCC">
        <w:rPr>
          <w:rFonts w:ascii="Arial Narrow" w:eastAsia="Arial Narrow" w:hAnsi="Arial Narrow" w:cs="Arial Narrow"/>
          <w:color w:val="000000"/>
        </w:rPr>
        <w:t>” o la “</w:t>
      </w:r>
      <w:r w:rsidR="00C91DCC" w:rsidRPr="00C91DCC">
        <w:rPr>
          <w:rFonts w:ascii="Arial Narrow" w:eastAsia="Arial Narrow" w:hAnsi="Arial Narrow" w:cs="Arial Narrow"/>
          <w:color w:val="000000"/>
          <w:u w:val="single"/>
        </w:rPr>
        <w:t>Vendedora</w:t>
      </w:r>
      <w:r w:rsidR="00C91DCC" w:rsidRPr="00C91DCC">
        <w:rPr>
          <w:rFonts w:ascii="Arial Narrow" w:eastAsia="Arial Narrow" w:hAnsi="Arial Narrow" w:cs="Arial Narrow"/>
          <w:color w:val="000000"/>
        </w:rPr>
        <w:t>”);</w:t>
      </w:r>
    </w:p>
    <w:p w14:paraId="00000005" w14:textId="01D2A3BD" w:rsidR="000D4A3B" w:rsidRDefault="00000000">
      <w:pPr>
        <w:numPr>
          <w:ilvl w:val="0"/>
          <w:numId w:val="4"/>
        </w:numPr>
        <w:pBdr>
          <w:top w:val="nil"/>
          <w:left w:val="nil"/>
          <w:bottom w:val="nil"/>
          <w:right w:val="nil"/>
          <w:between w:val="nil"/>
        </w:pBdr>
        <w:spacing w:before="120" w:after="120" w:line="240" w:lineRule="auto"/>
        <w:jc w:val="both"/>
        <w:rPr>
          <w:rFonts w:ascii="Arial Narrow" w:eastAsia="Arial Narrow" w:hAnsi="Arial Narrow" w:cs="Arial Narrow"/>
          <w:color w:val="000000"/>
        </w:rPr>
      </w:pPr>
      <w:r>
        <w:rPr>
          <w:rFonts w:ascii="Arial Narrow" w:eastAsia="Arial Narrow" w:hAnsi="Arial Narrow" w:cs="Arial Narrow"/>
          <w:color w:val="000000"/>
        </w:rPr>
        <w:t xml:space="preserve">Y por la otra, el Sr. </w:t>
      </w:r>
      <w:r w:rsidR="00742797" w:rsidRPr="002768BA">
        <w:rPr>
          <w:rFonts w:ascii="Arial Narrow" w:eastAsia="Arial Narrow" w:hAnsi="Arial Narrow" w:cs="Arial Narrow"/>
          <w:b/>
          <w:bCs/>
          <w:color w:val="000000"/>
        </w:rPr>
        <w:t xml:space="preserve">Federico Daniel </w:t>
      </w:r>
      <w:proofErr w:type="spellStart"/>
      <w:r w:rsidR="00742797" w:rsidRPr="002768BA">
        <w:rPr>
          <w:rFonts w:ascii="Arial Narrow" w:eastAsia="Arial Narrow" w:hAnsi="Arial Narrow" w:cs="Arial Narrow"/>
          <w:b/>
          <w:bCs/>
          <w:color w:val="000000"/>
        </w:rPr>
        <w:t>Salomon</w:t>
      </w:r>
      <w:proofErr w:type="spellEnd"/>
      <w:r>
        <w:rPr>
          <w:rFonts w:ascii="Arial Narrow" w:eastAsia="Arial Narrow" w:hAnsi="Arial Narrow" w:cs="Arial Narrow"/>
          <w:color w:val="000000"/>
        </w:rPr>
        <w:t>, argentino, titular del Documento Nacional de Identidad número</w:t>
      </w:r>
      <w:r w:rsidR="00742797">
        <w:rPr>
          <w:rFonts w:ascii="Arial Narrow" w:eastAsia="Arial Narrow" w:hAnsi="Arial Narrow" w:cs="Arial Narrow"/>
          <w:color w:val="000000"/>
        </w:rPr>
        <w:t xml:space="preserve"> 29.246.442</w:t>
      </w:r>
      <w:r>
        <w:rPr>
          <w:rFonts w:ascii="Arial Narrow" w:eastAsia="Arial Narrow" w:hAnsi="Arial Narrow" w:cs="Arial Narrow"/>
          <w:color w:val="000000"/>
        </w:rPr>
        <w:t xml:space="preserve">, C.U.I.T. </w:t>
      </w:r>
      <w:r>
        <w:rPr>
          <w:rFonts w:ascii="Arial Narrow" w:eastAsia="Arial Narrow" w:hAnsi="Arial Narrow" w:cs="Arial Narrow"/>
          <w:color w:val="FF0000"/>
        </w:rPr>
        <w:t>****</w:t>
      </w:r>
      <w:r>
        <w:rPr>
          <w:rFonts w:ascii="Arial Narrow" w:eastAsia="Arial Narrow" w:hAnsi="Arial Narrow" w:cs="Arial Narrow"/>
          <w:color w:val="000000"/>
        </w:rPr>
        <w:t>,</w:t>
      </w:r>
      <w:r w:rsidR="00C91DCC">
        <w:rPr>
          <w:rFonts w:ascii="Arial Narrow" w:eastAsia="Arial Narrow" w:hAnsi="Arial Narrow" w:cs="Arial Narrow"/>
          <w:color w:val="000000"/>
        </w:rPr>
        <w:t xml:space="preserve"> de estado civil</w:t>
      </w:r>
      <w:r w:rsidR="00C91DCC" w:rsidRPr="00A868BB">
        <w:rPr>
          <w:rFonts w:ascii="Arial Narrow" w:eastAsia="Arial Narrow" w:hAnsi="Arial Narrow" w:cs="Arial Narrow"/>
          <w:color w:val="FF0000"/>
        </w:rPr>
        <w:t xml:space="preserve"> (soltero/Casado y nupcias)</w:t>
      </w:r>
      <w:r w:rsidRPr="00A868BB">
        <w:rPr>
          <w:rFonts w:ascii="Arial Narrow" w:eastAsia="Arial Narrow" w:hAnsi="Arial Narrow" w:cs="Arial Narrow"/>
          <w:color w:val="FF0000"/>
        </w:rPr>
        <w:t xml:space="preserve"> </w:t>
      </w:r>
      <w:r>
        <w:rPr>
          <w:rFonts w:ascii="Arial Narrow" w:eastAsia="Arial Narrow" w:hAnsi="Arial Narrow" w:cs="Arial Narrow"/>
          <w:color w:val="000000"/>
        </w:rPr>
        <w:t xml:space="preserve">con domicilio en la Calle </w:t>
      </w:r>
      <w:proofErr w:type="spellStart"/>
      <w:r w:rsidR="00742797">
        <w:rPr>
          <w:rFonts w:ascii="Arial Narrow" w:eastAsia="Arial Narrow" w:hAnsi="Arial Narrow" w:cs="Arial Narrow"/>
          <w:color w:val="000000"/>
        </w:rPr>
        <w:t>Thames</w:t>
      </w:r>
      <w:proofErr w:type="spellEnd"/>
      <w:r w:rsidR="00742797">
        <w:rPr>
          <w:rFonts w:ascii="Arial Narrow" w:eastAsia="Arial Narrow" w:hAnsi="Arial Narrow" w:cs="Arial Narrow"/>
          <w:color w:val="000000"/>
        </w:rPr>
        <w:t xml:space="preserve"> 2143, PB, de esta Ciudad Autónoma de Buenos Aires</w:t>
      </w:r>
      <w:r>
        <w:rPr>
          <w:rFonts w:ascii="Arial Narrow" w:eastAsia="Arial Narrow" w:hAnsi="Arial Narrow" w:cs="Arial Narrow"/>
          <w:color w:val="000000"/>
        </w:rPr>
        <w:t xml:space="preserve"> (en adelante el “</w:t>
      </w:r>
      <w:r>
        <w:rPr>
          <w:rFonts w:ascii="Arial Narrow" w:eastAsia="Arial Narrow" w:hAnsi="Arial Narrow" w:cs="Arial Narrow"/>
          <w:color w:val="000000"/>
          <w:u w:val="single"/>
        </w:rPr>
        <w:t>Comprador”</w:t>
      </w:r>
      <w:r>
        <w:rPr>
          <w:rFonts w:ascii="Arial Narrow" w:eastAsia="Arial Narrow" w:hAnsi="Arial Narrow" w:cs="Arial Narrow"/>
          <w:color w:val="000000"/>
        </w:rPr>
        <w:t>); </w:t>
      </w:r>
    </w:p>
    <w:p w14:paraId="00000006" w14:textId="77777777" w:rsidR="000D4A3B" w:rsidRDefault="000D4A3B">
      <w:pPr>
        <w:spacing w:after="0" w:line="240" w:lineRule="auto"/>
        <w:rPr>
          <w:rFonts w:ascii="Times New Roman" w:eastAsia="Times New Roman" w:hAnsi="Times New Roman" w:cs="Times New Roman"/>
          <w:sz w:val="24"/>
          <w:szCs w:val="24"/>
        </w:rPr>
      </w:pPr>
    </w:p>
    <w:p w14:paraId="00000008"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Quienes (referenciados en lo sucesivo e indistintamente como las “</w:t>
      </w:r>
      <w:r>
        <w:rPr>
          <w:rFonts w:ascii="Arial Narrow" w:eastAsia="Arial Narrow" w:hAnsi="Arial Narrow" w:cs="Arial Narrow"/>
          <w:color w:val="000000"/>
          <w:u w:val="single"/>
        </w:rPr>
        <w:t>Partes</w:t>
      </w:r>
      <w:r>
        <w:rPr>
          <w:rFonts w:ascii="Arial Narrow" w:eastAsia="Arial Narrow" w:hAnsi="Arial Narrow" w:cs="Arial Narrow"/>
          <w:color w:val="000000"/>
        </w:rPr>
        <w:t xml:space="preserve">”), manifestado que poseen plena capacidad, voluntad y representación, convienen celebrar el presente </w:t>
      </w:r>
      <w:r>
        <w:rPr>
          <w:rFonts w:ascii="Arial Narrow" w:eastAsia="Arial Narrow" w:hAnsi="Arial Narrow" w:cs="Arial Narrow"/>
          <w:color w:val="000000"/>
          <w:u w:val="single"/>
        </w:rPr>
        <w:t>Boleto de Compraventa Inmobiliaria</w:t>
      </w:r>
      <w:r>
        <w:rPr>
          <w:rFonts w:ascii="Arial Narrow" w:eastAsia="Arial Narrow" w:hAnsi="Arial Narrow" w:cs="Arial Narrow"/>
          <w:color w:val="000000"/>
        </w:rPr>
        <w:t xml:space="preserve"> (en adelante, “</w:t>
      </w:r>
      <w:r>
        <w:rPr>
          <w:rFonts w:ascii="Arial Narrow" w:eastAsia="Arial Narrow" w:hAnsi="Arial Narrow" w:cs="Arial Narrow"/>
          <w:color w:val="000000"/>
          <w:u w:val="single"/>
        </w:rPr>
        <w:t>Contrato</w:t>
      </w:r>
      <w:r>
        <w:rPr>
          <w:rFonts w:ascii="Arial Narrow" w:eastAsia="Arial Narrow" w:hAnsi="Arial Narrow" w:cs="Arial Narrow"/>
          <w:color w:val="000000"/>
        </w:rPr>
        <w:t>” o “</w:t>
      </w:r>
      <w:r>
        <w:rPr>
          <w:rFonts w:ascii="Arial Narrow" w:eastAsia="Arial Narrow" w:hAnsi="Arial Narrow" w:cs="Arial Narrow"/>
          <w:color w:val="000000"/>
          <w:u w:val="single"/>
        </w:rPr>
        <w:t>Boleto</w:t>
      </w:r>
      <w:r>
        <w:rPr>
          <w:rFonts w:ascii="Arial Narrow" w:eastAsia="Arial Narrow" w:hAnsi="Arial Narrow" w:cs="Arial Narrow"/>
          <w:color w:val="000000"/>
        </w:rPr>
        <w:t>” o “</w:t>
      </w:r>
      <w:r>
        <w:rPr>
          <w:rFonts w:ascii="Arial Narrow" w:eastAsia="Arial Narrow" w:hAnsi="Arial Narrow" w:cs="Arial Narrow"/>
          <w:color w:val="000000"/>
          <w:u w:val="single"/>
        </w:rPr>
        <w:t>Acuerdo</w:t>
      </w:r>
      <w:r>
        <w:rPr>
          <w:rFonts w:ascii="Arial Narrow" w:eastAsia="Arial Narrow" w:hAnsi="Arial Narrow" w:cs="Arial Narrow"/>
          <w:color w:val="000000"/>
        </w:rPr>
        <w:t>” indistintamente) de acuerdo con las siguientes cláusulas y condiciones, en concordancia con lo determinado por el Código Civil y Comercial de la Nación (en adelante, “</w:t>
      </w:r>
      <w:r>
        <w:rPr>
          <w:rFonts w:ascii="Arial Narrow" w:eastAsia="Arial Narrow" w:hAnsi="Arial Narrow" w:cs="Arial Narrow"/>
          <w:color w:val="000000"/>
          <w:u w:val="single"/>
        </w:rPr>
        <w:t>CCCN</w:t>
      </w:r>
      <w:r>
        <w:rPr>
          <w:rFonts w:ascii="Arial Narrow" w:eastAsia="Arial Narrow" w:hAnsi="Arial Narrow" w:cs="Arial Narrow"/>
          <w:color w:val="000000"/>
        </w:rPr>
        <w:t>”): </w:t>
      </w:r>
    </w:p>
    <w:p w14:paraId="00000009"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ANTECEDENTES</w:t>
      </w:r>
    </w:p>
    <w:p w14:paraId="0000000A" w14:textId="77777777" w:rsidR="000D4A3B" w:rsidRDefault="00000000">
      <w:pPr>
        <w:numPr>
          <w:ilvl w:val="0"/>
          <w:numId w:val="3"/>
        </w:numPr>
        <w:spacing w:before="120" w:after="0" w:line="240" w:lineRule="auto"/>
        <w:jc w:val="both"/>
        <w:rPr>
          <w:rFonts w:ascii="Arial Narrow" w:eastAsia="Arial Narrow" w:hAnsi="Arial Narrow" w:cs="Arial Narrow"/>
          <w:color w:val="000000"/>
        </w:rPr>
      </w:pPr>
      <w:r>
        <w:rPr>
          <w:rFonts w:ascii="Arial Narrow" w:eastAsia="Arial Narrow" w:hAnsi="Arial Narrow" w:cs="Arial Narrow"/>
          <w:color w:val="000000"/>
        </w:rPr>
        <w:t xml:space="preserve">Que el Vendedor, resulta ser una sociedad comercial debidamente constituida en fecha 04/08/2023, conforme Escritura número ciento ochenta (180), pasada al folio 656 del Registro Notarial 1428 a cargo del escribano Nicolas </w:t>
      </w:r>
      <w:proofErr w:type="spellStart"/>
      <w:r>
        <w:rPr>
          <w:rFonts w:ascii="Arial Narrow" w:eastAsia="Arial Narrow" w:hAnsi="Arial Narrow" w:cs="Arial Narrow"/>
          <w:color w:val="000000"/>
        </w:rPr>
        <w:t>Mohadeb</w:t>
      </w:r>
      <w:proofErr w:type="spellEnd"/>
      <w:r>
        <w:rPr>
          <w:rFonts w:ascii="Arial Narrow" w:eastAsia="Arial Narrow" w:hAnsi="Arial Narrow" w:cs="Arial Narrow"/>
          <w:color w:val="000000"/>
        </w:rPr>
        <w:t xml:space="preserve"> Mat. 5744; a los efectos de llevar a cabo el emprendimiento edilicio a ser desarrollado en el inmueble con dirección en la calle Donado </w:t>
      </w:r>
      <w:proofErr w:type="spellStart"/>
      <w:r>
        <w:rPr>
          <w:rFonts w:ascii="Arial Narrow" w:eastAsia="Arial Narrow" w:hAnsi="Arial Narrow" w:cs="Arial Narrow"/>
          <w:color w:val="000000"/>
        </w:rPr>
        <w:t>N°</w:t>
      </w:r>
      <w:proofErr w:type="spellEnd"/>
      <w:r>
        <w:rPr>
          <w:rFonts w:ascii="Arial Narrow" w:eastAsia="Arial Narrow" w:hAnsi="Arial Narrow" w:cs="Arial Narrow"/>
          <w:color w:val="000000"/>
        </w:rPr>
        <w:t xml:space="preserve"> 2.148 de esta Ciudad (en adelante, el “</w:t>
      </w:r>
      <w:r>
        <w:rPr>
          <w:rFonts w:ascii="Arial Narrow" w:eastAsia="Arial Narrow" w:hAnsi="Arial Narrow" w:cs="Arial Narrow"/>
          <w:color w:val="000000"/>
          <w:u w:val="single"/>
        </w:rPr>
        <w:t>Inmueble</w:t>
      </w:r>
      <w:r>
        <w:rPr>
          <w:rFonts w:ascii="Arial Narrow" w:eastAsia="Arial Narrow" w:hAnsi="Arial Narrow" w:cs="Arial Narrow"/>
          <w:color w:val="000000"/>
        </w:rPr>
        <w:t>”).</w:t>
      </w:r>
    </w:p>
    <w:p w14:paraId="0000000B" w14:textId="1EAF2FD4" w:rsidR="000D4A3B" w:rsidRDefault="00000000">
      <w:pPr>
        <w:numPr>
          <w:ilvl w:val="0"/>
          <w:numId w:val="3"/>
        </w:numPr>
        <w:spacing w:after="0" w:line="240" w:lineRule="auto"/>
        <w:jc w:val="both"/>
        <w:rPr>
          <w:rFonts w:ascii="Arial Narrow" w:eastAsia="Arial Narrow" w:hAnsi="Arial Narrow" w:cs="Arial Narrow"/>
          <w:color w:val="000000"/>
        </w:rPr>
      </w:pPr>
      <w:r>
        <w:rPr>
          <w:rFonts w:ascii="Arial Narrow" w:eastAsia="Arial Narrow" w:hAnsi="Arial Narrow" w:cs="Arial Narrow"/>
          <w:color w:val="000000"/>
        </w:rPr>
        <w:t xml:space="preserve">Que por su parte el Inmueble en el cual se llevará a cabo el desarrollo del emprendimiento edilicio se encuentra </w:t>
      </w:r>
      <w:r w:rsidR="00C91DCC">
        <w:rPr>
          <w:rFonts w:ascii="Arial Narrow" w:eastAsia="Arial Narrow" w:hAnsi="Arial Narrow" w:cs="Arial Narrow"/>
          <w:color w:val="000000"/>
        </w:rPr>
        <w:t xml:space="preserve">bajo titularidad de la sociedad comercial </w:t>
      </w:r>
      <w:r>
        <w:rPr>
          <w:rFonts w:ascii="Arial Narrow" w:eastAsia="Arial Narrow" w:hAnsi="Arial Narrow" w:cs="Arial Narrow"/>
          <w:b/>
          <w:color w:val="000000"/>
        </w:rPr>
        <w:t>DONADO 2148 S.A.</w:t>
      </w:r>
      <w:r>
        <w:rPr>
          <w:rFonts w:ascii="Arial Narrow" w:eastAsia="Arial Narrow" w:hAnsi="Arial Narrow" w:cs="Arial Narrow"/>
          <w:color w:val="000000"/>
        </w:rPr>
        <w:t xml:space="preserve">., conforme escritura de venta número doscientos cuarenta y seis (246), pasada al folio 931 del Registro Notarial 1428, otorgada en fecha 29/09/2023 a cargo del escribano Nicolas </w:t>
      </w:r>
      <w:proofErr w:type="spellStart"/>
      <w:r>
        <w:rPr>
          <w:rFonts w:ascii="Arial Narrow" w:eastAsia="Arial Narrow" w:hAnsi="Arial Narrow" w:cs="Arial Narrow"/>
          <w:color w:val="000000"/>
        </w:rPr>
        <w:t>Mohadeb</w:t>
      </w:r>
      <w:proofErr w:type="spellEnd"/>
      <w:r>
        <w:rPr>
          <w:rFonts w:ascii="Arial Narrow" w:eastAsia="Arial Narrow" w:hAnsi="Arial Narrow" w:cs="Arial Narrow"/>
          <w:color w:val="000000"/>
        </w:rPr>
        <w:t>, Mat. 5744.</w:t>
      </w:r>
    </w:p>
    <w:p w14:paraId="0000000C" w14:textId="77777777" w:rsidR="000D4A3B" w:rsidRDefault="00000000">
      <w:pPr>
        <w:numPr>
          <w:ilvl w:val="0"/>
          <w:numId w:val="3"/>
        </w:numPr>
        <w:spacing w:after="0" w:line="240" w:lineRule="auto"/>
        <w:jc w:val="both"/>
        <w:rPr>
          <w:rFonts w:ascii="Arial Narrow" w:eastAsia="Arial Narrow" w:hAnsi="Arial Narrow" w:cs="Arial Narrow"/>
          <w:color w:val="000000"/>
        </w:rPr>
      </w:pPr>
      <w:r>
        <w:rPr>
          <w:rFonts w:ascii="Arial Narrow" w:eastAsia="Arial Narrow" w:hAnsi="Arial Narrow" w:cs="Arial Narrow"/>
          <w:color w:val="000000"/>
        </w:rPr>
        <w:t>Conforme ello, se deja expresa constancia de que, al día de la fecha, el Inmueble donde se desarrollará el emprendimiento edilicio resulta bajo el dominio del Vendedor y que resulta libre de gravámenes, hipotecas, embargo, restricciones ni interdicciones el mismo.</w:t>
      </w:r>
    </w:p>
    <w:p w14:paraId="0000000D" w14:textId="5D26E7F1" w:rsidR="000D4A3B" w:rsidRDefault="00000000">
      <w:pPr>
        <w:numPr>
          <w:ilvl w:val="0"/>
          <w:numId w:val="3"/>
        </w:numPr>
        <w:spacing w:after="0" w:line="240" w:lineRule="auto"/>
        <w:jc w:val="both"/>
        <w:rPr>
          <w:rFonts w:ascii="Arial Narrow" w:eastAsia="Arial Narrow" w:hAnsi="Arial Narrow" w:cs="Arial Narrow"/>
          <w:color w:val="000000"/>
        </w:rPr>
      </w:pPr>
      <w:r>
        <w:rPr>
          <w:rFonts w:ascii="Arial Narrow" w:eastAsia="Arial Narrow" w:hAnsi="Arial Narrow" w:cs="Arial Narrow"/>
          <w:color w:val="000000"/>
        </w:rPr>
        <w:t xml:space="preserve">Que el Vendedor manifiesta que el Proyecto inmobiliario, al día de la fecha, se encuentra en vías de planificación y proyección. </w:t>
      </w:r>
    </w:p>
    <w:p w14:paraId="0000000E" w14:textId="77777777" w:rsidR="000D4A3B" w:rsidRDefault="00000000">
      <w:pPr>
        <w:numPr>
          <w:ilvl w:val="0"/>
          <w:numId w:val="3"/>
        </w:numPr>
        <w:spacing w:after="120" w:line="240" w:lineRule="auto"/>
        <w:jc w:val="both"/>
        <w:rPr>
          <w:rFonts w:ascii="Arial Narrow" w:eastAsia="Arial Narrow" w:hAnsi="Arial Narrow" w:cs="Arial Narrow"/>
          <w:color w:val="000000"/>
        </w:rPr>
      </w:pPr>
      <w:r>
        <w:rPr>
          <w:rFonts w:ascii="Arial Narrow" w:eastAsia="Arial Narrow" w:hAnsi="Arial Narrow" w:cs="Arial Narrow"/>
          <w:color w:val="000000"/>
        </w:rPr>
        <w:t>Que el Comprador manifiesta conocer, entender y haber sido asesorado acerca del estado y las expectativas relacionadas con el Proyecto, y comprende que el éxito del mismo reviste una condición incierta que depende de diversos factores la macroeconomía nacional, la microeconomía nacional y particular, el nivel de comercialización de los bienes involucrados; la gestión de los recursos disponibles; los costos involucrados, la situación financiera; entre otros.</w:t>
      </w:r>
    </w:p>
    <w:p w14:paraId="0000000F" w14:textId="77777777" w:rsidR="000D4A3B" w:rsidRDefault="000D4A3B">
      <w:pPr>
        <w:spacing w:after="0" w:line="240" w:lineRule="auto"/>
        <w:rPr>
          <w:rFonts w:ascii="Times New Roman" w:eastAsia="Times New Roman" w:hAnsi="Times New Roman" w:cs="Times New Roman"/>
          <w:sz w:val="24"/>
          <w:szCs w:val="24"/>
        </w:rPr>
      </w:pPr>
    </w:p>
    <w:p w14:paraId="00000010"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PRIMERA: OBJETO: UNIDAD FUNCIONAL Y COCHERA.-</w:t>
      </w:r>
    </w:p>
    <w:p w14:paraId="00000011"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1.1. El Vendedor vende al Comprador, y esta adquiere de conformidad:</w:t>
      </w:r>
    </w:p>
    <w:p w14:paraId="00000012" w14:textId="380C288F"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1.1.1. La unidad denominada provisoriamente como</w:t>
      </w:r>
      <w:r w:rsidR="00742797">
        <w:rPr>
          <w:rFonts w:ascii="Arial Narrow" w:eastAsia="Arial Narrow" w:hAnsi="Arial Narrow" w:cs="Arial Narrow"/>
          <w:color w:val="000000"/>
        </w:rPr>
        <w:t xml:space="preserve"> 401</w:t>
      </w:r>
      <w:r>
        <w:rPr>
          <w:rFonts w:ascii="Arial Narrow" w:eastAsia="Arial Narrow" w:hAnsi="Arial Narrow" w:cs="Arial Narrow"/>
          <w:color w:val="000000"/>
        </w:rPr>
        <w:t xml:space="preserve">, ubicada en el piso </w:t>
      </w:r>
      <w:r w:rsidR="00742797">
        <w:rPr>
          <w:rFonts w:ascii="Arial Narrow" w:eastAsia="Arial Narrow" w:hAnsi="Arial Narrow" w:cs="Arial Narrow"/>
          <w:color w:val="000000"/>
        </w:rPr>
        <w:t xml:space="preserve">Cuarto (4to.) </w:t>
      </w:r>
      <w:r>
        <w:rPr>
          <w:rFonts w:ascii="Arial Narrow" w:eastAsia="Arial Narrow" w:hAnsi="Arial Narrow" w:cs="Arial Narrow"/>
          <w:color w:val="000000"/>
        </w:rPr>
        <w:t>del Emprendimiento Edilicio a desarrollarse en el Inmueble (en adelante, la “</w:t>
      </w:r>
      <w:r>
        <w:rPr>
          <w:rFonts w:ascii="Arial Narrow" w:eastAsia="Arial Narrow" w:hAnsi="Arial Narrow" w:cs="Arial Narrow"/>
          <w:color w:val="000000"/>
          <w:u w:val="single"/>
        </w:rPr>
        <w:t>Unidad Funcional</w:t>
      </w:r>
      <w:r>
        <w:rPr>
          <w:rFonts w:ascii="Arial Narrow" w:eastAsia="Arial Narrow" w:hAnsi="Arial Narrow" w:cs="Arial Narrow"/>
          <w:color w:val="000000"/>
        </w:rPr>
        <w:t>”).</w:t>
      </w:r>
    </w:p>
    <w:p w14:paraId="00000013" w14:textId="068CDD69" w:rsidR="000D4A3B" w:rsidRDefault="00000000">
      <w:pPr>
        <w:spacing w:before="120" w:after="120" w:line="240" w:lineRule="auto"/>
        <w:ind w:left="720"/>
        <w:jc w:val="both"/>
        <w:rPr>
          <w:rFonts w:ascii="Arial Narrow" w:eastAsia="Arial Narrow" w:hAnsi="Arial Narrow" w:cs="Arial Narrow"/>
        </w:rPr>
      </w:pPr>
      <w:r>
        <w:rPr>
          <w:rFonts w:ascii="Arial Narrow" w:eastAsia="Arial Narrow" w:hAnsi="Arial Narrow" w:cs="Arial Narrow"/>
          <w:color w:val="000000"/>
        </w:rPr>
        <w:t xml:space="preserve">1.1.2. </w:t>
      </w:r>
      <w:r w:rsidR="00742797">
        <w:rPr>
          <w:rFonts w:ascii="Arial Narrow" w:eastAsia="Arial Narrow" w:hAnsi="Arial Narrow" w:cs="Arial Narrow"/>
          <w:color w:val="000000"/>
        </w:rPr>
        <w:t xml:space="preserve">El Espacio guardacoches </w:t>
      </w:r>
      <w:r>
        <w:rPr>
          <w:rFonts w:ascii="Arial Narrow" w:eastAsia="Arial Narrow" w:hAnsi="Arial Narrow" w:cs="Arial Narrow"/>
          <w:color w:val="000000"/>
        </w:rPr>
        <w:t>denominad</w:t>
      </w:r>
      <w:r w:rsidR="00742797">
        <w:rPr>
          <w:rFonts w:ascii="Arial Narrow" w:eastAsia="Arial Narrow" w:hAnsi="Arial Narrow" w:cs="Arial Narrow"/>
          <w:color w:val="000000"/>
        </w:rPr>
        <w:t>o</w:t>
      </w:r>
      <w:r>
        <w:rPr>
          <w:rFonts w:ascii="Arial Narrow" w:eastAsia="Arial Narrow" w:hAnsi="Arial Narrow" w:cs="Arial Narrow"/>
          <w:color w:val="000000"/>
        </w:rPr>
        <w:t xml:space="preserve"> </w:t>
      </w:r>
      <w:r w:rsidR="00742797">
        <w:rPr>
          <w:rFonts w:ascii="Arial Narrow" w:eastAsia="Arial Narrow" w:hAnsi="Arial Narrow" w:cs="Arial Narrow"/>
          <w:color w:val="000000"/>
        </w:rPr>
        <w:t>provisoriamente como Nro. 3</w:t>
      </w:r>
      <w:r w:rsidR="00742797">
        <w:rPr>
          <w:rFonts w:ascii="Arial Narrow" w:eastAsia="Arial Narrow" w:hAnsi="Arial Narrow" w:cs="Arial Narrow"/>
          <w:color w:val="FF0000"/>
        </w:rPr>
        <w:t>,</w:t>
      </w:r>
      <w:r>
        <w:rPr>
          <w:rFonts w:ascii="Arial Narrow" w:eastAsia="Arial Narrow" w:hAnsi="Arial Narrow" w:cs="Arial Narrow"/>
          <w:color w:val="FF0000"/>
        </w:rPr>
        <w:t xml:space="preserve"> </w:t>
      </w:r>
      <w:r>
        <w:rPr>
          <w:rFonts w:ascii="Arial Narrow" w:eastAsia="Arial Narrow" w:hAnsi="Arial Narrow" w:cs="Arial Narrow"/>
          <w:color w:val="000000"/>
        </w:rPr>
        <w:t xml:space="preserve">de la Obra </w:t>
      </w:r>
      <w:r>
        <w:rPr>
          <w:rFonts w:ascii="Arial Narrow" w:eastAsia="Arial Narrow" w:hAnsi="Arial Narrow" w:cs="Arial Narrow"/>
        </w:rPr>
        <w:t xml:space="preserve">(en adelante, </w:t>
      </w:r>
      <w:r w:rsidR="00742797">
        <w:rPr>
          <w:rFonts w:ascii="Arial Narrow" w:eastAsia="Arial Narrow" w:hAnsi="Arial Narrow" w:cs="Arial Narrow"/>
        </w:rPr>
        <w:t>el “</w:t>
      </w:r>
      <w:r w:rsidR="00742797" w:rsidRPr="00742797">
        <w:rPr>
          <w:rFonts w:ascii="Arial Narrow" w:eastAsia="Arial Narrow" w:hAnsi="Arial Narrow" w:cs="Arial Narrow"/>
          <w:u w:val="single"/>
        </w:rPr>
        <w:t>Espacio Guardacoches</w:t>
      </w:r>
      <w:r>
        <w:rPr>
          <w:rFonts w:ascii="Arial Narrow" w:eastAsia="Arial Narrow" w:hAnsi="Arial Narrow" w:cs="Arial Narrow"/>
        </w:rPr>
        <w:t>” y conjuntamente con la Unidad Funcional</w:t>
      </w:r>
      <w:r w:rsidR="00742797">
        <w:rPr>
          <w:rFonts w:ascii="Arial Narrow" w:eastAsia="Arial Narrow" w:hAnsi="Arial Narrow" w:cs="Arial Narrow"/>
        </w:rPr>
        <w:t xml:space="preserve"> denominadas como</w:t>
      </w:r>
      <w:r>
        <w:rPr>
          <w:rFonts w:ascii="Arial Narrow" w:eastAsia="Arial Narrow" w:hAnsi="Arial Narrow" w:cs="Arial Narrow"/>
        </w:rPr>
        <w:t xml:space="preserve"> las “</w:t>
      </w:r>
      <w:r w:rsidRPr="00742797">
        <w:rPr>
          <w:rFonts w:ascii="Arial Narrow" w:eastAsia="Arial Narrow" w:hAnsi="Arial Narrow" w:cs="Arial Narrow"/>
          <w:u w:val="single"/>
        </w:rPr>
        <w:t>Unidades</w:t>
      </w:r>
      <w:r>
        <w:rPr>
          <w:rFonts w:ascii="Arial Narrow" w:eastAsia="Arial Narrow" w:hAnsi="Arial Narrow" w:cs="Arial Narrow"/>
        </w:rPr>
        <w:t>”).</w:t>
      </w:r>
    </w:p>
    <w:p w14:paraId="00000014" w14:textId="77777777" w:rsidR="000D4A3B" w:rsidRDefault="000D4A3B">
      <w:pPr>
        <w:spacing w:before="120" w:after="120" w:line="240" w:lineRule="auto"/>
        <w:ind w:left="720"/>
        <w:jc w:val="both"/>
        <w:rPr>
          <w:rFonts w:ascii="Arial Narrow" w:eastAsia="Arial Narrow" w:hAnsi="Arial Narrow" w:cs="Arial Narrow"/>
        </w:rPr>
      </w:pPr>
    </w:p>
    <w:p w14:paraId="00000015" w14:textId="1D504C36" w:rsidR="000D4A3B" w:rsidRDefault="00000000" w:rsidP="000B71AC">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lastRenderedPageBreak/>
        <w:t xml:space="preserve">1.2. </w:t>
      </w:r>
      <w:r w:rsidR="000B71AC" w:rsidRPr="000B71AC">
        <w:rPr>
          <w:rFonts w:ascii="Arial Narrow" w:eastAsia="Arial Narrow" w:hAnsi="Arial Narrow" w:cs="Arial Narrow"/>
          <w:color w:val="000000"/>
        </w:rPr>
        <w:t>Las Unidades individualizadas en los incisos 1.1.1. y 1.1.2. del presente formará parte del edificio resultante de</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la construcción del Proyecto conforme medidas aproximadas resultantes en el Anexo A.</w:t>
      </w:r>
    </w:p>
    <w:p w14:paraId="00000016" w14:textId="38D14346" w:rsidR="000D4A3B" w:rsidRDefault="00000000" w:rsidP="000B71AC">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1.3. En </w:t>
      </w:r>
      <w:r w:rsidR="000B71AC" w:rsidRPr="000B71AC">
        <w:rPr>
          <w:rFonts w:ascii="Arial Narrow" w:eastAsia="Arial Narrow" w:hAnsi="Arial Narrow" w:cs="Arial Narrow"/>
          <w:color w:val="000000"/>
        </w:rPr>
        <w:t>tal sentido las Partes manifiestan conocer que dichas Unidades resultan provisorias dado que el Proyecto</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se encuentra en vías de desarrollo y podría sufrir modificaciones que imponga la marcha de la obra o que fueren</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dispuestas por la dirección de la misma o por autoridades competentes.</w:t>
      </w:r>
    </w:p>
    <w:p w14:paraId="00000017" w14:textId="003F5F7C" w:rsidR="000D4A3B" w:rsidRDefault="00000000" w:rsidP="000B71AC">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1.4. </w:t>
      </w:r>
      <w:r w:rsidR="000B71AC" w:rsidRPr="000B71AC">
        <w:rPr>
          <w:rFonts w:ascii="Arial Narrow" w:eastAsia="Arial Narrow" w:hAnsi="Arial Narrow" w:cs="Arial Narrow"/>
          <w:color w:val="000000"/>
        </w:rPr>
        <w:t>Las Partes acuerdan que, si por algún motivo o circunstancia alguna disposición de este Acuerdo o cualquier</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parte del mismo, se considera inválida e inaplicable, dicha declaración no podrá ser extensiva a las restantes</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cláusulas, motivo por el cual, el resto de boleto permanecerá en pleno vigor y efecto, conforme lo que fuera pactado</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de común acuerdo por las Partes. La presente disposición será de aplicabilidad sin distinción de la autoridad que,</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llegado el caso, encuentre inválida o inaplicable alguna de las Cláusulas aquí instituidas, sea la misma judicial,</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administrativa o cualquier órgano o ente competente en la materia.</w:t>
      </w:r>
    </w:p>
    <w:p w14:paraId="00000018"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1.5. El presente Boleto constituye un acuerdo completo y definitivo entre las Partes sobre su objeto, y deja sin efecto cualquier instrumento, documento, borrador, intercambio de notas, carta de intención o acuerdo verbal o escrito que eventualmente hubiera existido con anterioridad al día de la fecha.</w:t>
      </w:r>
    </w:p>
    <w:p w14:paraId="0000001A" w14:textId="5C3AD92D" w:rsidR="000D4A3B" w:rsidRDefault="00000000" w:rsidP="000B71AC">
      <w:pPr>
        <w:spacing w:before="120" w:after="120" w:line="240" w:lineRule="auto"/>
        <w:jc w:val="both"/>
        <w:rPr>
          <w:rFonts w:ascii="Arial Narrow" w:eastAsia="Arial Narrow" w:hAnsi="Arial Narrow" w:cs="Arial Narrow"/>
        </w:rPr>
      </w:pPr>
      <w:r>
        <w:rPr>
          <w:rFonts w:ascii="Arial Narrow" w:eastAsia="Arial Narrow" w:hAnsi="Arial Narrow" w:cs="Arial Narrow"/>
        </w:rPr>
        <w:t>1.</w:t>
      </w:r>
      <w:r w:rsidR="00434660">
        <w:rPr>
          <w:rFonts w:ascii="Arial Narrow" w:eastAsia="Arial Narrow" w:hAnsi="Arial Narrow" w:cs="Arial Narrow"/>
        </w:rPr>
        <w:t>6</w:t>
      </w:r>
      <w:r>
        <w:rPr>
          <w:rFonts w:ascii="Arial Narrow" w:eastAsia="Arial Narrow" w:hAnsi="Arial Narrow" w:cs="Arial Narrow"/>
        </w:rPr>
        <w:t xml:space="preserve">. </w:t>
      </w:r>
      <w:r w:rsidR="000B71AC" w:rsidRPr="000B71AC">
        <w:rPr>
          <w:rFonts w:ascii="Arial Narrow" w:eastAsia="Arial Narrow" w:hAnsi="Arial Narrow" w:cs="Arial Narrow"/>
        </w:rPr>
        <w:t>El Vendedor manifiesta que siendo que el Proyecto inmobiliario, al día de la fecha, se encuentra en vías de</w:t>
      </w:r>
      <w:r w:rsidR="000B71AC">
        <w:rPr>
          <w:rFonts w:ascii="Arial Narrow" w:eastAsia="Arial Narrow" w:hAnsi="Arial Narrow" w:cs="Arial Narrow"/>
        </w:rPr>
        <w:t xml:space="preserve"> </w:t>
      </w:r>
      <w:r w:rsidR="000B71AC" w:rsidRPr="000B71AC">
        <w:rPr>
          <w:rFonts w:ascii="Arial Narrow" w:eastAsia="Arial Narrow" w:hAnsi="Arial Narrow" w:cs="Arial Narrow"/>
        </w:rPr>
        <w:t>planificación y proyección, cuyas medidas y descripciones pueden sufrir modificaciones en lo sucesivo.</w:t>
      </w:r>
    </w:p>
    <w:p w14:paraId="0000001B" w14:textId="77777777" w:rsidR="000D4A3B" w:rsidRDefault="000D4A3B">
      <w:pPr>
        <w:spacing w:after="0" w:line="240" w:lineRule="auto"/>
        <w:rPr>
          <w:rFonts w:ascii="Times New Roman" w:eastAsia="Times New Roman" w:hAnsi="Times New Roman" w:cs="Times New Roman"/>
          <w:sz w:val="24"/>
          <w:szCs w:val="24"/>
        </w:rPr>
      </w:pPr>
    </w:p>
    <w:p w14:paraId="0000001C"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SEGUNDA: ANEXOS.</w:t>
      </w:r>
    </w:p>
    <w:p w14:paraId="2E48D285" w14:textId="77777777" w:rsidR="000B71AC" w:rsidRDefault="00000000" w:rsidP="000B71AC">
      <w:pPr>
        <w:spacing w:before="120" w:after="120" w:line="240" w:lineRule="auto"/>
        <w:jc w:val="both"/>
        <w:rPr>
          <w:rFonts w:ascii="Arial Narrow" w:eastAsia="Arial Narrow" w:hAnsi="Arial Narrow" w:cs="Arial Narrow"/>
          <w:color w:val="000000"/>
        </w:rPr>
      </w:pPr>
      <w:r>
        <w:rPr>
          <w:rFonts w:ascii="Arial Narrow" w:eastAsia="Arial Narrow" w:hAnsi="Arial Narrow" w:cs="Arial Narrow"/>
          <w:color w:val="000000"/>
        </w:rPr>
        <w:t xml:space="preserve">2.1. </w:t>
      </w:r>
      <w:r w:rsidR="000B71AC" w:rsidRPr="000B71AC">
        <w:rPr>
          <w:rFonts w:ascii="Arial Narrow" w:eastAsia="Arial Narrow" w:hAnsi="Arial Narrow" w:cs="Arial Narrow"/>
          <w:color w:val="000000"/>
        </w:rPr>
        <w:t>Se entiende por Anexos a la totalidad de los documentos que son referenciados en la corriente disposición, los</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cuales serán considerados como parte integrante del presente Boleto con el alcance que aquí se les otorga.</w:t>
      </w:r>
      <w:r w:rsidR="000B71AC">
        <w:rPr>
          <w:rFonts w:ascii="Arial Narrow" w:eastAsia="Arial Narrow" w:hAnsi="Arial Narrow" w:cs="Arial Narrow"/>
          <w:color w:val="000000"/>
        </w:rPr>
        <w:t xml:space="preserve"> </w:t>
      </w:r>
    </w:p>
    <w:p w14:paraId="0000001D" w14:textId="1704CD68" w:rsidR="000D4A3B" w:rsidRDefault="000B71AC" w:rsidP="000B71AC">
      <w:pPr>
        <w:spacing w:before="120" w:after="120" w:line="240" w:lineRule="auto"/>
        <w:jc w:val="both"/>
        <w:rPr>
          <w:rFonts w:ascii="Times New Roman" w:eastAsia="Times New Roman" w:hAnsi="Times New Roman" w:cs="Times New Roman"/>
          <w:sz w:val="24"/>
          <w:szCs w:val="24"/>
        </w:rPr>
      </w:pPr>
      <w:r w:rsidRPr="000B71AC">
        <w:rPr>
          <w:rFonts w:ascii="Arial Narrow" w:eastAsia="Arial Narrow" w:hAnsi="Arial Narrow" w:cs="Arial Narrow"/>
          <w:color w:val="000000"/>
        </w:rPr>
        <w:t>Consecuentemente, éstos se verán alcanzados por la totalidad de las disposiciones y previsiones incluidas en el</w:t>
      </w:r>
      <w:r>
        <w:rPr>
          <w:rFonts w:ascii="Arial Narrow" w:eastAsia="Arial Narrow" w:hAnsi="Arial Narrow" w:cs="Arial Narrow"/>
          <w:color w:val="000000"/>
        </w:rPr>
        <w:t xml:space="preserve"> </w:t>
      </w:r>
      <w:r w:rsidRPr="000B71AC">
        <w:rPr>
          <w:rFonts w:ascii="Arial Narrow" w:eastAsia="Arial Narrow" w:hAnsi="Arial Narrow" w:cs="Arial Narrow"/>
          <w:color w:val="000000"/>
        </w:rPr>
        <w:t>corriente.</w:t>
      </w:r>
    </w:p>
    <w:p w14:paraId="0000001E"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2.2. Las Partes acuerdan que son Anexos integrantes del corriente Contrato los siguientes:</w:t>
      </w:r>
    </w:p>
    <w:p w14:paraId="0000001F" w14:textId="089490B3" w:rsidR="000D4A3B" w:rsidRDefault="00000000">
      <w:pPr>
        <w:spacing w:before="120" w:after="120" w:line="240" w:lineRule="auto"/>
        <w:ind w:left="774"/>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2.2.1. </w:t>
      </w:r>
      <w:r>
        <w:rPr>
          <w:rFonts w:ascii="Arial Narrow" w:eastAsia="Arial Narrow" w:hAnsi="Arial Narrow" w:cs="Arial Narrow"/>
          <w:color w:val="000000"/>
          <w:u w:val="single"/>
        </w:rPr>
        <w:t>Anexo A:</w:t>
      </w:r>
      <w:r>
        <w:rPr>
          <w:rFonts w:ascii="Arial Narrow" w:eastAsia="Arial Narrow" w:hAnsi="Arial Narrow" w:cs="Arial Narrow"/>
          <w:color w:val="000000"/>
        </w:rPr>
        <w:t xml:space="preserve"> Plano constructivo correspondiente a la planta donde la Unidad Funcional y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xml:space="preserve"> se encontrarán emplazada.</w:t>
      </w:r>
    </w:p>
    <w:p w14:paraId="00000020" w14:textId="77777777" w:rsidR="000D4A3B" w:rsidRDefault="00000000">
      <w:pPr>
        <w:spacing w:before="120" w:after="120" w:line="240" w:lineRule="auto"/>
        <w:ind w:left="774"/>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2.2.2. </w:t>
      </w:r>
      <w:r>
        <w:rPr>
          <w:rFonts w:ascii="Arial Narrow" w:eastAsia="Arial Narrow" w:hAnsi="Arial Narrow" w:cs="Arial Narrow"/>
          <w:color w:val="000000"/>
          <w:u w:val="single"/>
        </w:rPr>
        <w:t>Anexo B:</w:t>
      </w:r>
      <w:r>
        <w:rPr>
          <w:rFonts w:ascii="Arial Narrow" w:eastAsia="Arial Narrow" w:hAnsi="Arial Narrow" w:cs="Arial Narrow"/>
          <w:color w:val="000000"/>
        </w:rPr>
        <w:t xml:space="preserve"> Memoria descriptiva.</w:t>
      </w:r>
    </w:p>
    <w:p w14:paraId="00000021" w14:textId="76B5B218" w:rsidR="000D4A3B" w:rsidRDefault="00000000">
      <w:pPr>
        <w:spacing w:before="120" w:after="120" w:line="240" w:lineRule="auto"/>
        <w:ind w:left="774"/>
        <w:jc w:val="both"/>
        <w:rPr>
          <w:rFonts w:ascii="Arial Narrow" w:eastAsia="Arial Narrow" w:hAnsi="Arial Narrow" w:cs="Arial Narrow"/>
          <w:color w:val="000000"/>
        </w:rPr>
      </w:pPr>
      <w:r>
        <w:rPr>
          <w:rFonts w:ascii="Arial Narrow" w:eastAsia="Arial Narrow" w:hAnsi="Arial Narrow" w:cs="Arial Narrow"/>
          <w:color w:val="000000"/>
        </w:rPr>
        <w:t xml:space="preserve">2.2.3. </w:t>
      </w:r>
      <w:r>
        <w:rPr>
          <w:rFonts w:ascii="Arial Narrow" w:eastAsia="Arial Narrow" w:hAnsi="Arial Narrow" w:cs="Arial Narrow"/>
          <w:color w:val="000000"/>
          <w:u w:val="single"/>
        </w:rPr>
        <w:t>Anexo</w:t>
      </w:r>
      <w:r w:rsidR="00742797">
        <w:rPr>
          <w:rFonts w:ascii="Arial Narrow" w:eastAsia="Arial Narrow" w:hAnsi="Arial Narrow" w:cs="Arial Narrow"/>
          <w:color w:val="000000"/>
          <w:u w:val="single"/>
        </w:rPr>
        <w:t xml:space="preserve"> Segundo</w:t>
      </w:r>
      <w:r>
        <w:rPr>
          <w:rFonts w:ascii="Arial Narrow" w:eastAsia="Arial Narrow" w:hAnsi="Arial Narrow" w:cs="Arial Narrow"/>
          <w:color w:val="000000"/>
        </w:rPr>
        <w:t>: Ficha de datos comprador.</w:t>
      </w:r>
    </w:p>
    <w:p w14:paraId="00000022"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2.3. La totalidad de los documentos incluidos dentro de los Anexos responde a informaciones y proyecciones realizadas de manera aproximativa y estimativa a los efectos de la celebración del corriente Contrato, y considerando que los mismos responden al planeamiento de una obra a ser ejecutada en lo sucesivo. De esta manera, la totalidad de lo allí dispuesto se encontrará sujeto a las modificaciones que imponga, requiera o demande la ejecución y/o dirección de la obra de conformidad con la optimización del proyecto en su conjunto o como consecuencia de reglamentaciones establecidas por las autoridades competentes -cualquiera sea el nivel gubernamental u operativo en cuestión-, sea que las mismas resulten novedosas o se trata de reinterpretaciones o readaptaciones de las ya existentes; manteniendo siempre las características constructivas y la calidad, composición y marca de los artefactos, accesorios y materiales de construcción, así como los detalles constructivos y de terminación que resultan de dichos Anexos. Dichas previsiones serán extensivas a cualquier detalle o referencia que en la corriente sea realizada con respecto a las modalidades, calidad, cantidad y especie del proyecto, en general o sus componentes, abordadas en el actual Contrato.</w:t>
      </w:r>
    </w:p>
    <w:p w14:paraId="00000023" w14:textId="77777777" w:rsidR="000D4A3B" w:rsidRDefault="000D4A3B">
      <w:pPr>
        <w:spacing w:after="0" w:line="240" w:lineRule="auto"/>
        <w:rPr>
          <w:rFonts w:ascii="Times New Roman" w:eastAsia="Times New Roman" w:hAnsi="Times New Roman" w:cs="Times New Roman"/>
          <w:sz w:val="24"/>
          <w:szCs w:val="24"/>
        </w:rPr>
      </w:pPr>
    </w:p>
    <w:p w14:paraId="00000024"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TERCERA: PRECIO Y FORMA DE PAGO. –</w:t>
      </w:r>
    </w:p>
    <w:p w14:paraId="00000025"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3.1. Las Partes pactan el precio en la suma estimada equivalente a </w:t>
      </w:r>
      <w:r>
        <w:rPr>
          <w:rFonts w:ascii="Arial Narrow" w:eastAsia="Arial Narrow" w:hAnsi="Arial Narrow" w:cs="Arial Narrow"/>
          <w:b/>
          <w:color w:val="FF0000"/>
        </w:rPr>
        <w:t xml:space="preserve">Dólares Estadounidenses Billetes *** (US$ ***.-); </w:t>
      </w:r>
      <w:r>
        <w:rPr>
          <w:rFonts w:ascii="Arial Narrow" w:eastAsia="Arial Narrow" w:hAnsi="Arial Narrow" w:cs="Arial Narrow"/>
          <w:color w:val="000000"/>
        </w:rPr>
        <w:t>a ser abonados conforme el siguiente esquema y cronograma de pagos.</w:t>
      </w:r>
    </w:p>
    <w:p w14:paraId="00000026" w14:textId="77777777" w:rsidR="000D4A3B" w:rsidRDefault="00000000">
      <w:pPr>
        <w:spacing w:before="120" w:after="120" w:line="240" w:lineRule="auto"/>
        <w:ind w:left="425"/>
        <w:jc w:val="both"/>
        <w:rPr>
          <w:rFonts w:ascii="Times New Roman" w:eastAsia="Times New Roman" w:hAnsi="Times New Roman" w:cs="Times New Roman"/>
          <w:sz w:val="24"/>
          <w:szCs w:val="24"/>
        </w:rPr>
      </w:pPr>
      <w:r>
        <w:rPr>
          <w:rFonts w:ascii="Arial Narrow" w:eastAsia="Arial Narrow" w:hAnsi="Arial Narrow" w:cs="Arial Narrow"/>
          <w:color w:val="000000"/>
        </w:rPr>
        <w:t>3.1.1. La suma equivalente a</w:t>
      </w:r>
      <w:r>
        <w:rPr>
          <w:rFonts w:ascii="Arial Narrow" w:eastAsia="Arial Narrow" w:hAnsi="Arial Narrow" w:cs="Arial Narrow"/>
          <w:b/>
          <w:color w:val="000000"/>
        </w:rPr>
        <w:t xml:space="preserve"> </w:t>
      </w:r>
      <w:r>
        <w:rPr>
          <w:rFonts w:ascii="Arial Narrow" w:eastAsia="Arial Narrow" w:hAnsi="Arial Narrow" w:cs="Arial Narrow"/>
          <w:b/>
          <w:color w:val="FF0000"/>
        </w:rPr>
        <w:t>Dólares Estadounidenses Billetes *** (US$ ***.-)</w:t>
      </w:r>
      <w:r>
        <w:rPr>
          <w:rFonts w:ascii="Arial Narrow" w:eastAsia="Arial Narrow" w:hAnsi="Arial Narrow" w:cs="Arial Narrow"/>
          <w:color w:val="FF0000"/>
        </w:rPr>
        <w:t xml:space="preserve">, </w:t>
      </w:r>
      <w:r>
        <w:rPr>
          <w:rFonts w:ascii="Arial Narrow" w:eastAsia="Arial Narrow" w:hAnsi="Arial Narrow" w:cs="Arial Narrow"/>
          <w:color w:val="000000"/>
        </w:rPr>
        <w:t xml:space="preserve">que deberán ser entregados dentro de las cuarenta y ocho horas (48hs.) hábiles de </w:t>
      </w:r>
      <w:proofErr w:type="spellStart"/>
      <w:r>
        <w:rPr>
          <w:rFonts w:ascii="Arial Narrow" w:eastAsia="Arial Narrow" w:hAnsi="Arial Narrow" w:cs="Arial Narrow"/>
          <w:color w:val="000000"/>
        </w:rPr>
        <w:t>recepcionada</w:t>
      </w:r>
      <w:proofErr w:type="spellEnd"/>
      <w:r>
        <w:rPr>
          <w:rFonts w:ascii="Arial Narrow" w:eastAsia="Arial Narrow" w:hAnsi="Arial Narrow" w:cs="Arial Narrow"/>
          <w:color w:val="000000"/>
        </w:rPr>
        <w:t xml:space="preserve"> la Oferta, conforme las constancias y recibos otorgados oportunamente. </w:t>
      </w:r>
    </w:p>
    <w:p w14:paraId="00000027" w14:textId="77777777" w:rsidR="000D4A3B" w:rsidRDefault="00000000">
      <w:pPr>
        <w:spacing w:before="120" w:after="120" w:line="240" w:lineRule="auto"/>
        <w:ind w:left="425"/>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3.1.2. La suma equivalente a </w:t>
      </w:r>
      <w:r>
        <w:rPr>
          <w:rFonts w:ascii="Arial Narrow" w:eastAsia="Arial Narrow" w:hAnsi="Arial Narrow" w:cs="Arial Narrow"/>
          <w:b/>
          <w:color w:val="FF0000"/>
        </w:rPr>
        <w:t xml:space="preserve">Dólares Estadounidenses </w:t>
      </w:r>
      <w:proofErr w:type="gramStart"/>
      <w:r>
        <w:rPr>
          <w:rFonts w:ascii="Arial Narrow" w:eastAsia="Arial Narrow" w:hAnsi="Arial Narrow" w:cs="Arial Narrow"/>
          <w:b/>
          <w:color w:val="FF0000"/>
        </w:rPr>
        <w:t>Billetes  *</w:t>
      </w:r>
      <w:proofErr w:type="gramEnd"/>
      <w:r>
        <w:rPr>
          <w:rFonts w:ascii="Arial Narrow" w:eastAsia="Arial Narrow" w:hAnsi="Arial Narrow" w:cs="Arial Narrow"/>
          <w:b/>
          <w:color w:val="FF0000"/>
        </w:rPr>
        <w:t xml:space="preserve">** (US$ ***-) </w:t>
      </w:r>
      <w:r>
        <w:rPr>
          <w:rFonts w:ascii="Arial Narrow" w:eastAsia="Arial Narrow" w:hAnsi="Arial Narrow" w:cs="Arial Narrow"/>
          <w:color w:val="000000"/>
        </w:rPr>
        <w:t>serán abonados como máximo, en fecha ***/2024.</w:t>
      </w:r>
    </w:p>
    <w:p w14:paraId="00000028" w14:textId="77777777" w:rsidR="000D4A3B" w:rsidRDefault="00000000">
      <w:pPr>
        <w:spacing w:before="120" w:after="120" w:line="240" w:lineRule="auto"/>
        <w:ind w:left="425"/>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3.1.3. El saldo restante, es decir, la suma equivalente a </w:t>
      </w:r>
      <w:r>
        <w:rPr>
          <w:rFonts w:ascii="Arial Narrow" w:eastAsia="Arial Narrow" w:hAnsi="Arial Narrow" w:cs="Arial Narrow"/>
          <w:b/>
          <w:color w:val="FF0000"/>
        </w:rPr>
        <w:t xml:space="preserve">Dólares Estadounidenses Billetes *** (US$ ***.-) </w:t>
      </w:r>
      <w:r>
        <w:rPr>
          <w:rFonts w:ascii="Arial Narrow" w:eastAsia="Arial Narrow" w:hAnsi="Arial Narrow" w:cs="Arial Narrow"/>
          <w:color w:val="000000"/>
        </w:rPr>
        <w:t xml:space="preserve">serán abonados en Veinte (20) cuotas iguales, mensuales y consecutivas de </w:t>
      </w:r>
      <w:r>
        <w:rPr>
          <w:rFonts w:ascii="Arial Narrow" w:eastAsia="Arial Narrow" w:hAnsi="Arial Narrow" w:cs="Arial Narrow"/>
          <w:b/>
          <w:color w:val="FF0000"/>
        </w:rPr>
        <w:t>Dólares Estadounidenses Billetes *** (US$ ***.)</w:t>
      </w:r>
      <w:r>
        <w:rPr>
          <w:rFonts w:ascii="Arial Narrow" w:eastAsia="Arial Narrow" w:hAnsi="Arial Narrow" w:cs="Arial Narrow"/>
          <w:color w:val="FF0000"/>
        </w:rPr>
        <w:t xml:space="preserve">, </w:t>
      </w:r>
      <w:r>
        <w:rPr>
          <w:rFonts w:ascii="Arial Narrow" w:eastAsia="Arial Narrow" w:hAnsi="Arial Narrow" w:cs="Arial Narrow"/>
          <w:color w:val="000000"/>
        </w:rPr>
        <w:t xml:space="preserve">venciendo la primera de a los diez (10) días del mes de </w:t>
      </w:r>
      <w:r>
        <w:rPr>
          <w:rFonts w:ascii="Arial Narrow" w:eastAsia="Arial Narrow" w:hAnsi="Arial Narrow" w:cs="Arial Narrow"/>
          <w:color w:val="FF0000"/>
        </w:rPr>
        <w:t xml:space="preserve">**** </w:t>
      </w:r>
      <w:r>
        <w:rPr>
          <w:rFonts w:ascii="Arial Narrow" w:eastAsia="Arial Narrow" w:hAnsi="Arial Narrow" w:cs="Arial Narrow"/>
          <w:color w:val="000000"/>
        </w:rPr>
        <w:t>de 2024 y las restantes, el día diez (10) de los meses subsiguientes; hasta completar el pago total de las cuotas aquí estipuladas, sin excepción alguna. </w:t>
      </w:r>
    </w:p>
    <w:p w14:paraId="00000029"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3.1.4. El Vendedor, deberá otorgar la debida constancia y recibo de pago en favor del Comprador por</w:t>
      </w:r>
      <w:r>
        <w:rPr>
          <w:rFonts w:ascii="Arial Narrow" w:eastAsia="Arial Narrow" w:hAnsi="Arial Narrow" w:cs="Arial Narrow"/>
        </w:rPr>
        <w:t xml:space="preserve"> </w:t>
      </w:r>
      <w:r>
        <w:rPr>
          <w:rFonts w:ascii="Arial Narrow" w:eastAsia="Arial Narrow" w:hAnsi="Arial Narrow" w:cs="Arial Narrow"/>
          <w:color w:val="000000"/>
        </w:rPr>
        <w:t>cada una de las cuotas. La falta de pago en tiempo y forma de las sumas comprometidas a la corriente Cláusula, devengarán de manera automática y sin necesidad de interpelación judicial o extrajudicial previa; intereses por mora, los cuales son estipulados en la suma equivalente al dos por ciento (2%) mensual sobre las sumas en mora.</w:t>
      </w:r>
    </w:p>
    <w:p w14:paraId="0000002A" w14:textId="7B91BA03" w:rsidR="000D4A3B" w:rsidRDefault="00000000">
      <w:pPr>
        <w:spacing w:before="120" w:after="120" w:line="240" w:lineRule="auto"/>
        <w:ind w:left="1440"/>
        <w:jc w:val="both"/>
        <w:rPr>
          <w:rFonts w:ascii="Arial Narrow" w:eastAsia="Arial Narrow" w:hAnsi="Arial Narrow" w:cs="Arial Narrow"/>
        </w:rPr>
      </w:pPr>
      <w:r>
        <w:rPr>
          <w:rFonts w:ascii="Arial Narrow" w:eastAsia="Arial Narrow" w:hAnsi="Arial Narrow" w:cs="Arial Narrow"/>
          <w:color w:val="000000"/>
        </w:rPr>
        <w:t xml:space="preserve">3.1.4.1. </w:t>
      </w:r>
      <w:r>
        <w:rPr>
          <w:rFonts w:ascii="Arial Narrow" w:eastAsia="Arial Narrow" w:hAnsi="Arial Narrow" w:cs="Arial Narrow"/>
        </w:rPr>
        <w:t xml:space="preserve">Las partes acuerdan que las cuotas enunciadas en la Cláusula 3.1.3. </w:t>
      </w:r>
      <w:r w:rsidR="00742797">
        <w:rPr>
          <w:rFonts w:ascii="Arial Narrow" w:eastAsia="Arial Narrow" w:hAnsi="Arial Narrow" w:cs="Arial Narrow"/>
        </w:rPr>
        <w:t>serán abonadas en</w:t>
      </w:r>
      <w:r>
        <w:rPr>
          <w:rFonts w:ascii="Arial Narrow" w:eastAsia="Arial Narrow" w:hAnsi="Arial Narrow" w:cs="Arial Narrow"/>
        </w:rPr>
        <w:t xml:space="preserve"> Pesos</w:t>
      </w:r>
      <w:r w:rsidR="00742797">
        <w:rPr>
          <w:rFonts w:ascii="Arial Narrow" w:eastAsia="Arial Narrow" w:hAnsi="Arial Narrow" w:cs="Arial Narrow"/>
        </w:rPr>
        <w:t xml:space="preserve">. </w:t>
      </w:r>
      <w:r>
        <w:rPr>
          <w:rFonts w:ascii="Arial Narrow" w:eastAsia="Arial Narrow" w:hAnsi="Arial Narrow" w:cs="Arial Narrow"/>
        </w:rPr>
        <w:t>Para ello, a la primera de las cuotas referidas en el punto 3.1.3. se le asignará el valor equivalente en pesos a la cotización del Dólar Mercado Electrónico de Pagos (MEP) del día de vencimiento de la primera cuota</w:t>
      </w:r>
      <w:r w:rsidR="00742797">
        <w:rPr>
          <w:rFonts w:ascii="Arial Narrow" w:eastAsia="Arial Narrow" w:hAnsi="Arial Narrow" w:cs="Arial Narrow"/>
        </w:rPr>
        <w:t xml:space="preserve">, la cual tendrá lugar una vez iniciada la Obra, conforme fecha que conste en el </w:t>
      </w:r>
      <w:r w:rsidR="00742797" w:rsidRPr="00742797">
        <w:rPr>
          <w:rFonts w:ascii="Arial Narrow" w:eastAsia="Arial Narrow" w:hAnsi="Arial Narrow" w:cs="Arial Narrow"/>
          <w:b/>
          <w:bCs/>
        </w:rPr>
        <w:t xml:space="preserve">Acta de Inicio de Obra que será anexada al presente como Adenda </w:t>
      </w:r>
      <w:r w:rsidR="00742797">
        <w:rPr>
          <w:rFonts w:ascii="Arial Narrow" w:eastAsia="Arial Narrow" w:hAnsi="Arial Narrow" w:cs="Arial Narrow"/>
          <w:b/>
          <w:bCs/>
        </w:rPr>
        <w:t>de este</w:t>
      </w:r>
      <w:r w:rsidRPr="00742797">
        <w:rPr>
          <w:rFonts w:ascii="Arial Narrow" w:eastAsia="Arial Narrow" w:hAnsi="Arial Narrow" w:cs="Arial Narrow"/>
          <w:b/>
          <w:bCs/>
        </w:rPr>
        <w:t xml:space="preserve">. </w:t>
      </w:r>
      <w:r>
        <w:rPr>
          <w:rFonts w:ascii="Arial Narrow" w:eastAsia="Arial Narrow" w:hAnsi="Arial Narrow" w:cs="Arial Narrow"/>
        </w:rPr>
        <w:t xml:space="preserve">A los efectos de determinar el valor en pesos de las restantes cuotas, se tomará como base el monto en pesos resultante del valor asignado a la primera cuota, conforme lo indicado en la presente clausula, actualizado mediante la aplicación del índice de Costo de la Construcción (CAMARCO) publicado por la Cámara Argentina de la Construcción (en tanto el mismo no arroje un dígito negativo), tomando como base la publicación del mes de </w:t>
      </w:r>
      <w:r w:rsidR="00742797">
        <w:rPr>
          <w:rFonts w:ascii="Arial Narrow" w:eastAsia="Arial Narrow" w:hAnsi="Arial Narrow" w:cs="Arial Narrow"/>
        </w:rPr>
        <w:t>la fecha del Acta de Inicio de Obra</w:t>
      </w:r>
      <w:r>
        <w:rPr>
          <w:rFonts w:ascii="Arial Narrow" w:eastAsia="Arial Narrow" w:hAnsi="Arial Narrow" w:cs="Arial Narrow"/>
        </w:rPr>
        <w:t>.</w:t>
      </w:r>
    </w:p>
    <w:p w14:paraId="415594D6" w14:textId="77777777" w:rsidR="00786AC2" w:rsidRDefault="00786AC2">
      <w:pPr>
        <w:spacing w:before="120" w:after="120" w:line="240" w:lineRule="auto"/>
        <w:jc w:val="both"/>
        <w:rPr>
          <w:rFonts w:ascii="Arial Narrow" w:eastAsia="Arial Narrow" w:hAnsi="Arial Narrow" w:cs="Arial Narrow"/>
          <w:color w:val="000000"/>
        </w:rPr>
      </w:pPr>
    </w:p>
    <w:p w14:paraId="0000002D" w14:textId="0B7B3C6D"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3.</w:t>
      </w:r>
      <w:r w:rsidR="00786AC2">
        <w:rPr>
          <w:rFonts w:ascii="Arial Narrow" w:eastAsia="Arial Narrow" w:hAnsi="Arial Narrow" w:cs="Arial Narrow"/>
          <w:color w:val="000000"/>
        </w:rPr>
        <w:t>2</w:t>
      </w:r>
      <w:r>
        <w:rPr>
          <w:rFonts w:ascii="Arial Narrow" w:eastAsia="Arial Narrow" w:hAnsi="Arial Narrow" w:cs="Arial Narrow"/>
          <w:color w:val="000000"/>
        </w:rPr>
        <w:t>. A los efectos del presente, Las Partes intervinientes en el acto, acuerdan otorgar al presente Boleto carácter de título ejecutivo, subordinando su cobro a las reglas propias del proceso ejecutivo (Art. 523:2 del Código Procesal Civil y Comercial de La Nación); tanto respecto del capital e intereses contractuales, como así también, respecto de los intereses compensatorios, intereses punitorios, costas, costos, honorarios profesionales e impuestos que en tal caso hubieran de corresponder.</w:t>
      </w:r>
    </w:p>
    <w:p w14:paraId="0000002E" w14:textId="06FA4BD6"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3.</w:t>
      </w:r>
      <w:r w:rsidR="00786AC2">
        <w:rPr>
          <w:rFonts w:ascii="Arial Narrow" w:eastAsia="Arial Narrow" w:hAnsi="Arial Narrow" w:cs="Arial Narrow"/>
          <w:color w:val="000000"/>
        </w:rPr>
        <w:t>3</w:t>
      </w:r>
      <w:r>
        <w:rPr>
          <w:rFonts w:ascii="Arial Narrow" w:eastAsia="Arial Narrow" w:hAnsi="Arial Narrow" w:cs="Arial Narrow"/>
          <w:color w:val="000000"/>
        </w:rPr>
        <w:t>. De conformidad con lo pactado, en este acto la Compradora reconoce las sumas comprometidas a favor del Vendedor, manifestando que dicho saldo de Precio resulta ser una suma líquida, determinada y exigible y que por tanto es merecedora de la vía procesal ejecutiva que es optada en este acto por las Partes.</w:t>
      </w:r>
    </w:p>
    <w:p w14:paraId="0000002F" w14:textId="59A59C91"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3.</w:t>
      </w:r>
      <w:r w:rsidR="00786AC2">
        <w:rPr>
          <w:rFonts w:ascii="Arial Narrow" w:eastAsia="Arial Narrow" w:hAnsi="Arial Narrow" w:cs="Arial Narrow"/>
          <w:color w:val="000000"/>
        </w:rPr>
        <w:t>4</w:t>
      </w:r>
      <w:r>
        <w:rPr>
          <w:rFonts w:ascii="Arial Narrow" w:eastAsia="Arial Narrow" w:hAnsi="Arial Narrow" w:cs="Arial Narrow"/>
          <w:color w:val="000000"/>
        </w:rPr>
        <w:t>. Los pagos parciales efectuados por el Comprador, no se tendrán como válidos ni se computarán como tales, sin que el Vendedor emita consecuentemente un documento a fines de otorgar debida constancia y recibo de pago de la suma referida por duplicado, debiendo cada una de las Partes conservar el mismo a fines de evitar futuras controversias.</w:t>
      </w:r>
    </w:p>
    <w:p w14:paraId="00000030" w14:textId="22CDA5C9"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3.</w:t>
      </w:r>
      <w:r w:rsidR="00786AC2">
        <w:rPr>
          <w:rFonts w:ascii="Arial Narrow" w:eastAsia="Arial Narrow" w:hAnsi="Arial Narrow" w:cs="Arial Narrow"/>
          <w:color w:val="000000"/>
        </w:rPr>
        <w:t>5</w:t>
      </w:r>
      <w:r>
        <w:rPr>
          <w:rFonts w:ascii="Arial Narrow" w:eastAsia="Arial Narrow" w:hAnsi="Arial Narrow" w:cs="Arial Narrow"/>
          <w:color w:val="000000"/>
        </w:rPr>
        <w:t>. Se conviene que cualquier pago aceptado diversamente a lo establecido no constituirá novación, prórroga o modificación alguna en lo pactado. Correlativamente cualquier prórroga o modificación en los plazos pactados no implicará novación de la obligación y garantía. En caso de ser recibido un pago fuera de término, el mismo será reputado conforme el siguiente orden de imputación: 1- Intereses Punitorios; 2- Intereses Compensatorios; 3- Capital adeudado.</w:t>
      </w:r>
    </w:p>
    <w:p w14:paraId="00000031" w14:textId="16A02B1F"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3.</w:t>
      </w:r>
      <w:r w:rsidR="00786AC2">
        <w:rPr>
          <w:rFonts w:ascii="Arial Narrow" w:eastAsia="Arial Narrow" w:hAnsi="Arial Narrow" w:cs="Arial Narrow"/>
          <w:color w:val="000000"/>
        </w:rPr>
        <w:t>6</w:t>
      </w:r>
      <w:r>
        <w:rPr>
          <w:rFonts w:ascii="Arial Narrow" w:eastAsia="Arial Narrow" w:hAnsi="Arial Narrow" w:cs="Arial Narrow"/>
          <w:color w:val="000000"/>
        </w:rPr>
        <w:t>. Las partes declaran que conocen la vigencia de la ley 25.345, su modificatoria 25.413 y sus reglamentaciones, sin perjuicio de lo cual el vendedor declara aceptar los pagos en efectivo efectuados por el comprador antes de este acto y en este acto, renunciando a cualquier acción que pudiera corresponder por falta de pago.</w:t>
      </w:r>
    </w:p>
    <w:p w14:paraId="00000032" w14:textId="77777777" w:rsidR="000D4A3B" w:rsidRDefault="000D4A3B">
      <w:pPr>
        <w:spacing w:after="240" w:line="240" w:lineRule="auto"/>
        <w:rPr>
          <w:rFonts w:ascii="Times New Roman" w:eastAsia="Times New Roman" w:hAnsi="Times New Roman" w:cs="Times New Roman"/>
          <w:sz w:val="24"/>
          <w:szCs w:val="24"/>
        </w:rPr>
      </w:pPr>
    </w:p>
    <w:p w14:paraId="00000033"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CUARTA: PLANOS Y MEDIDAS. -</w:t>
      </w:r>
    </w:p>
    <w:p w14:paraId="00000035" w14:textId="0DA16A25" w:rsidR="000D4A3B" w:rsidRDefault="00000000">
      <w:pPr>
        <w:spacing w:before="120" w:after="120" w:line="240" w:lineRule="auto"/>
        <w:jc w:val="both"/>
        <w:rPr>
          <w:rFonts w:ascii="Arial Narrow" w:eastAsia="Arial Narrow" w:hAnsi="Arial Narrow" w:cs="Arial Narrow"/>
        </w:rPr>
      </w:pPr>
      <w:r>
        <w:rPr>
          <w:rFonts w:ascii="Arial Narrow" w:eastAsia="Arial Narrow" w:hAnsi="Arial Narrow" w:cs="Arial Narrow"/>
          <w:color w:val="000000"/>
        </w:rPr>
        <w:t xml:space="preserve">4.1. </w:t>
      </w:r>
      <w:r w:rsidRPr="00786AC2">
        <w:rPr>
          <w:rFonts w:ascii="Arial Narrow" w:eastAsia="Arial Narrow" w:hAnsi="Arial Narrow" w:cs="Arial Narrow"/>
          <w:highlight w:val="yellow"/>
        </w:rPr>
        <w:t xml:space="preserve">Atento, que como ya se ha dicho, el Proyecto se encuentra en etapa de aprobación de planos, las partes suscriben, como </w:t>
      </w:r>
      <w:r w:rsidRPr="00786AC2">
        <w:rPr>
          <w:rFonts w:ascii="Arial Narrow" w:eastAsia="Arial Narrow" w:hAnsi="Arial Narrow" w:cs="Arial Narrow"/>
          <w:highlight w:val="yellow"/>
          <w:u w:val="single"/>
        </w:rPr>
        <w:t>Anexo A</w:t>
      </w:r>
      <w:r w:rsidRPr="00786AC2">
        <w:rPr>
          <w:rFonts w:ascii="Arial Narrow" w:eastAsia="Arial Narrow" w:hAnsi="Arial Narrow" w:cs="Arial Narrow"/>
          <w:highlight w:val="yellow"/>
        </w:rPr>
        <w:t>, planos proyectados de la misma el que tal como se dijo podrán sufrir modificaciones.</w:t>
      </w:r>
    </w:p>
    <w:p w14:paraId="00000036"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4.2. Esta venta se formaliza </w:t>
      </w:r>
      <w:r>
        <w:rPr>
          <w:rFonts w:ascii="Arial Narrow" w:eastAsia="Arial Narrow" w:hAnsi="Arial Narrow" w:cs="Arial Narrow"/>
          <w:i/>
          <w:color w:val="000000"/>
        </w:rPr>
        <w:t>ad-corpus</w:t>
      </w:r>
      <w:r>
        <w:rPr>
          <w:rFonts w:ascii="Arial Narrow" w:eastAsia="Arial Narrow" w:hAnsi="Arial Narrow" w:cs="Arial Narrow"/>
          <w:color w:val="000000"/>
        </w:rPr>
        <w:t>, conviniéndose que las medidas, distribución y características de la Unidad Funcional y de la Cochera son provisorias y podrán sufrir las modificaciones que imponga la marcha de la obra o que fueren dispuestas por la dirección de la misma o por autoridades competentes.</w:t>
      </w:r>
    </w:p>
    <w:p w14:paraId="00000037" w14:textId="7BAC2F33" w:rsidR="000D4A3B" w:rsidRDefault="00000000" w:rsidP="000B71AC">
      <w:pPr>
        <w:spacing w:before="120" w:after="120" w:line="240" w:lineRule="auto"/>
        <w:jc w:val="both"/>
        <w:rPr>
          <w:rFonts w:ascii="Arial Narrow" w:eastAsia="Arial Narrow" w:hAnsi="Arial Narrow" w:cs="Arial Narrow"/>
        </w:rPr>
      </w:pPr>
      <w:r>
        <w:rPr>
          <w:rFonts w:ascii="Arial Narrow" w:eastAsia="Arial Narrow" w:hAnsi="Arial Narrow" w:cs="Arial Narrow"/>
        </w:rPr>
        <w:t xml:space="preserve">4.3. </w:t>
      </w:r>
      <w:r w:rsidR="000B71AC">
        <w:rPr>
          <w:rFonts w:ascii="Arial Narrow" w:eastAsia="Arial Narrow" w:hAnsi="Arial Narrow" w:cs="Arial Narrow"/>
        </w:rPr>
        <w:t xml:space="preserve">Las </w:t>
      </w:r>
      <w:r w:rsidR="000B71AC" w:rsidRPr="000B71AC">
        <w:rPr>
          <w:rFonts w:ascii="Arial Narrow" w:eastAsia="Arial Narrow" w:hAnsi="Arial Narrow" w:cs="Arial Narrow"/>
        </w:rPr>
        <w:t>medidas estimativamente indicadas podrán ser afectadas, en más o en menos un ocho por ciento (8%)</w:t>
      </w:r>
      <w:r w:rsidR="000B71AC">
        <w:rPr>
          <w:rFonts w:ascii="Arial Narrow" w:eastAsia="Arial Narrow" w:hAnsi="Arial Narrow" w:cs="Arial Narrow"/>
        </w:rPr>
        <w:t xml:space="preserve"> </w:t>
      </w:r>
      <w:r w:rsidR="000B71AC" w:rsidRPr="000B71AC">
        <w:rPr>
          <w:rFonts w:ascii="Arial Narrow" w:eastAsia="Arial Narrow" w:hAnsi="Arial Narrow" w:cs="Arial Narrow"/>
        </w:rPr>
        <w:t>respecto de la superficie total asignada a las Unidades, al cabo de la construcción; y se considerarán definitivas las</w:t>
      </w:r>
      <w:r w:rsidR="000B71AC">
        <w:rPr>
          <w:rFonts w:ascii="Arial Narrow" w:eastAsia="Arial Narrow" w:hAnsi="Arial Narrow" w:cs="Arial Narrow"/>
        </w:rPr>
        <w:t xml:space="preserve"> </w:t>
      </w:r>
      <w:r w:rsidR="000B71AC" w:rsidRPr="000B71AC">
        <w:rPr>
          <w:rFonts w:ascii="Arial Narrow" w:eastAsia="Arial Narrow" w:hAnsi="Arial Narrow" w:cs="Arial Narrow"/>
        </w:rPr>
        <w:t>que resulten en el plano de subdivisión en propiedad horizontal que, oportunamente, se someterán a la aprobación</w:t>
      </w:r>
      <w:r w:rsidR="000B71AC">
        <w:rPr>
          <w:rFonts w:ascii="Arial Narrow" w:eastAsia="Arial Narrow" w:hAnsi="Arial Narrow" w:cs="Arial Narrow"/>
        </w:rPr>
        <w:t xml:space="preserve"> </w:t>
      </w:r>
      <w:r w:rsidR="000B71AC" w:rsidRPr="000B71AC">
        <w:rPr>
          <w:rFonts w:ascii="Arial Narrow" w:eastAsia="Arial Narrow" w:hAnsi="Arial Narrow" w:cs="Arial Narrow"/>
        </w:rPr>
        <w:t>de las autoridades competentes. La numeración de las Unidades también es provisoria ya que el Vendedor podrá</w:t>
      </w:r>
      <w:r w:rsidR="000B71AC">
        <w:rPr>
          <w:rFonts w:ascii="Arial Narrow" w:eastAsia="Arial Narrow" w:hAnsi="Arial Narrow" w:cs="Arial Narrow"/>
        </w:rPr>
        <w:t xml:space="preserve"> </w:t>
      </w:r>
      <w:r w:rsidR="000B71AC" w:rsidRPr="000B71AC">
        <w:rPr>
          <w:rFonts w:ascii="Arial Narrow" w:eastAsia="Arial Narrow" w:hAnsi="Arial Narrow" w:cs="Arial Narrow"/>
        </w:rPr>
        <w:t>unificar o dividir unidades del edificio, lo que implicará una modificación en tal numeración originaria.</w:t>
      </w:r>
    </w:p>
    <w:p w14:paraId="00000038"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4.4. El Vendedor se reserva el derecho de modificar la cantidad de pisos a construir, transformar partes comunes en propias y también, a unificar o dividir las unidades ubicadas en iguales o distintos pisos, a unificar el lote presente con el lindero y en consecuencia modificar el proyecto constructivo, así como cambiar el destino de las unidades funcionales a vivienda o a uso profesional o agencia comercial.</w:t>
      </w:r>
    </w:p>
    <w:p w14:paraId="00000039"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4.5. Todas las alteraciones o modificaciones que introduzca el Vendedor en ejercicio de derechos reservados en este Boleto o la variación de superficies que informe la subdivisión con respecto a la superficie según planos registrados por ante la autoridad gubernamental competente, o los que en este acto se suscriben, no facultarán al Comprador a reclamar la resolución o rescisión contractuales ni el ajuste o modificación del precio, ni en definitiva, a peticionar cualquier otra pretensión resarcitoria, compensatoria o indemnizatoria a que  eventualmente pudiera creerse con derecho.</w:t>
      </w:r>
    </w:p>
    <w:p w14:paraId="0000003A" w14:textId="77777777" w:rsidR="000D4A3B" w:rsidRDefault="000D4A3B">
      <w:pPr>
        <w:spacing w:after="0" w:line="240" w:lineRule="auto"/>
        <w:rPr>
          <w:rFonts w:ascii="Times New Roman" w:eastAsia="Times New Roman" w:hAnsi="Times New Roman" w:cs="Times New Roman"/>
          <w:sz w:val="24"/>
          <w:szCs w:val="24"/>
        </w:rPr>
      </w:pPr>
    </w:p>
    <w:p w14:paraId="0000003B"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QUINTA: MEMORIA DESCRIPTIVA. -</w:t>
      </w:r>
    </w:p>
    <w:p w14:paraId="0000003C"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5.1. El Comprador suscribe la memoria descriptiva incorporada al presente como </w:t>
      </w:r>
      <w:r>
        <w:rPr>
          <w:rFonts w:ascii="Arial Narrow" w:eastAsia="Arial Narrow" w:hAnsi="Arial Narrow" w:cs="Arial Narrow"/>
          <w:color w:val="000000"/>
          <w:u w:val="single"/>
        </w:rPr>
        <w:t>Anexo B</w:t>
      </w:r>
      <w:r>
        <w:rPr>
          <w:rFonts w:ascii="Arial Narrow" w:eastAsia="Arial Narrow" w:hAnsi="Arial Narrow" w:cs="Arial Narrow"/>
          <w:color w:val="000000"/>
        </w:rPr>
        <w:t>, dejando constancia que conoce y acepta la calidad y marca de los detalles constructivos y de terminación, así como de los artefactos, accesorios y materiales a emplearse en la edificación, conviniéndose‚ que tales indicaciones han sido hechas a título ejemplificativo y que la dirección de la obra podrá decidir libremente introducir los cambios que estime convenientes, conservando el nivel de calidad representado por las marcas señaladas. </w:t>
      </w:r>
    </w:p>
    <w:p w14:paraId="0000003D"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5.2. El Comprador podrá encargar mejoras o modificaciones que de ser susceptibles de aprobación se abonarán por separado, considerándose adicionales. Las Partes pactan que las mismas sólo resultarán procedentes para el caso en que no alteren ni modifiquen sustancialmente el proyecto, o cuya implementación traiga aparejado como consecuencia una modificación estructural del Edificio, que importa a su vez, la necesidad de llevar a cabo reacondicionamiento en los planos edilicios conforme lo ya previamente establecido, o en la aprobación que de los mismos se disponga. </w:t>
      </w:r>
    </w:p>
    <w:p w14:paraId="0000003E" w14:textId="3633A0B9"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5.3. A tal efecto, para el caso concreto en que el Comprador pretenda llevar a cabo determinadas mejoras o modificaciones en la Unidad Funcional y/o en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deberá previamente comunicar al Vendedor, con el objeto de ponerlo en conocimiento de sus pretensiones. </w:t>
      </w:r>
    </w:p>
    <w:p w14:paraId="0000003F"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5.4. Ocurrido ello, el Vendedor deberá proceder a analizar la viabilidad del requerimiento efectuado por el Comprador, tomando en consideración la oportunidad en que dicha manifestación fuera formulada, como así también, las consecuencias directas sobre el proyecto que las mismas traerán aparejadas. El Vendedor se reserva la prerrogativa discrecional de proceder a desestimar dicho pedido. Para el caso en que las mismas resulten de posible ejecución, el Vendedor deberá proceder a remitir al Comprador, los términos y condiciones para que las mismas sean llevadas a cabo, como así también, el presupuesto que la consecución de las tareas requeridas y necesarias traerán aparejados.</w:t>
      </w:r>
    </w:p>
    <w:p w14:paraId="00000040"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5.5. Aprobado dicho presupuesto y plan de trabajos, las Partes procederán a acordar la ejecución de dichas tareas, debiendo a tal fin proceder a celebrar una Adenda del presente Boleto que contenga un detalle de trabajos a realizar, materiales adicionales que deberán adquirirse, como así también, la demora que las ejecuciones de dichas mejoras implicarán, debiendo individualizar a tal fin la cantidad de operarios que deberán ser destinados a las mismas, y la totalidad de costos que el Comprador deberá afrontar.</w:t>
      </w:r>
    </w:p>
    <w:p w14:paraId="00000041"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5.6. El Comprador tendrá a su cargo la totalidad de los costos derivados de la implementación y ejecución de las mejoras pretendidas e individualizadas en la presente Cláusula.</w:t>
      </w:r>
    </w:p>
    <w:p w14:paraId="00000042"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SEXTA: ENTREGA DE LA UNIDAD. -</w:t>
      </w:r>
    </w:p>
    <w:p w14:paraId="00000043" w14:textId="7F38A733"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6.1. Se estima la finalización de la obra dentro de los treinta y seis (36) meses a contar desde la celebración del Acta de Inicio de Obra</w:t>
      </w:r>
      <w:r w:rsidR="002768BA">
        <w:rPr>
          <w:rFonts w:ascii="Arial Narrow" w:eastAsia="Arial Narrow" w:hAnsi="Arial Narrow" w:cs="Arial Narrow"/>
          <w:color w:val="000000"/>
        </w:rPr>
        <w:t xml:space="preserve"> -la cual se estima tendrá inicio en el mes de febrero del 2025, aproximadamente-</w:t>
      </w:r>
      <w:r>
        <w:rPr>
          <w:rFonts w:ascii="Arial Narrow" w:eastAsia="Arial Narrow" w:hAnsi="Arial Narrow" w:cs="Arial Narrow"/>
          <w:color w:val="000000"/>
        </w:rPr>
        <w:t>.</w:t>
      </w:r>
    </w:p>
    <w:p w14:paraId="00000044" w14:textId="71B01DFD" w:rsidR="000D4A3B" w:rsidRDefault="00000000" w:rsidP="000B71AC">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6.2. </w:t>
      </w:r>
      <w:r w:rsidR="000B71AC" w:rsidRPr="000B71AC">
        <w:rPr>
          <w:rFonts w:ascii="Arial Narrow" w:eastAsia="Arial Narrow" w:hAnsi="Arial Narrow" w:cs="Arial Narrow"/>
          <w:color w:val="000000"/>
        </w:rPr>
        <w:t>Consecuentemente, la fecha de entrega de las Unidades podrá ocurrir vencido el plazo estipulado en la</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Cláusula 6.1.; o bien, cuando el Vendedor notifique fehacientemente al Comprador, que la Unidad Funcional se</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encuentra en condiciones de ser habitada; todo ello, conforme el procedimiento previsto en este Boleto en la</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Cláusula 6.4. Para el caso en que lo segundo ocurra con posterioridad a lo indicado en primer término, las Partes</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considerarán automáticamente prorrogado el debido y oportuno tiempo de entrega al plazo de doce (12) meses</w:t>
      </w:r>
      <w:r w:rsidR="000B71AC">
        <w:rPr>
          <w:rFonts w:ascii="Arial Narrow" w:eastAsia="Arial Narrow" w:hAnsi="Arial Narrow" w:cs="Arial Narrow"/>
          <w:color w:val="000000"/>
        </w:rPr>
        <w:t xml:space="preserve"> </w:t>
      </w:r>
      <w:r w:rsidR="000B71AC" w:rsidRPr="000B71AC">
        <w:rPr>
          <w:rFonts w:ascii="Arial Narrow" w:eastAsia="Arial Narrow" w:hAnsi="Arial Narrow" w:cs="Arial Narrow"/>
          <w:color w:val="000000"/>
        </w:rPr>
        <w:t>desde ocurrido el primer vencimiento del plazo previsto en la Cláusula 6. 1..</w:t>
      </w:r>
    </w:p>
    <w:p w14:paraId="00000045"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6.3.A los efectos de la presente las Partes definen como condiciones de habitabilidad las siguientes: La finalización por completo de la etapa de levantamiento de muros exteriores e interiores, debiendo a tal fin, encontrarse colocadas en su totalidad, las aberturas (marcos y hojas con vidrio), Instalaciones Sanitarias terminadas (cloacales, distribución de agua fría y caliente, pluviales) Instalaciones eléctricas e Instalaciones de gas en las Unidades Funcionales. Deberían además encontrarse íntegramente colocados los solados; debiendo encontrarse en consecuencia finalizado en su totalidad el trabajo correspondiente a revoque, pintura ya acabados de muros. Por otra parte, y a fines de que dichas condiciones de habitabilidad resulten plenas y adecuadas sin que ello implique la exposición a riesgos propios que la marcha de la obra puede causar en aquellos individuos que habiten dichas unidades sin que los trabajos se encuentren finalizados, deberán dichas unidades contar con los artefactos sanitarios íntegramente colocados, entendiendo a tales como inodoro, bidet, bañera y lavatorio. Además, dichas unidades deberán contar con la totalidad de artefactos de cocina y termotanque ya instalados, lo cual importa la colocación de bajo mesada y mesada en cocina e instalación de barandas en balcones</w:t>
      </w:r>
    </w:p>
    <w:p w14:paraId="00000046"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6.4. Ocurrida alguna de las circunstancias previstas en la Cláusula 6.2; las Partes procederán al labrado de un Acta de Entrega de Posesión Material conforme las especificaciones previstas en la Cláusula Séptima del presente Boleto.</w:t>
      </w:r>
    </w:p>
    <w:p w14:paraId="00000047"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6.5. El Vendedor, deberá notificar fehacientemente al Comprador, con una antelación no menor de cinco (5) días hábiles, a fines de que comparezca a los fines de suscribir el Acta de Entrega de Posesión Material referencia en la cláusula 6.4. La falta de concurrencia del Comprador, existiendo libramiento de notificación fehaciente al domicilio contractual aquí comprometido por esta, e independientemente del resultado de tal notificación, no impedirá los efectos referenciados en la Cláusula 7.4 de acuerdo a lo que pudiere acontecer.</w:t>
      </w:r>
    </w:p>
    <w:p w14:paraId="00000048"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6.6. Conforme lo estipulado en la Cláusula 6.5. de la presente Oferta, vencido el plazo que fuere otorgado al Comprador a fines de poder formalizar la entrega de la Unidad Funcional y Cochera correspondiente, y sin que la misma haya comparecido, la totalidad de gastos, impuestos y contribuciones que hubieren de corresponder, deberán ser afrontados única y exclusivamente por el Comprador, comprometiéndose a mantener indemne al Vendedor por la totalidad de los mismos, como así también, a todo aquel tercero que resulte propietario de las restantes unidades que formen parte del proyecto en curso.  </w:t>
      </w:r>
    </w:p>
    <w:p w14:paraId="00000049" w14:textId="77777777" w:rsidR="000D4A3B" w:rsidRDefault="000D4A3B">
      <w:pPr>
        <w:spacing w:after="0" w:line="240" w:lineRule="auto"/>
        <w:rPr>
          <w:rFonts w:ascii="Times New Roman" w:eastAsia="Times New Roman" w:hAnsi="Times New Roman" w:cs="Times New Roman"/>
          <w:sz w:val="24"/>
          <w:szCs w:val="24"/>
        </w:rPr>
      </w:pPr>
    </w:p>
    <w:p w14:paraId="0000004A"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SÉPTIMA: ENTREGA DE LA POSESIÓN MATERIAL</w:t>
      </w:r>
    </w:p>
    <w:p w14:paraId="0000004B" w14:textId="0B159BB9"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7.1. Al momento de proceder a realizar la entrega de la Unidad Funcional y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la misma será materializada mediante la firma de un Acta de Entrega de Posesión Material, que deberán suscribir las partes en tal ocasión, conforme lo estipulado por las Partes en la Cláusula 6.5. del presente Boleto.</w:t>
      </w:r>
    </w:p>
    <w:p w14:paraId="0000004C" w14:textId="46BF692D"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7.2. En tal sentido, el Vendedor procederá a hacer entrega de la posesión material de la Unidad Funcional y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calificando por tanto en lo sucesivo al Comprador como legítimo poseedor de la Unidad Funcional y Cochera.</w:t>
      </w:r>
    </w:p>
    <w:p w14:paraId="0000004D" w14:textId="0C76F8C9"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7.3. Asimismo, el Comprador deberá manifestar que la Unidad Funcional y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xml:space="preserve"> son recibidas en posesión de conformidad y de entera satisfacción con respecto a las calidades, dimensiones y materiales constructivos comprometidos en el Boleto, sin perjuicio de reconocer que el Edificio aún se encuentre en etapa final de construcción, con los arreglos finales y acondicionamientos que ello conlleva, y las contingencias esperables que ello podría traer aparejadas, las que son conocidas y aceptadas por el Comprador como propias de todo emprendimiento constructivo; considerando las Partes que ello no es impedimento para proceder a entrega de la Unidad Funcional y Cochera.</w:t>
      </w:r>
    </w:p>
    <w:p w14:paraId="0000004E"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7.4. Consecuentemente, las Partes acuerdan que corresponderá al Comprador, a partir del día de la fecha de otorgamiento del Acta de Entrega de Posesión, el pago de expensas ordinarias, extraordinarias, impuestos inmobiliarios, sin perjuicio de quien ostentare la titularidad registral del Inmueble o la Unidad Funcional y Cochera en cuestión; como así también, el pago de tasas y gastos municipales, gastos comunes del consorcio que hubieren de corresponder, y todo otro gasto que pesare sobre la Unidad Funcional y/o Cochera. Así también, deberá afrontar el Comprador el pago mensual a las empresas prestadoras de servicios de luz, gas, agua - entre otros-, ya sea que deban ser abonados individualmente conforme las partidas denunciadas, o bien, mediante el pago proporcional en virtud de la instalación de medidores generales. Para el caso en que los pagos de los servicios deban ser afrontados de manera conjunta por la totalidad de integrantes del Inmueble, el atraso en el pago mensual por la parte proporcional y correspondiente a la Unidad Funcional y Cochera objeto de la presente por parte del Comprador, devengará un interés punitorio -sin perjuicio de los intereses compensatorios aplicables- equivalente al cinco por ciento (5%) mensual y acumulativo. A tal fin, dicha penalidad será en beneficio de la totalidad de cohabitantes del Inmueble que han tenido que cargar con el prorrateo del interés computado a dicho impuesto por la mora en el cumplimiento de este.</w:t>
      </w:r>
    </w:p>
    <w:p w14:paraId="0000004F"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7.5. Sin perjuicio de lo estipulado, el Acta a ser celebrada en tal oportunidad, deberá contener la manifestación expresa en lo concerniente a que el pago del precio estipulado como contraprestación en la Cláusula Tercera del presente Boleto ha sido efectivamente abonado en su totalidad, no restando diferencia alguna como saldo de precio a cargo del Comprador.</w:t>
      </w:r>
    </w:p>
    <w:p w14:paraId="00000050" w14:textId="77777777" w:rsidR="000D4A3B" w:rsidRDefault="000D4A3B">
      <w:pPr>
        <w:spacing w:after="0" w:line="240" w:lineRule="auto"/>
        <w:rPr>
          <w:rFonts w:ascii="Times New Roman" w:eastAsia="Times New Roman" w:hAnsi="Times New Roman" w:cs="Times New Roman"/>
          <w:sz w:val="24"/>
          <w:szCs w:val="24"/>
        </w:rPr>
      </w:pPr>
    </w:p>
    <w:p w14:paraId="00000051"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OCTAVA: FECHA DE FINALIZACIÓN DE OBRA.</w:t>
      </w:r>
    </w:p>
    <w:p w14:paraId="00000052" w14:textId="0A037053" w:rsidR="000D4A3B" w:rsidRDefault="00000000" w:rsidP="0036417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8.1. </w:t>
      </w:r>
      <w:r w:rsidR="00364170" w:rsidRPr="00364170">
        <w:rPr>
          <w:rFonts w:ascii="Arial Narrow" w:eastAsia="Arial Narrow" w:hAnsi="Arial Narrow" w:cs="Arial Narrow"/>
          <w:color w:val="000000"/>
        </w:rPr>
        <w:t>Se estima la finalización de la obra en el plazo indicado a la Cláusula 6.1. Dicho plazo quedará exceptuado</w:t>
      </w:r>
      <w:r w:rsidR="00364170">
        <w:rPr>
          <w:rFonts w:ascii="Arial Narrow" w:eastAsia="Arial Narrow" w:hAnsi="Arial Narrow" w:cs="Arial Narrow"/>
          <w:color w:val="000000"/>
        </w:rPr>
        <w:t xml:space="preserve"> </w:t>
      </w:r>
      <w:r w:rsidR="00364170" w:rsidRPr="00364170">
        <w:rPr>
          <w:rFonts w:ascii="Arial Narrow" w:eastAsia="Arial Narrow" w:hAnsi="Arial Narrow" w:cs="Arial Narrow"/>
          <w:color w:val="000000"/>
        </w:rPr>
        <w:t>ante caso fortuito, fuerza mayor, huelgas que afecten a la industria de la construcción o incumplimiento por parte de</w:t>
      </w:r>
      <w:r w:rsidR="00364170">
        <w:rPr>
          <w:rFonts w:ascii="Arial Narrow" w:eastAsia="Arial Narrow" w:hAnsi="Arial Narrow" w:cs="Arial Narrow"/>
          <w:color w:val="000000"/>
        </w:rPr>
        <w:t xml:space="preserve"> </w:t>
      </w:r>
      <w:r w:rsidR="00364170" w:rsidRPr="00364170">
        <w:rPr>
          <w:rFonts w:ascii="Arial Narrow" w:eastAsia="Arial Narrow" w:hAnsi="Arial Narrow" w:cs="Arial Narrow"/>
          <w:color w:val="000000"/>
        </w:rPr>
        <w:t>los proveedores, contratistas o subcontratistas de la obra o entidades gubernamentales, lluvias o eventos</w:t>
      </w:r>
      <w:r w:rsidR="00364170">
        <w:rPr>
          <w:rFonts w:ascii="Arial Narrow" w:eastAsia="Arial Narrow" w:hAnsi="Arial Narrow" w:cs="Arial Narrow"/>
          <w:color w:val="000000"/>
        </w:rPr>
        <w:t xml:space="preserve"> </w:t>
      </w:r>
      <w:r w:rsidR="00364170" w:rsidRPr="00364170">
        <w:rPr>
          <w:rFonts w:ascii="Arial Narrow" w:eastAsia="Arial Narrow" w:hAnsi="Arial Narrow" w:cs="Arial Narrow"/>
          <w:color w:val="000000"/>
        </w:rPr>
        <w:t>meteorológicos que, por efecto persistente o agravado, afecten la obra, o por cualquier otro evento, previsible o no,</w:t>
      </w:r>
      <w:r w:rsidR="00364170">
        <w:rPr>
          <w:rFonts w:ascii="Arial Narrow" w:eastAsia="Arial Narrow" w:hAnsi="Arial Narrow" w:cs="Arial Narrow"/>
          <w:color w:val="000000"/>
        </w:rPr>
        <w:t xml:space="preserve"> </w:t>
      </w:r>
      <w:r w:rsidR="00364170" w:rsidRPr="00364170">
        <w:rPr>
          <w:rFonts w:ascii="Arial Narrow" w:eastAsia="Arial Narrow" w:hAnsi="Arial Narrow" w:cs="Arial Narrow"/>
          <w:color w:val="000000"/>
        </w:rPr>
        <w:t>que escapando al normal desenvolvimiento de una obra constructiva redunde en la inevitable demora de la</w:t>
      </w:r>
      <w:r w:rsidR="00364170">
        <w:rPr>
          <w:rFonts w:ascii="Arial Narrow" w:eastAsia="Arial Narrow" w:hAnsi="Arial Narrow" w:cs="Arial Narrow"/>
          <w:color w:val="000000"/>
        </w:rPr>
        <w:t xml:space="preserve"> </w:t>
      </w:r>
      <w:r w:rsidR="00364170" w:rsidRPr="00364170">
        <w:rPr>
          <w:rFonts w:ascii="Arial Narrow" w:eastAsia="Arial Narrow" w:hAnsi="Arial Narrow" w:cs="Arial Narrow"/>
          <w:color w:val="000000"/>
        </w:rPr>
        <w:t>finalización aquí prevista. En tales supuestos, se entenderá que ha operado de forma automática e indefectible la</w:t>
      </w:r>
      <w:r w:rsidR="00364170">
        <w:rPr>
          <w:rFonts w:ascii="Arial Narrow" w:eastAsia="Arial Narrow" w:hAnsi="Arial Narrow" w:cs="Arial Narrow"/>
          <w:color w:val="000000"/>
        </w:rPr>
        <w:t xml:space="preserve"> </w:t>
      </w:r>
      <w:r w:rsidR="00364170" w:rsidRPr="00364170">
        <w:rPr>
          <w:rFonts w:ascii="Arial Narrow" w:eastAsia="Arial Narrow" w:hAnsi="Arial Narrow" w:cs="Arial Narrow"/>
          <w:color w:val="000000"/>
        </w:rPr>
        <w:t>prórroga proporcional y equivalente a los días en los que ha ocurrido la imposibilidad de prosecución de la obra. El</w:t>
      </w:r>
      <w:r w:rsidR="00364170">
        <w:rPr>
          <w:rFonts w:ascii="Arial Narrow" w:eastAsia="Arial Narrow" w:hAnsi="Arial Narrow" w:cs="Arial Narrow"/>
          <w:color w:val="000000"/>
        </w:rPr>
        <w:t xml:space="preserve"> </w:t>
      </w:r>
      <w:r w:rsidR="00364170" w:rsidRPr="00364170">
        <w:rPr>
          <w:rFonts w:ascii="Arial Narrow" w:eastAsia="Arial Narrow" w:hAnsi="Arial Narrow" w:cs="Arial Narrow"/>
          <w:color w:val="000000"/>
        </w:rPr>
        <w:t>Vendedor notificará al Comprador, con una antelación no menor de cinco (5) días hábiles la fecha de entrega de las</w:t>
      </w:r>
      <w:r w:rsidR="00364170">
        <w:rPr>
          <w:rFonts w:ascii="Arial Narrow" w:eastAsia="Arial Narrow" w:hAnsi="Arial Narrow" w:cs="Arial Narrow"/>
          <w:color w:val="000000"/>
        </w:rPr>
        <w:t xml:space="preserve"> </w:t>
      </w:r>
      <w:r w:rsidR="00364170" w:rsidRPr="00364170">
        <w:rPr>
          <w:rFonts w:ascii="Arial Narrow" w:eastAsia="Arial Narrow" w:hAnsi="Arial Narrow" w:cs="Arial Narrow"/>
          <w:color w:val="000000"/>
        </w:rPr>
        <w:t>Unidades conforme lo ya establecido en la Cláusula Séptima del presente.</w:t>
      </w:r>
      <w:r>
        <w:rPr>
          <w:rFonts w:ascii="Arial Narrow" w:eastAsia="Arial Narrow" w:hAnsi="Arial Narrow" w:cs="Arial Narrow"/>
          <w:color w:val="000000"/>
        </w:rPr>
        <w:t> </w:t>
      </w:r>
    </w:p>
    <w:p w14:paraId="00000053" w14:textId="77777777" w:rsidR="000D4A3B" w:rsidRDefault="000D4A3B">
      <w:pPr>
        <w:spacing w:after="0" w:line="240" w:lineRule="auto"/>
        <w:rPr>
          <w:rFonts w:ascii="Times New Roman" w:eastAsia="Times New Roman" w:hAnsi="Times New Roman" w:cs="Times New Roman"/>
          <w:sz w:val="24"/>
          <w:szCs w:val="24"/>
        </w:rPr>
      </w:pPr>
    </w:p>
    <w:p w14:paraId="00000054"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NOVENA: ESCRITURA TRASLATIVA DE DOMINIO.</w:t>
      </w:r>
    </w:p>
    <w:p w14:paraId="00000055" w14:textId="7E51B9AA"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9.1. La Unidad Funcional y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xml:space="preserve"> adquiridas serán escrituradas a favor del Comprador -y/o a favor de quien se designe- en base a títulos perfectos y con todos los impuestos, tasas y contribuciones pagos hasta la entrega de Posesión (7.1). La escritura de afectación al derecho real de Propiedad horizontal, del Reglamento de Copropiedad y Administración, y la escritura traslativa de dominio será otorgada como condición de venta, por ante el Escribano que designe el Vendedor. El Reglamento de Copropiedad y Administración y su proyecto serán dictados por el Vendedor, aceptando el Comprador desde ya los términos del mismo. La escritura traslativa de dominio se realizará una vez finalizados los trámites técnico-administrativos ante las autoridades de la Ciudad Autónoma de Buenos Aires, dentro del plazo máximo de sesenta (60) días hábiles, no incurriendo en mora el Vendedor por demoras no atribuibles a las partes contratantes. El notario deberá citar a las partes para el acto escriturario con una antelación mínima de diez (10) días hábiles. Como condición de venta, todos los gastos, impuestos y honorarios que devengue dicha escritura, aún aquellos que según la Ley o la costumbre están a cargo del Vendedor, inclusive los anticipos de IVA, Ingresos Brutos, sellos - si correspondiere-, serán soportados por el Comprador. Respecto a los anticipos de Impuesto a las Ganancias, serán soportados por el Vendedor.</w:t>
      </w:r>
    </w:p>
    <w:p w14:paraId="00000056"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DÉCIMA: LIMITACIÓN DE LA TRANSFERENCIA. -</w:t>
      </w:r>
    </w:p>
    <w:p w14:paraId="00000057" w14:textId="36BEBDB0"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10.1. Hasta tanto no se proceda a otorgar la respectiva escritura traslativa de dominio correspondiente a la presente Unidad Funcional y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queda expresamente prohibida la cesión o transferencia – total o parcial- del presente Boleto a terceros, por cualquier título o causa que fuere; sin la previa y escrita conformidad del Vendedor. </w:t>
      </w:r>
    </w:p>
    <w:p w14:paraId="00000058" w14:textId="77777777" w:rsidR="000D4A3B" w:rsidRDefault="000D4A3B">
      <w:pPr>
        <w:spacing w:after="0" w:line="240" w:lineRule="auto"/>
        <w:rPr>
          <w:rFonts w:ascii="Times New Roman" w:eastAsia="Times New Roman" w:hAnsi="Times New Roman" w:cs="Times New Roman"/>
          <w:sz w:val="24"/>
          <w:szCs w:val="24"/>
        </w:rPr>
      </w:pPr>
    </w:p>
    <w:p w14:paraId="00000059"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DÉCIMO PRIMERA: SERVICIOS Y GASTOS.</w:t>
      </w:r>
    </w:p>
    <w:p w14:paraId="0000005A" w14:textId="40C5C5E4"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11.1. Conforme lo estipulado por las Partes, corresponde al Comprador, a partir del día de la fecha que le fuera fehacientemente notificada al Comprador a fines de que el Vendedor proceda a entregarle la Unidad Funcional y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xml:space="preserve">, el pago de expensas ordinarias, extraordinarias, impuestos inmobiliarios, estos últimos sin perjuicio de la titularidad del Inmueble o Unidad Funcional y/o Cochera en cuestión al momento de su devengamiento; como así también, el pago de tasas y gastos municipales, gastos comunes del consorcio que hubieren de corresponder, y todo otro gasto que pesare sobre la Unidad Funcional y/o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Así también, deberá afrontar el Comprador el pago mensual a las empresas prestadoras de servicios de luz, gas, agua - entre otros-, ya sea que deban ser abonados individualmente conforme las partidas denunciadas, o bien, mediante el pago proporcional en virtud de la instalación de medidores generales.</w:t>
      </w:r>
    </w:p>
    <w:p w14:paraId="0000005B"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11.2. Para el caso en que los pagos de los servicios deban ser afrontados de manera conjunta por la totalidad de integrantes del Inmueble, el atraso en el pago mensual por la parte proporcional y correspondiente a la Unidad Funcional y Cochera objeto de la presente por parte del Comprador, devengará un interés punitorio equivalente al cinco por ciento (5%) mensual y acumulativo. A tal fin, dicha penalidad será en beneficio de la totalidad de cohabitantes del Inmueble que han tenido que cargar con el prorrateo del interés computado a dicho impuesto por la mora en el cumplimiento del mismo. </w:t>
      </w:r>
    </w:p>
    <w:p w14:paraId="0000005C"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11.3. Como condición de venta, todos los gastos, impuestos y honorarios que devengue dicha escritura serán soportados por el Comprador. </w:t>
      </w:r>
    </w:p>
    <w:p w14:paraId="0000005D" w14:textId="50AADA5A"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11.4. </w:t>
      </w:r>
      <w:proofErr w:type="spellStart"/>
      <w:r>
        <w:rPr>
          <w:rFonts w:ascii="Arial Narrow" w:eastAsia="Arial Narrow" w:hAnsi="Arial Narrow" w:cs="Arial Narrow"/>
          <w:color w:val="000000"/>
          <w:u w:val="single"/>
        </w:rPr>
        <w:t>Alhajamiento</w:t>
      </w:r>
      <w:proofErr w:type="spellEnd"/>
      <w:r>
        <w:rPr>
          <w:rFonts w:ascii="Arial Narrow" w:eastAsia="Arial Narrow" w:hAnsi="Arial Narrow" w:cs="Arial Narrow"/>
          <w:color w:val="000000"/>
        </w:rPr>
        <w:t xml:space="preserve">: Los gastos de </w:t>
      </w:r>
      <w:proofErr w:type="spellStart"/>
      <w:r>
        <w:rPr>
          <w:rFonts w:ascii="Arial Narrow" w:eastAsia="Arial Narrow" w:hAnsi="Arial Narrow" w:cs="Arial Narrow"/>
          <w:color w:val="000000"/>
        </w:rPr>
        <w:t>alhajamiento</w:t>
      </w:r>
      <w:proofErr w:type="spellEnd"/>
      <w:r>
        <w:rPr>
          <w:rFonts w:ascii="Arial Narrow" w:eastAsia="Arial Narrow" w:hAnsi="Arial Narrow" w:cs="Arial Narrow"/>
          <w:color w:val="000000"/>
        </w:rPr>
        <w:t xml:space="preserve"> del hall de entrada del edificio y demás partes comunes (mobiliario, iluminación, decoraciones especiales, salón de usos múltiples), serán soportados por el Comprador; gastos los cuales, serán equivalentes al uno coma cinco por ciento (1.5%) del Precio detallado a la Cláusula 3.1. del corriente. El pago de dichas sumas deberá ser afrontado por el Comprador previo al final de obra, debiendo a tal efecto el Vendedor remitir con una antelación no mayor a cinco (5) días hábiles de la fecha estipulada para el cobro de dichas sumas, un detalle de los montos a ser entregados, debiendo en tal comunicación proceder a indicar lugar y fecha de pago de las sumas que así correspondan. Asimismo, el pago de las sumas aquí detalladas será condición esencial y necesaria a los efectos de que el Vendedor proceda a hacer entrega de la Posesión- según corresponda- al Comprador de la Unidad Funcional y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xml:space="preserve"> objeto de la corriente.</w:t>
      </w:r>
    </w:p>
    <w:p w14:paraId="0000005E" w14:textId="77777777" w:rsidR="000D4A3B" w:rsidRDefault="000D4A3B">
      <w:pPr>
        <w:spacing w:after="0" w:line="240" w:lineRule="auto"/>
        <w:rPr>
          <w:rFonts w:ascii="Times New Roman" w:eastAsia="Times New Roman" w:hAnsi="Times New Roman" w:cs="Times New Roman"/>
          <w:sz w:val="24"/>
          <w:szCs w:val="24"/>
        </w:rPr>
      </w:pPr>
    </w:p>
    <w:p w14:paraId="0000005F"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DÉCIMO SEGUNDA: MODIFICACIONES Y ADENDAS.</w:t>
      </w:r>
    </w:p>
    <w:p w14:paraId="00000060"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12.1. Para el caso en que las Partes encuentren oportuno proceder a la celebración de Adendas, las mismas serán regidas por el presente Boleto, salvo disposición en contrario. </w:t>
      </w:r>
    </w:p>
    <w:p w14:paraId="00000061"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12.2. En tal caso, prevalecerá la especificidad de la Adenda por sobre la generalidad del presente Boleto.</w:t>
      </w:r>
    </w:p>
    <w:p w14:paraId="00000062"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12.3. La celebración de la Adenda no implicará en absoluto, la novación o reestructuración del presente Boleto.</w:t>
      </w:r>
    </w:p>
    <w:p w14:paraId="00000063"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12.4. La celebración de una Adenda, no podrá ser interpretada como un acto o hecho distinto de lo aquí pactado, conforme la autonomía de la voluntad de las partes, debidamente regulada por el Art. 2651 del CCCN.</w:t>
      </w:r>
    </w:p>
    <w:p w14:paraId="00000064" w14:textId="77777777" w:rsidR="000D4A3B" w:rsidRDefault="000D4A3B">
      <w:pPr>
        <w:spacing w:after="0" w:line="240" w:lineRule="auto"/>
        <w:rPr>
          <w:rFonts w:ascii="Times New Roman" w:eastAsia="Times New Roman" w:hAnsi="Times New Roman" w:cs="Times New Roman"/>
          <w:sz w:val="24"/>
          <w:szCs w:val="24"/>
        </w:rPr>
      </w:pPr>
    </w:p>
    <w:p w14:paraId="00000065"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DÉCIMO TERCERA: UNIFICACIÓN DE PERSONERÍA. -</w:t>
      </w:r>
    </w:p>
    <w:p w14:paraId="00000066"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13.1. En caso de fallecimiento o incapacidad sobreviniente del Comprador, sus herederos y/o representantes deberán unificar personería, dentro de los sesenta días hábiles de acaecido el hecho generador, y asumirán los mismos derechos y contraerán las mismas obligaciones que tenía el causante o incapaz. </w:t>
      </w:r>
    </w:p>
    <w:p w14:paraId="00000067"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13.2. A tal efecto, quien se presente en calidad de Heredero del causante, deberá oportunamente acreditar personería y facultades para continuar las obligaciones asumidas por éste, mediante la entrega al Vendedor de la partida de defunción del Comprador, como así también, y una copia certificada de la Declaratoria de Herederos, debidamente certificada por el Juez interviniente en el proceso sucesorio.</w:t>
      </w:r>
    </w:p>
    <w:p w14:paraId="00000068" w14:textId="77777777" w:rsidR="000D4A3B" w:rsidRDefault="000D4A3B">
      <w:pPr>
        <w:spacing w:after="0" w:line="240" w:lineRule="auto"/>
        <w:rPr>
          <w:rFonts w:ascii="Times New Roman" w:eastAsia="Times New Roman" w:hAnsi="Times New Roman" w:cs="Times New Roman"/>
          <w:sz w:val="24"/>
          <w:szCs w:val="24"/>
        </w:rPr>
      </w:pPr>
    </w:p>
    <w:p w14:paraId="00000069"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DÉCIMO CUARTA: ACCIÓN JUDICIAL.</w:t>
      </w:r>
      <w:r>
        <w:rPr>
          <w:rFonts w:ascii="Arial Narrow" w:eastAsia="Arial Narrow" w:hAnsi="Arial Narrow" w:cs="Arial Narrow"/>
          <w:color w:val="000000"/>
        </w:rPr>
        <w:t xml:space="preserve"> -</w:t>
      </w:r>
    </w:p>
    <w:p w14:paraId="0000006A"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14.1. En ningún caso de acción judicial promovida por el Comprador contra el Vendedor podrá afectar unidades funcionales ajenas a la presente operación.  En caso de una eventual acción judicial entre las Partes con motivo del presente contrato, el comprador renuncia en forma expresa e irrevocable a trabar medidas precautorias que afecten la libre disponibilidad por parte del Vendedor de unidades ajenas al litigio, entendiéndose que en caso de no poder trabarse medidas precautorias exclusivamente sobre las unidades vendidas, el Vendedor podrá impedir una medida cautelar o sustituir las que se hubieren decretado o trabado, depositando el total de la suma abonada hasta ese momento por el Comprador, más un diez por ciento (10%) de ese valor para eventuales accesorias. Mediante este depósito el Vendedor podrá levantar cualquier medida cautelar trabada por el Comprador sobre unidades distintas a las que se le han vendido o sobre el inmueble en general.</w:t>
      </w:r>
    </w:p>
    <w:p w14:paraId="0000006B" w14:textId="77777777" w:rsidR="000D4A3B" w:rsidRDefault="000D4A3B">
      <w:pPr>
        <w:spacing w:after="0" w:line="240" w:lineRule="auto"/>
        <w:rPr>
          <w:rFonts w:ascii="Times New Roman" w:eastAsia="Times New Roman" w:hAnsi="Times New Roman" w:cs="Times New Roman"/>
          <w:sz w:val="24"/>
          <w:szCs w:val="24"/>
        </w:rPr>
      </w:pPr>
    </w:p>
    <w:p w14:paraId="0000006C"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DÉCIMO QUINTA: INCUMPLIMIENTO. -</w:t>
      </w:r>
    </w:p>
    <w:p w14:paraId="0000006D"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15.1. Para todas las obligaciones derivadas del presente Boleto el incumplimiento por parte del Comprador, del pago de dos (2) cuotas – sea que las mismas se reporten como consecutivas o no- en tiempo y forma de las mismas, hará incurrir al Comprador en mora de manera automática, y sin necesidad de interpelación previa, judicial o extrajudicial. En tal supuesto, y sin importar el esquema de pagos que fuera acordado, operará la caducidad de la totalidad de plazos, siendo la totalidad del Precio involucrado en la siguiente operación exigible -sin más- para su inmediato pago, sin importar la gradualidad o proporción de los pagos efectuados por el Comprador con respecto al total. En tal caso, se adicionarán los intereses por mora, los cuales son estipulados en la suma equivalente al dos por ciento (2%) mensual sobre la deuda; con más aquellos compensatorios, punitorios, costos y costas, y honorarios de profesionales cuya intervención fuera contratada para la gestión y cobro del crédito. De esta manera, el Vendedor, a su único y exclusivo criterio podrá optar por los siguientes cauces de actuación: </w:t>
      </w:r>
    </w:p>
    <w:p w14:paraId="0000006E"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15.1.1. Dar por decaídos la totalidad de los plazos involucrados, y a exigir sin más el cumplimiento y ejecución de la suma total adeudada en concepto de remanente. Dicho reclamo será ejercido por la vía ejecutiva prevista en el Art. 523 y ss. del Código Procesal Civil y Comercial de la Nación.</w:t>
      </w:r>
    </w:p>
    <w:p w14:paraId="0000006F" w14:textId="79C1D621"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15.1.2. Asimismo, y a su única y entera elección, el Vendedor podrá declarar sin más resuelto, de pleno derecho, el referido Boleto, con la pérdida de la totalidad de los derechos que a razón de éste correspondieran al Comprador, y con la consiguiente pérdida del cincuenta por ciento (50%) las sumas abonadas por el Comprador hasta ese momento, procediendo a restituir al Comprador el cincuenta por ciento (50%) restante una vez finalizada la ejecución de la obra. En tal caso el Vendedor, quedará habilitado a llevar a cabo todos los actos procesales respectivos a fin de tomar nuevamente posesión de la Unidad Funcional y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xml:space="preserve"> correspondiente.</w:t>
      </w:r>
    </w:p>
    <w:p w14:paraId="00000070"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15.2. Sin perjuicio de la aplicación de dichas medidas, el Vendedor, en los casos de incumplimiento del pago del Precio, y de forma concurrente con lo estipulado en la corriente sección, podrá exceptuarse en el cumplimiento de sus obligaciones y responsabilidades de conformidad con lo previsto al Art. 1031 CCCN.</w:t>
      </w:r>
    </w:p>
    <w:p w14:paraId="00000071"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15.3. Si el Vendedor no diese cumplimiento a alguna de sus obligaciones asumidas, incurrirá en mora, pudiendo el Comprador exigir el cumplimiento de las obligaciones asumidas en el presente más los daños y perjuicios que la mora le causare, los que se establecen de común acuerdo entre las Partes en la suma de Dólares Estadounidenses Setenta y cinco (U$S 75.-) por cada día en que subsista el incumplimiento.</w:t>
      </w:r>
    </w:p>
    <w:p w14:paraId="00000072" w14:textId="77777777" w:rsidR="000D4A3B" w:rsidRDefault="000D4A3B">
      <w:pPr>
        <w:spacing w:after="0" w:line="240" w:lineRule="auto"/>
        <w:rPr>
          <w:rFonts w:ascii="Times New Roman" w:eastAsia="Times New Roman" w:hAnsi="Times New Roman" w:cs="Times New Roman"/>
          <w:sz w:val="24"/>
          <w:szCs w:val="24"/>
        </w:rPr>
      </w:pPr>
    </w:p>
    <w:p w14:paraId="00000073"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DÉCIMO SEXTA: INTERPRETACIÓN.</w:t>
      </w:r>
    </w:p>
    <w:p w14:paraId="00000074"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16.1. Ninguna renuncia u omisión por parte del Vendedor a cualquiera de los derechos o privilegios otorgados o emergentes del presente convenio será interpretada como una renuncia general de dichos derechos o privilegios, ni será un impedimento para su ejecución en un futuro; salvo que tal renuncia haya sido debidamente expresada por escrito y reconocida por la otra parte. La renuncia de un derecho concreto no implicará la renuncia a eventuales derechos futuros, aunque sean de la misma naturaleza. </w:t>
      </w:r>
    </w:p>
    <w:p w14:paraId="00000075"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16.2. La anulación de alguna de las disposiciones del presente Contrato no podrá ser derivada en la afectación de otras, tendiéndose a la manutención del acuerdo logrado por las Partes, de conformidad con el Principio de la Autonomía de la Voluntad. No podrán efectuarse modificaciones a este contrato sin el previo consentimiento por escrito de las Partes.</w:t>
      </w:r>
    </w:p>
    <w:p w14:paraId="00000076" w14:textId="77777777" w:rsidR="000D4A3B" w:rsidRDefault="000D4A3B">
      <w:pPr>
        <w:spacing w:after="0" w:line="240" w:lineRule="auto"/>
        <w:rPr>
          <w:rFonts w:ascii="Times New Roman" w:eastAsia="Times New Roman" w:hAnsi="Times New Roman" w:cs="Times New Roman"/>
          <w:sz w:val="24"/>
          <w:szCs w:val="24"/>
        </w:rPr>
      </w:pPr>
    </w:p>
    <w:p w14:paraId="00000077"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DÉCIMO SÉPTIMA: CLAUSULAS ESPECIALES. -</w:t>
      </w:r>
    </w:p>
    <w:p w14:paraId="00000078"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17.1. Las partes convienen las siguientes Cláusulas Especiales: </w:t>
      </w:r>
    </w:p>
    <w:p w14:paraId="00000079"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17.1.1</w:t>
      </w:r>
      <w:r>
        <w:rPr>
          <w:rFonts w:ascii="Arial Narrow" w:eastAsia="Arial Narrow" w:hAnsi="Arial Narrow" w:cs="Arial Narrow"/>
          <w:b/>
          <w:color w:val="000000"/>
        </w:rPr>
        <w:t>.</w:t>
      </w:r>
      <w:r>
        <w:rPr>
          <w:rFonts w:ascii="Arial Narrow" w:eastAsia="Arial Narrow" w:hAnsi="Arial Narrow" w:cs="Arial Narrow"/>
          <w:color w:val="000000"/>
        </w:rPr>
        <w:t xml:space="preserve"> Designación de Administrador: Hasta la escrituración de la última de las unidades del edificio, la administración de la totalidad del inmueble y la representación legal del consorcio de copropietarios, será ejercida por el Vendedor o por la persona que éste designe. </w:t>
      </w:r>
    </w:p>
    <w:p w14:paraId="0000007A"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17.1.2.</w:t>
      </w:r>
      <w:r>
        <w:rPr>
          <w:rFonts w:ascii="Arial Narrow" w:eastAsia="Arial Narrow" w:hAnsi="Arial Narrow" w:cs="Arial Narrow"/>
          <w:b/>
          <w:color w:val="000000"/>
        </w:rPr>
        <w:t xml:space="preserve"> </w:t>
      </w:r>
      <w:r>
        <w:rPr>
          <w:rFonts w:ascii="Arial Narrow" w:eastAsia="Arial Narrow" w:hAnsi="Arial Narrow" w:cs="Arial Narrow"/>
          <w:color w:val="000000"/>
        </w:rPr>
        <w:t>Nuevos Impuestos: Como para fijar el precio de cada unidad se han incluido en el costo de ellas los actuales tributos vigentes a la fecha, corresponderá a cada una de las partes según determine la Ley respecto del sujeto gravado, y en proporción a los montos de deuda existentes al momento de la aplicación del impuesto, toda modificación que genere incrementos a impuestos vigentes, así como la creación de nuevos impuestos que rijan en el futuro y afecten esta operación inmobiliaria. </w:t>
      </w:r>
    </w:p>
    <w:p w14:paraId="0000007B"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17.1.3. Modificaciones no autorizadas: Una vez que la Unidad se encuentre bajo Posesión (Cláusula Séptima) del Comprador, este no podrá realizar, sin previa y expresa conformidad del Vendedor, modificaciones ni obras adicionales, ni alterar partes propias de las unidades adquiridas hasta tanto se hayan expedido los certificados finales de obra por el Gobierno de la Ciudad Autónoma de Buenos Aires y demás organismos y reparticiones competentes. Si violara esta disposición será responsable de los daños y perjuicios que pudiera ocasionar la demora en la expedición de dichos certificados. </w:t>
      </w:r>
    </w:p>
    <w:p w14:paraId="0000007C"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17.1.4. Uso y Destino del Inmueble: el Comprador deja constancia de que conoce el Proyecto de Reglamento de Copropiedad y Administración referente al uso y destino de las unidades adquiridas y de los espacios de propiedad común, prestando su expresa conformidad con los derechos y obligaciones emergentes del mismo.</w:t>
      </w:r>
    </w:p>
    <w:p w14:paraId="0000007D"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17.1.5. Otorgamiento de poder especial para la modificación del Reglamento de Copropiedad y Administración:  el Vendedor se reserva el derecho por un plazo de cinco (5) años a contar desde la fecha de inscripción del Reglamento de Copropiedad y Administración definitivo, de modificar el mismo, unificando unidades o dividiéndolas, pudiendo transformar partes comunes en propias, modificando porcentuales y realizando cambios de destino (sin afectar en forma directa a la unidad objeto del presente boleto), corriendo por su exclusiva cuenta la totalidad de los gastos que dichas modificaciones irrogare. A estos efectos, el comprador se obliga a otorgar, junto con la escritura traslativa de dominio, poder especial irrevocable por el termino aludido, a favor del Vendedor o de las personas que esta le indique, para que en su nombre y representación presten conformidad con dichas modificaciones y suscriban la pertinente escritura de modificación del Reglamento de Copropiedad y Administración.</w:t>
      </w:r>
    </w:p>
    <w:p w14:paraId="0000007E"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17.1.6. Acorde a lo previsto en el Art. 1730 del CCCN, se entenderá por “Caso Fortuito” o “fuerza mayor” a todo fenómeno de la naturaleza o hechos de personas, ajenos a la voluntad de cualquiera de las Partes que se producen sin que haya falta o negligencia por parte de las mismas, que son insuperables, imprevisibles, o que, habiendo sido previstos, no se pudiesen evitar, las cuales impiden al Vendedor llevar a cabo sus obligaciones de conformidad con el presente Contrato. Entre otros, se considera caso fortuito o fuerza mayor, acontecimientos tales como huelgas y disturbios laborales (siempre y cuando no se haya dado causa o contribuido a ellos, insurrecciones, incendios (cuando no se haya dado causa o contribuido a ellos), tormentas y/o todo aquel fenómeno que, de acaecer, altere el normal curso de La Obra en cuestión.</w:t>
      </w:r>
    </w:p>
    <w:p w14:paraId="0000007F"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17.1.7. Las Partes, en pleno ejercicio de sus facultades contractuales, reconociendo que ello importaría un mayor costo que se trasladaría al precio de la unidad, que el Comprador expresamente manifiesta que no desea asumir, acuerdan prescindir de la constitución del seguro establecido en el artículo 2071 del Código Civil y Comercial, no considerando dicha estipulación como materia de orden público, entendiéndose como perfectamente renunciable; y dejando expresa constancia que el precio establecido en la cláusula segunda no tiene contemplada la incidencia de este costo. Sin perjuicio de ello, en cualquier momento, tanto la Vendedora como el Comprador podrán requerir la constitución del mismo, debiendo la parte que lo solicite, llevar a cabo por su exclusiva cuenta las gestiones y diligencias necesarias para concretar su contratación y abonar el costo total del mismo y cumplir con los requerimientos que se exijan. El Comprador renuncia irrevocablemente a invocar la falta de constitución del seguro como causal de incumplimiento del Vendedor, así como justificativo de omisión alguna de su parte.</w:t>
      </w:r>
    </w:p>
    <w:p w14:paraId="00000080" w14:textId="77777777" w:rsidR="000D4A3B" w:rsidRDefault="00000000">
      <w:pPr>
        <w:spacing w:before="120" w:after="120" w:line="240" w:lineRule="auto"/>
        <w:ind w:left="720"/>
        <w:jc w:val="both"/>
        <w:rPr>
          <w:rFonts w:ascii="Arial Narrow" w:eastAsia="Arial Narrow" w:hAnsi="Arial Narrow" w:cs="Arial Narrow"/>
          <w:highlight w:val="yellow"/>
        </w:rPr>
      </w:pPr>
      <w:r>
        <w:rPr>
          <w:rFonts w:ascii="Arial Narrow" w:eastAsia="Arial Narrow" w:hAnsi="Arial Narrow" w:cs="Arial Narrow"/>
          <w:highlight w:val="yellow"/>
        </w:rPr>
        <w:t>17.1.8. Que a los efectos tributarios la presente operación se efectúa por la suma de Pesos ************, resultante de aplicar la paridad cambiaria de $***.- por cada dólar estadounidense, que es la fijada por el Banco de la Nación Argentina para el dólar vendedor billete correspondiente al último día hábil cambiario. En cuanto al Impuesto de Sellos que grava la presente asciende a Pesos ********** y será soportado íntegramente por el comprador e ingresado en el plazo de ley según.-</w:t>
      </w:r>
    </w:p>
    <w:p w14:paraId="00000081"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17.1.9. Si surgieran y/o existieran diferencias en los costos, ante una eventual aplicación de un reajuste final de obra, por mejoras y/o circunstancias no previstas o causadas por caso fortuito o fuerza mayor, la parte Compradora se obliga a solventar tales diferencias, y el Vendedor deberá comunicar ello al Comprador con una antelación de Treinta (30) días. A esos efectos, la parte Vendedora, podrá optar entre: a) adicionar los mayores costos a la última cuota, o imponer cuotas suplementarias, posteriores a aquélla, hasta completarse el monto adicional, o b) incluir el aumento en el importe de las cuotas, con la proyección de las cuotas restantes, hasta completar el incremento del costo.</w:t>
      </w:r>
    </w:p>
    <w:p w14:paraId="00000082" w14:textId="77777777" w:rsidR="000D4A3B" w:rsidRDefault="000D4A3B">
      <w:pPr>
        <w:spacing w:after="0" w:line="240" w:lineRule="auto"/>
        <w:rPr>
          <w:rFonts w:ascii="Times New Roman" w:eastAsia="Times New Roman" w:hAnsi="Times New Roman" w:cs="Times New Roman"/>
          <w:sz w:val="24"/>
          <w:szCs w:val="24"/>
        </w:rPr>
      </w:pPr>
    </w:p>
    <w:p w14:paraId="00000083"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DÉCIMO OCTAVA: SOLIDARIDAD. –</w:t>
      </w:r>
    </w:p>
    <w:p w14:paraId="00000084"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18.1. Para el caso en que el Comprador incumpliera con alguna de las obligaciones a la que mediante la firma del presente Boleto se obliga, y llegado el caso en que dos o más personas ocupen dicha posición contractual, éstas resultarán solidariamente responsables (Art. 827 CCCN) por el íntegro cumplimiento de las mismas, pudiendo el Vendedor dirigir sus acciones contra cualquiera de ellas y por la totalidad del crédito que ostenta a su favor, sin perjuicio de los derechos que entre estos hubieren de corresponder con posterioridad a fines de compensar entre sí el cumplimiento efectuado por alguno de ellos.</w:t>
      </w:r>
    </w:p>
    <w:p w14:paraId="00000085" w14:textId="77777777" w:rsidR="000D4A3B" w:rsidRDefault="000D4A3B">
      <w:pPr>
        <w:spacing w:after="0" w:line="240" w:lineRule="auto"/>
        <w:rPr>
          <w:rFonts w:ascii="Times New Roman" w:eastAsia="Times New Roman" w:hAnsi="Times New Roman" w:cs="Times New Roman"/>
          <w:sz w:val="24"/>
          <w:szCs w:val="24"/>
        </w:rPr>
      </w:pPr>
    </w:p>
    <w:p w14:paraId="00000086"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DÉCIMO NOVENA: CONTACTOS PRINCIPALES. –</w:t>
      </w:r>
    </w:p>
    <w:p w14:paraId="00000087"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19.1. A los efectos del presente Contrato, las Partes constituyen como medios de comunicación donde se tendrán por válidas las comunicaciones realizadas entre ellos, los siguientes: </w:t>
      </w:r>
    </w:p>
    <w:p w14:paraId="00000088"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19.1.1.</w:t>
      </w:r>
      <w:r>
        <w:rPr>
          <w:rFonts w:ascii="Arial Narrow" w:eastAsia="Arial Narrow" w:hAnsi="Arial Narrow" w:cs="Arial Narrow"/>
          <w:b/>
          <w:color w:val="000000"/>
        </w:rPr>
        <w:t xml:space="preserve"> Vendedor: </w:t>
      </w:r>
    </w:p>
    <w:p w14:paraId="00000089" w14:textId="77777777" w:rsidR="000D4A3B" w:rsidRDefault="00000000">
      <w:pPr>
        <w:numPr>
          <w:ilvl w:val="0"/>
          <w:numId w:val="1"/>
        </w:numPr>
        <w:spacing w:before="120" w:after="120" w:line="240" w:lineRule="auto"/>
        <w:ind w:left="1776"/>
        <w:jc w:val="both"/>
        <w:rPr>
          <w:rFonts w:ascii="Arial Narrow" w:eastAsia="Arial Narrow" w:hAnsi="Arial Narrow" w:cs="Arial Narrow"/>
          <w:color w:val="000000"/>
        </w:rPr>
      </w:pPr>
      <w:r>
        <w:rPr>
          <w:rFonts w:ascii="Arial Narrow" w:eastAsia="Arial Narrow" w:hAnsi="Arial Narrow" w:cs="Arial Narrow"/>
          <w:b/>
          <w:color w:val="000000"/>
        </w:rPr>
        <w:t>DONADO 2148 S.A.</w:t>
      </w:r>
    </w:p>
    <w:p w14:paraId="0000008A" w14:textId="77777777" w:rsidR="000D4A3B" w:rsidRDefault="00000000">
      <w:pPr>
        <w:numPr>
          <w:ilvl w:val="0"/>
          <w:numId w:val="1"/>
        </w:numPr>
        <w:spacing w:before="120" w:after="120" w:line="240" w:lineRule="auto"/>
        <w:ind w:left="1776"/>
        <w:jc w:val="both"/>
        <w:rPr>
          <w:rFonts w:ascii="Arial Narrow" w:eastAsia="Arial Narrow" w:hAnsi="Arial Narrow" w:cs="Arial Narrow"/>
          <w:color w:val="000000"/>
        </w:rPr>
      </w:pPr>
      <w:r>
        <w:rPr>
          <w:rFonts w:ascii="Arial Narrow" w:eastAsia="Arial Narrow" w:hAnsi="Arial Narrow" w:cs="Arial Narrow"/>
          <w:color w:val="000000"/>
        </w:rPr>
        <w:t>Juramento 1475, piso 13, Of. 1302, CABA</w:t>
      </w:r>
    </w:p>
    <w:p w14:paraId="0000008B" w14:textId="77777777" w:rsidR="000D4A3B" w:rsidRDefault="00000000">
      <w:pPr>
        <w:numPr>
          <w:ilvl w:val="0"/>
          <w:numId w:val="1"/>
        </w:numPr>
        <w:spacing w:before="120" w:after="120" w:line="240" w:lineRule="auto"/>
        <w:ind w:left="1776"/>
        <w:jc w:val="both"/>
        <w:rPr>
          <w:rFonts w:ascii="Arial Narrow" w:eastAsia="Arial Narrow" w:hAnsi="Arial Narrow" w:cs="Arial Narrow"/>
          <w:color w:val="000000"/>
        </w:rPr>
      </w:pPr>
      <w:r>
        <w:rPr>
          <w:color w:val="000000"/>
          <w:sz w:val="20"/>
          <w:szCs w:val="20"/>
        </w:rPr>
        <w:t>***</w:t>
      </w:r>
    </w:p>
    <w:p w14:paraId="0000008C" w14:textId="77777777" w:rsidR="000D4A3B" w:rsidRDefault="00000000">
      <w:pPr>
        <w:spacing w:before="120" w:after="120" w:line="240" w:lineRule="auto"/>
        <w:ind w:left="720"/>
        <w:jc w:val="both"/>
        <w:rPr>
          <w:rFonts w:ascii="Times New Roman" w:eastAsia="Times New Roman" w:hAnsi="Times New Roman" w:cs="Times New Roman"/>
          <w:sz w:val="24"/>
          <w:szCs w:val="24"/>
        </w:rPr>
      </w:pPr>
      <w:r>
        <w:rPr>
          <w:rFonts w:ascii="Arial Narrow" w:eastAsia="Arial Narrow" w:hAnsi="Arial Narrow" w:cs="Arial Narrow"/>
          <w:color w:val="000000"/>
        </w:rPr>
        <w:t xml:space="preserve">19.1.2. </w:t>
      </w:r>
      <w:r>
        <w:rPr>
          <w:rFonts w:ascii="Arial Narrow" w:eastAsia="Arial Narrow" w:hAnsi="Arial Narrow" w:cs="Arial Narrow"/>
          <w:b/>
          <w:color w:val="000000"/>
        </w:rPr>
        <w:t>Comprador:</w:t>
      </w:r>
    </w:p>
    <w:p w14:paraId="0000008D" w14:textId="01C44279" w:rsidR="000D4A3B" w:rsidRDefault="002768BA">
      <w:pPr>
        <w:numPr>
          <w:ilvl w:val="0"/>
          <w:numId w:val="2"/>
        </w:numPr>
        <w:spacing w:before="120" w:after="120" w:line="240" w:lineRule="auto"/>
        <w:ind w:left="1776"/>
        <w:jc w:val="both"/>
        <w:rPr>
          <w:rFonts w:ascii="Arial Narrow" w:eastAsia="Arial Narrow" w:hAnsi="Arial Narrow" w:cs="Arial Narrow"/>
          <w:color w:val="000000"/>
        </w:rPr>
      </w:pPr>
      <w:r w:rsidRPr="002768BA">
        <w:rPr>
          <w:rFonts w:ascii="Arial Narrow" w:eastAsia="Arial Narrow" w:hAnsi="Arial Narrow" w:cs="Arial Narrow"/>
          <w:b/>
          <w:bCs/>
          <w:color w:val="000000"/>
        </w:rPr>
        <w:t xml:space="preserve">Federico Daniel </w:t>
      </w:r>
      <w:r w:rsidRPr="002768BA">
        <w:rPr>
          <w:rFonts w:ascii="Arial Narrow" w:eastAsia="Arial Narrow" w:hAnsi="Arial Narrow" w:cs="Arial Narrow"/>
          <w:b/>
          <w:bCs/>
          <w:color w:val="000000"/>
        </w:rPr>
        <w:t>Salomón</w:t>
      </w:r>
    </w:p>
    <w:p w14:paraId="0000008E" w14:textId="22FA0807" w:rsidR="000D4A3B" w:rsidRDefault="002768BA">
      <w:pPr>
        <w:numPr>
          <w:ilvl w:val="0"/>
          <w:numId w:val="2"/>
        </w:numPr>
        <w:spacing w:before="120" w:after="120" w:line="240" w:lineRule="auto"/>
        <w:ind w:left="1776"/>
        <w:jc w:val="both"/>
        <w:rPr>
          <w:rFonts w:ascii="Arial Narrow" w:eastAsia="Arial Narrow" w:hAnsi="Arial Narrow" w:cs="Arial Narrow"/>
          <w:color w:val="000000"/>
        </w:rPr>
      </w:pPr>
      <w:proofErr w:type="spellStart"/>
      <w:r>
        <w:rPr>
          <w:rFonts w:ascii="Arial Narrow" w:eastAsia="Arial Narrow" w:hAnsi="Arial Narrow" w:cs="Arial Narrow"/>
          <w:color w:val="000000"/>
        </w:rPr>
        <w:t>Thames</w:t>
      </w:r>
      <w:proofErr w:type="spellEnd"/>
      <w:r>
        <w:rPr>
          <w:rFonts w:ascii="Arial Narrow" w:eastAsia="Arial Narrow" w:hAnsi="Arial Narrow" w:cs="Arial Narrow"/>
          <w:color w:val="000000"/>
        </w:rPr>
        <w:t xml:space="preserve"> 2143, PB, de esta Ciudad</w:t>
      </w:r>
    </w:p>
    <w:p w14:paraId="0000008F" w14:textId="77777777" w:rsidR="000D4A3B" w:rsidRDefault="00000000">
      <w:pPr>
        <w:numPr>
          <w:ilvl w:val="0"/>
          <w:numId w:val="2"/>
        </w:numPr>
        <w:spacing w:before="120" w:after="120" w:line="240" w:lineRule="auto"/>
        <w:ind w:left="1776"/>
        <w:jc w:val="both"/>
        <w:rPr>
          <w:rFonts w:ascii="Arial Narrow" w:eastAsia="Arial Narrow" w:hAnsi="Arial Narrow" w:cs="Arial Narrow"/>
          <w:color w:val="000000"/>
        </w:rPr>
      </w:pPr>
      <w:r>
        <w:rPr>
          <w:rFonts w:ascii="Arial Narrow" w:eastAsia="Arial Narrow" w:hAnsi="Arial Narrow" w:cs="Arial Narrow"/>
          <w:color w:val="000000"/>
        </w:rPr>
        <w:t>***</w:t>
      </w:r>
    </w:p>
    <w:p w14:paraId="00000090" w14:textId="77777777" w:rsidR="000D4A3B" w:rsidRDefault="000D4A3B">
      <w:pPr>
        <w:spacing w:after="0" w:line="240" w:lineRule="auto"/>
        <w:rPr>
          <w:rFonts w:ascii="Times New Roman" w:eastAsia="Times New Roman" w:hAnsi="Times New Roman" w:cs="Times New Roman"/>
          <w:sz w:val="24"/>
          <w:szCs w:val="24"/>
        </w:rPr>
      </w:pPr>
    </w:p>
    <w:p w14:paraId="00000091" w14:textId="77777777" w:rsidR="000D4A3B" w:rsidRDefault="00000000">
      <w:pPr>
        <w:spacing w:before="120" w:after="12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VIGÉSIMA: LEY APLICABLE Y COMPETENCIA.</w:t>
      </w:r>
    </w:p>
    <w:p w14:paraId="00000092"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20.1. Cualquier divergencia, disputa o controversia que surja entre las Partes, en primer término, será resuelta de manera amistosa, privada y guiada por la buena fe contractual. Sólo en el caso de que tal iniciativa privada fallará, el conflicto será sometido a los Tribunales ordinarios sitos en la Ciudad Autónoma de Buenos Aires, renunciando ambas Partes expresamente a cualquier otro fuero y/o jurisdicción que pudiere corresponder. </w:t>
      </w:r>
    </w:p>
    <w:p w14:paraId="00000093"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20.2. En caso de alguna cláusula y/o parte de este Contrato fuera declarada inválida, ilegal o inaplicable por un tribunal competente, las Partes acuerdan que tal disposición será aplicada en la máxima medida permisible de manera de hacer efectiva la intención de las Partes y la validez, legalidad y aplicabilidad de las disposiciones restantes de este Contrato no ser verán afectadas por ello, permaneciendo plenamente vigentes en toda su extensión.</w:t>
      </w:r>
    </w:p>
    <w:p w14:paraId="00000094" w14:textId="77777777" w:rsidR="000D4A3B" w:rsidRDefault="00000000">
      <w:pPr>
        <w:spacing w:before="120" w:after="12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20.3. A todos los efectos legales derivados del presente Acuerdo, las Partes constituyen domicilios especiales en los indicados en la Cláusula Vigésima del presente, los cuales se tendrán por válidos, vinculantes y produciendo todos los efectos jurídicos correspondientes de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Contrato podrán ser modificadas mediante aviso escrito fehaciente dado a la otra Parte con cinco (5) días de anticipación a la fecha en que pretenda hacerse efectiva dicha modificación.</w:t>
      </w:r>
    </w:p>
    <w:p w14:paraId="3C9ACCCE" w14:textId="09F693D6" w:rsidR="002768BA" w:rsidRDefault="002768BA">
      <w:pPr>
        <w:spacing w:after="240" w:line="240" w:lineRule="auto"/>
        <w:rPr>
          <w:rFonts w:ascii="Times New Roman" w:eastAsia="Times New Roman" w:hAnsi="Times New Roman" w:cs="Times New Roman"/>
          <w:sz w:val="24"/>
          <w:szCs w:val="24"/>
        </w:rPr>
      </w:pPr>
    </w:p>
    <w:p w14:paraId="08708EAE" w14:textId="71DCD96D" w:rsidR="002768BA" w:rsidRDefault="002768BA">
      <w:pPr>
        <w:spacing w:after="240" w:line="240" w:lineRule="auto"/>
        <w:rPr>
          <w:rFonts w:ascii="Times New Roman" w:eastAsia="Times New Roman" w:hAnsi="Times New Roman" w:cs="Times New Roman"/>
          <w:sz w:val="24"/>
          <w:szCs w:val="24"/>
        </w:rPr>
      </w:pPr>
    </w:p>
    <w:p w14:paraId="655517EB" w14:textId="408E0D47" w:rsidR="002768BA" w:rsidRDefault="002768BA">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2ACABCF" wp14:editId="355D0DE3">
                <wp:simplePos x="0" y="0"/>
                <wp:positionH relativeFrom="column">
                  <wp:posOffset>3396615</wp:posOffset>
                </wp:positionH>
                <wp:positionV relativeFrom="paragraph">
                  <wp:posOffset>268605</wp:posOffset>
                </wp:positionV>
                <wp:extent cx="1819275" cy="0"/>
                <wp:effectExtent l="0" t="0" r="0" b="0"/>
                <wp:wrapNone/>
                <wp:docPr id="1981641303" name="Conector recto 1"/>
                <wp:cNvGraphicFramePr/>
                <a:graphic xmlns:a="http://schemas.openxmlformats.org/drawingml/2006/main">
                  <a:graphicData uri="http://schemas.microsoft.com/office/word/2010/wordprocessingShape">
                    <wps:wsp>
                      <wps:cNvCnPr/>
                      <wps:spPr>
                        <a:xfrm>
                          <a:off x="0" y="0"/>
                          <a:ext cx="1819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D9DBDD" id="Conector recto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7.45pt,21.15pt" to="410.7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" strokecolor="black [3200]" strokeweight=".5pt">
                <v:stroke joinstyle="miter"/>
              </v:lin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8E80F5F" wp14:editId="0D66193D">
                <wp:simplePos x="0" y="0"/>
                <wp:positionH relativeFrom="column">
                  <wp:posOffset>-137161</wp:posOffset>
                </wp:positionH>
                <wp:positionV relativeFrom="paragraph">
                  <wp:posOffset>246380</wp:posOffset>
                </wp:positionV>
                <wp:extent cx="1819275" cy="0"/>
                <wp:effectExtent l="0" t="0" r="0" b="0"/>
                <wp:wrapNone/>
                <wp:docPr id="1546498073" name="Conector recto 1"/>
                <wp:cNvGraphicFramePr/>
                <a:graphic xmlns:a="http://schemas.openxmlformats.org/drawingml/2006/main">
                  <a:graphicData uri="http://schemas.microsoft.com/office/word/2010/wordprocessingShape">
                    <wps:wsp>
                      <wps:cNvCnPr/>
                      <wps:spPr>
                        <a:xfrm>
                          <a:off x="0" y="0"/>
                          <a:ext cx="1819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1BB9C3"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8pt,19.4pt" to="132.4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" strokecolor="black [3200]" strokeweight=".5pt">
                <v:stroke joinstyle="miter"/>
              </v:line>
            </w:pict>
          </mc:Fallback>
        </mc:AlternateContent>
      </w:r>
    </w:p>
    <w:p w14:paraId="2A5C53F6" w14:textId="2C9A581D" w:rsidR="002768BA" w:rsidRDefault="002768BA">
      <w:pPr>
        <w:spacing w:after="240" w:line="240" w:lineRule="auto"/>
        <w:rPr>
          <w:rFonts w:ascii="Times New Roman" w:eastAsia="Times New Roman" w:hAnsi="Times New Roman" w:cs="Times New Roman"/>
          <w:sz w:val="24"/>
          <w:szCs w:val="24"/>
        </w:rPr>
      </w:pPr>
      <w:r>
        <w:rPr>
          <w:rFonts w:ascii="Arial Narrow" w:eastAsia="Arial Narrow" w:hAnsi="Arial Narrow" w:cs="Arial Narrow"/>
          <w:b/>
          <w:bCs/>
          <w:color w:val="000000"/>
        </w:rPr>
        <w:t xml:space="preserve">Sebastián Leonardo Safdie </w:t>
      </w:r>
      <w:r>
        <w:rPr>
          <w:rFonts w:ascii="Arial Narrow" w:eastAsia="Arial Narrow" w:hAnsi="Arial Narrow" w:cs="Arial Narrow"/>
          <w:b/>
          <w:bCs/>
          <w:color w:val="000000"/>
        </w:rPr>
        <w:tab/>
      </w:r>
      <w:r>
        <w:rPr>
          <w:rFonts w:ascii="Arial Narrow" w:eastAsia="Arial Narrow" w:hAnsi="Arial Narrow" w:cs="Arial Narrow"/>
          <w:b/>
          <w:bCs/>
          <w:color w:val="000000"/>
        </w:rPr>
        <w:tab/>
      </w:r>
      <w:r>
        <w:rPr>
          <w:rFonts w:ascii="Arial Narrow" w:eastAsia="Arial Narrow" w:hAnsi="Arial Narrow" w:cs="Arial Narrow"/>
          <w:b/>
          <w:bCs/>
          <w:color w:val="000000"/>
        </w:rPr>
        <w:tab/>
      </w:r>
      <w:r>
        <w:rPr>
          <w:rFonts w:ascii="Arial Narrow" w:eastAsia="Arial Narrow" w:hAnsi="Arial Narrow" w:cs="Arial Narrow"/>
          <w:b/>
          <w:bCs/>
          <w:color w:val="000000"/>
        </w:rPr>
        <w:tab/>
      </w:r>
      <w:r>
        <w:rPr>
          <w:rFonts w:ascii="Arial Narrow" w:eastAsia="Arial Narrow" w:hAnsi="Arial Narrow" w:cs="Arial Narrow"/>
          <w:b/>
          <w:bCs/>
          <w:color w:val="000000"/>
        </w:rPr>
        <w:tab/>
      </w:r>
      <w:r w:rsidRPr="002768BA">
        <w:rPr>
          <w:rFonts w:ascii="Arial Narrow" w:eastAsia="Arial Narrow" w:hAnsi="Arial Narrow" w:cs="Arial Narrow"/>
          <w:b/>
          <w:bCs/>
          <w:color w:val="000000"/>
        </w:rPr>
        <w:t>Federico Daniel Salomón</w:t>
      </w:r>
    </w:p>
    <w:p w14:paraId="33BC83D4" w14:textId="3FA7A2FF" w:rsidR="002768BA" w:rsidRPr="002768BA" w:rsidRDefault="002768BA" w:rsidP="002768BA">
      <w:pPr>
        <w:spacing w:after="240" w:line="240" w:lineRule="auto"/>
        <w:ind w:firstLine="720"/>
        <w:rPr>
          <w:rFonts w:ascii="Arial Narrow" w:eastAsia="Times New Roman" w:hAnsi="Arial Narrow" w:cs="Arial"/>
        </w:rPr>
      </w:pPr>
      <w:r w:rsidRPr="002768BA">
        <w:rPr>
          <w:rFonts w:ascii="Arial Narrow" w:eastAsia="Times New Roman" w:hAnsi="Arial Narrow" w:cs="Arial"/>
        </w:rPr>
        <w:t>Vendedor</w:t>
      </w:r>
      <w:r w:rsidRPr="002768BA">
        <w:rPr>
          <w:rFonts w:ascii="Arial Narrow" w:eastAsia="Times New Roman" w:hAnsi="Arial Narrow" w:cs="Arial"/>
        </w:rPr>
        <w:tab/>
      </w:r>
      <w:r w:rsidRPr="002768BA">
        <w:rPr>
          <w:rFonts w:ascii="Arial Narrow" w:eastAsia="Times New Roman" w:hAnsi="Arial Narrow" w:cs="Arial"/>
        </w:rPr>
        <w:tab/>
      </w:r>
      <w:r w:rsidRPr="002768BA">
        <w:rPr>
          <w:rFonts w:ascii="Arial Narrow" w:eastAsia="Times New Roman" w:hAnsi="Arial Narrow" w:cs="Arial"/>
        </w:rPr>
        <w:tab/>
      </w:r>
      <w:r w:rsidRPr="002768BA">
        <w:rPr>
          <w:rFonts w:ascii="Arial Narrow" w:eastAsia="Times New Roman" w:hAnsi="Arial Narrow" w:cs="Arial"/>
        </w:rPr>
        <w:tab/>
      </w:r>
      <w:r w:rsidRPr="002768BA">
        <w:rPr>
          <w:rFonts w:ascii="Arial Narrow" w:eastAsia="Times New Roman" w:hAnsi="Arial Narrow" w:cs="Arial"/>
        </w:rPr>
        <w:tab/>
      </w:r>
      <w:r w:rsidRPr="002768BA">
        <w:rPr>
          <w:rFonts w:ascii="Arial Narrow" w:eastAsia="Times New Roman" w:hAnsi="Arial Narrow" w:cs="Arial"/>
        </w:rPr>
        <w:tab/>
      </w:r>
      <w:r w:rsidRPr="002768BA">
        <w:rPr>
          <w:rFonts w:ascii="Arial Narrow" w:eastAsia="Times New Roman" w:hAnsi="Arial Narrow" w:cs="Arial"/>
        </w:rPr>
        <w:tab/>
        <w:t>Comprador</w:t>
      </w:r>
    </w:p>
    <w:p w14:paraId="1EB9D076" w14:textId="77777777" w:rsidR="002768BA" w:rsidRDefault="002768BA">
      <w:pPr>
        <w:spacing w:after="240" w:line="240" w:lineRule="auto"/>
        <w:rPr>
          <w:rFonts w:ascii="Times New Roman" w:eastAsia="Times New Roman" w:hAnsi="Times New Roman" w:cs="Times New Roman"/>
          <w:sz w:val="24"/>
          <w:szCs w:val="24"/>
        </w:rPr>
      </w:pPr>
    </w:p>
    <w:p w14:paraId="7A513B87" w14:textId="77777777" w:rsidR="002768BA" w:rsidRDefault="002768BA">
      <w:pPr>
        <w:spacing w:after="240" w:line="240" w:lineRule="auto"/>
        <w:rPr>
          <w:rFonts w:ascii="Times New Roman" w:eastAsia="Times New Roman" w:hAnsi="Times New Roman" w:cs="Times New Roman"/>
          <w:sz w:val="24"/>
          <w:szCs w:val="24"/>
        </w:rPr>
      </w:pPr>
    </w:p>
    <w:p w14:paraId="6C6942D2" w14:textId="77777777" w:rsidR="002768BA" w:rsidRDefault="002768BA">
      <w:pPr>
        <w:spacing w:after="240" w:line="240" w:lineRule="auto"/>
        <w:rPr>
          <w:rFonts w:ascii="Times New Roman" w:eastAsia="Times New Roman" w:hAnsi="Times New Roman" w:cs="Times New Roman"/>
          <w:sz w:val="24"/>
          <w:szCs w:val="24"/>
        </w:rPr>
      </w:pPr>
    </w:p>
    <w:p w14:paraId="00000095" w14:textId="1965AB4C" w:rsidR="000D4A3B"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96" w14:textId="77777777" w:rsidR="000D4A3B" w:rsidRDefault="00000000">
      <w:pPr>
        <w:spacing w:before="120" w:after="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Anexo Segundo</w:t>
      </w:r>
    </w:p>
    <w:p w14:paraId="00000097" w14:textId="79B6CDE8" w:rsidR="000D4A3B" w:rsidRDefault="00000000">
      <w:pPr>
        <w:spacing w:before="120" w:after="0" w:line="240" w:lineRule="auto"/>
        <w:jc w:val="center"/>
        <w:rPr>
          <w:rFonts w:ascii="Times New Roman" w:eastAsia="Times New Roman" w:hAnsi="Times New Roman" w:cs="Times New Roman"/>
          <w:sz w:val="24"/>
          <w:szCs w:val="24"/>
        </w:rPr>
      </w:pPr>
      <w:r>
        <w:rPr>
          <w:rFonts w:ascii="Arial Narrow" w:eastAsia="Arial Narrow" w:hAnsi="Arial Narrow" w:cs="Arial Narrow"/>
          <w:b/>
          <w:color w:val="000000"/>
          <w:u w:val="single"/>
        </w:rPr>
        <w:t>Anexo A:</w:t>
      </w:r>
      <w:r>
        <w:rPr>
          <w:rFonts w:ascii="Arial Narrow" w:eastAsia="Arial Narrow" w:hAnsi="Arial Narrow" w:cs="Arial Narrow"/>
          <w:color w:val="000000"/>
        </w:rPr>
        <w:t xml:space="preserve"> Plano constructivo correspondiente a la planta donde tanto la Unidad Funcional como </w:t>
      </w:r>
      <w:r w:rsidR="00742797">
        <w:rPr>
          <w:rFonts w:ascii="Arial Narrow" w:eastAsia="Arial Narrow" w:hAnsi="Arial Narrow" w:cs="Arial Narrow"/>
          <w:color w:val="000000"/>
        </w:rPr>
        <w:t>el Espacio Guardacoches</w:t>
      </w:r>
      <w:r>
        <w:rPr>
          <w:rFonts w:ascii="Arial Narrow" w:eastAsia="Arial Narrow" w:hAnsi="Arial Narrow" w:cs="Arial Narrow"/>
          <w:color w:val="000000"/>
        </w:rPr>
        <w:t xml:space="preserve"> se encontrarán emplazadas.</w:t>
      </w:r>
    </w:p>
    <w:p w14:paraId="00000098" w14:textId="77777777" w:rsidR="000D4A3B" w:rsidRDefault="00000000">
      <w:pPr>
        <w:spacing w:before="120" w:after="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rPr>
        <w:t> </w:t>
      </w:r>
    </w:p>
    <w:p w14:paraId="00000099" w14:textId="77777777" w:rsidR="000D4A3B" w:rsidRDefault="000D4A3B">
      <w:pPr>
        <w:spacing w:after="0" w:line="240" w:lineRule="auto"/>
        <w:rPr>
          <w:rFonts w:ascii="Times New Roman" w:eastAsia="Times New Roman" w:hAnsi="Times New Roman" w:cs="Times New Roman"/>
          <w:sz w:val="24"/>
          <w:szCs w:val="24"/>
        </w:rPr>
      </w:pPr>
    </w:p>
    <w:p w14:paraId="0000009A" w14:textId="77777777" w:rsidR="000D4A3B" w:rsidRDefault="00000000">
      <w:pPr>
        <w:spacing w:before="240" w:after="24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w:t>
      </w:r>
    </w:p>
    <w:p w14:paraId="0000009B" w14:textId="77777777" w:rsidR="000D4A3B" w:rsidRDefault="00000000">
      <w:pPr>
        <w:spacing w:before="120" w:after="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rPr>
        <w:t> </w:t>
      </w:r>
    </w:p>
    <w:p w14:paraId="0000009C" w14:textId="77777777" w:rsidR="000D4A3B" w:rsidRDefault="000D4A3B">
      <w:pPr>
        <w:spacing w:after="0" w:line="240" w:lineRule="auto"/>
        <w:rPr>
          <w:rFonts w:ascii="Times New Roman" w:eastAsia="Times New Roman" w:hAnsi="Times New Roman" w:cs="Times New Roman"/>
          <w:sz w:val="24"/>
          <w:szCs w:val="24"/>
        </w:rPr>
      </w:pPr>
    </w:p>
    <w:p w14:paraId="0000009D" w14:textId="77777777" w:rsidR="000D4A3B" w:rsidRDefault="00000000">
      <w:pPr>
        <w:spacing w:before="240" w:after="24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w:t>
      </w:r>
    </w:p>
    <w:p w14:paraId="0000009E" w14:textId="77777777" w:rsidR="000D4A3B" w:rsidRDefault="00000000">
      <w:pPr>
        <w:spacing w:before="120" w:after="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rPr>
        <w:t> </w:t>
      </w:r>
    </w:p>
    <w:p w14:paraId="0000009F" w14:textId="77777777" w:rsidR="000D4A3B" w:rsidRDefault="000D4A3B">
      <w:pPr>
        <w:spacing w:after="0" w:line="240" w:lineRule="auto"/>
        <w:rPr>
          <w:rFonts w:ascii="Times New Roman" w:eastAsia="Times New Roman" w:hAnsi="Times New Roman" w:cs="Times New Roman"/>
          <w:sz w:val="24"/>
          <w:szCs w:val="24"/>
        </w:rPr>
      </w:pPr>
    </w:p>
    <w:p w14:paraId="000000A0" w14:textId="77777777" w:rsidR="000D4A3B" w:rsidRDefault="00000000">
      <w:pPr>
        <w:spacing w:before="240" w:after="240" w:line="240" w:lineRule="auto"/>
        <w:jc w:val="both"/>
        <w:rPr>
          <w:rFonts w:ascii="Times New Roman" w:eastAsia="Times New Roman" w:hAnsi="Times New Roman" w:cs="Times New Roman"/>
          <w:sz w:val="24"/>
          <w:szCs w:val="24"/>
        </w:rPr>
      </w:pPr>
      <w:r>
        <w:rPr>
          <w:rFonts w:ascii="Arial Narrow" w:eastAsia="Arial Narrow" w:hAnsi="Arial Narrow" w:cs="Arial Narrow"/>
          <w:color w:val="000000"/>
        </w:rPr>
        <w:t> </w:t>
      </w:r>
    </w:p>
    <w:p w14:paraId="000000A1" w14:textId="77777777" w:rsidR="000D4A3B"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00000A2" w14:textId="77777777" w:rsidR="000D4A3B" w:rsidRDefault="00000000">
      <w:pPr>
        <w:spacing w:before="120" w:after="0" w:line="240" w:lineRule="auto"/>
        <w:ind w:left="4320"/>
        <w:rPr>
          <w:rFonts w:ascii="Times New Roman" w:eastAsia="Times New Roman" w:hAnsi="Times New Roman" w:cs="Times New Roman"/>
          <w:sz w:val="24"/>
          <w:szCs w:val="24"/>
        </w:rPr>
      </w:pPr>
      <w:r>
        <w:rPr>
          <w:rFonts w:ascii="Arial Narrow" w:eastAsia="Arial Narrow" w:hAnsi="Arial Narrow" w:cs="Arial Narrow"/>
          <w:b/>
          <w:color w:val="000000"/>
        </w:rPr>
        <w:t>    </w:t>
      </w:r>
      <w:r>
        <w:rPr>
          <w:rFonts w:ascii="Arial Narrow" w:eastAsia="Arial Narrow" w:hAnsi="Arial Narrow" w:cs="Arial Narrow"/>
          <w:b/>
          <w:color w:val="000000"/>
          <w:u w:val="single"/>
        </w:rPr>
        <w:t>Anexo B</w:t>
      </w:r>
      <w:r>
        <w:rPr>
          <w:rFonts w:ascii="Arial Narrow" w:eastAsia="Arial Narrow" w:hAnsi="Arial Narrow" w:cs="Arial Narrow"/>
          <w:color w:val="000000"/>
          <w:u w:val="single"/>
        </w:rPr>
        <w:t>:</w:t>
      </w:r>
    </w:p>
    <w:p w14:paraId="000000A3" w14:textId="77777777" w:rsidR="000D4A3B" w:rsidRDefault="00000000">
      <w:pPr>
        <w:spacing w:before="120" w:after="0" w:line="240" w:lineRule="auto"/>
        <w:ind w:left="780"/>
        <w:jc w:val="center"/>
        <w:rPr>
          <w:rFonts w:ascii="Times New Roman" w:eastAsia="Times New Roman" w:hAnsi="Times New Roman" w:cs="Times New Roman"/>
          <w:sz w:val="24"/>
          <w:szCs w:val="24"/>
        </w:rPr>
      </w:pPr>
      <w:r>
        <w:rPr>
          <w:rFonts w:ascii="Arial Narrow" w:eastAsia="Arial Narrow" w:hAnsi="Arial Narrow" w:cs="Arial Narrow"/>
          <w:color w:val="000000"/>
          <w:u w:val="single"/>
        </w:rPr>
        <w:t>Memoria descriptiva</w:t>
      </w:r>
    </w:p>
    <w:p w14:paraId="000000A4" w14:textId="77777777" w:rsidR="000D4A3B" w:rsidRDefault="00000000">
      <w:pPr>
        <w:spacing w:before="240" w:after="140" w:line="240" w:lineRule="auto"/>
        <w:jc w:val="both"/>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A5" w14:textId="77777777" w:rsidR="000D4A3B"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00000A6" w14:textId="77777777" w:rsidR="000D4A3B" w:rsidRDefault="00000000">
      <w:pPr>
        <w:spacing w:before="120" w:after="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rPr>
        <w:t>Anexo Tercero</w:t>
      </w:r>
    </w:p>
    <w:p w14:paraId="000000A7" w14:textId="77777777" w:rsidR="000D4A3B" w:rsidRDefault="00000000">
      <w:pPr>
        <w:spacing w:before="120" w:after="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rPr>
        <w:t>MODELO FICHA DE DATOS: La presente Ficha de Datos deberá ser rellenada y suscripta por el Comprador, y posteriormente entregada al Vendedor.</w:t>
      </w:r>
    </w:p>
    <w:p w14:paraId="000000A8" w14:textId="77777777" w:rsidR="000D4A3B" w:rsidRDefault="00000000">
      <w:pPr>
        <w:spacing w:before="120" w:after="0" w:line="240" w:lineRule="auto"/>
        <w:jc w:val="center"/>
        <w:rPr>
          <w:rFonts w:ascii="Times New Roman" w:eastAsia="Times New Roman" w:hAnsi="Times New Roman" w:cs="Times New Roman"/>
          <w:sz w:val="24"/>
          <w:szCs w:val="24"/>
        </w:rPr>
      </w:pPr>
      <w:r>
        <w:rPr>
          <w:rFonts w:ascii="Arial Narrow" w:eastAsia="Arial Narrow" w:hAnsi="Arial Narrow" w:cs="Arial Narrow"/>
          <w:color w:val="000000"/>
        </w:rPr>
        <w:t xml:space="preserve"> Ficha de </w:t>
      </w:r>
      <w:proofErr w:type="gramStart"/>
      <w:r>
        <w:rPr>
          <w:rFonts w:ascii="Arial Narrow" w:eastAsia="Arial Narrow" w:hAnsi="Arial Narrow" w:cs="Arial Narrow"/>
          <w:color w:val="000000"/>
        </w:rPr>
        <w:t xml:space="preserve">datos </w:t>
      </w:r>
      <w:r>
        <w:rPr>
          <w:rFonts w:ascii="Arial Narrow" w:eastAsia="Arial Narrow" w:hAnsi="Arial Narrow" w:cs="Arial Narrow"/>
          <w:b/>
          <w:color w:val="000000"/>
        </w:rPr>
        <w:t> DONADO</w:t>
      </w:r>
      <w:proofErr w:type="gramEnd"/>
      <w:r>
        <w:rPr>
          <w:rFonts w:ascii="Arial Narrow" w:eastAsia="Arial Narrow" w:hAnsi="Arial Narrow" w:cs="Arial Narrow"/>
          <w:b/>
          <w:color w:val="000000"/>
        </w:rPr>
        <w:t xml:space="preserve"> 2148 S.A.</w:t>
      </w:r>
    </w:p>
    <w:p w14:paraId="000000A9"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AA"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Apellidos (completos):</w:t>
      </w:r>
    </w:p>
    <w:p w14:paraId="000000AB"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AC"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Nombres (completos):</w:t>
      </w:r>
    </w:p>
    <w:p w14:paraId="000000AD"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AE"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Nacionalidad:</w:t>
      </w:r>
    </w:p>
    <w:p w14:paraId="000000AF"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B0"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Fecha de nacimiento:</w:t>
      </w:r>
    </w:p>
    <w:p w14:paraId="000000B1"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B2"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Documento de identidad (tipo y número):</w:t>
      </w:r>
    </w:p>
    <w:p w14:paraId="000000B3"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B4"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C.U.I.T. / C.U.I.L. / C.D.I. (tipo y número):</w:t>
      </w:r>
    </w:p>
    <w:p w14:paraId="000000B5"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B6"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Domicilio:</w:t>
      </w:r>
    </w:p>
    <w:p w14:paraId="000000B7"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B8"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Estado civil:</w:t>
      </w:r>
    </w:p>
    <w:p w14:paraId="000000B9"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(en caso de ser divorciado adjuntar sentencia de divorcio original)</w:t>
      </w:r>
    </w:p>
    <w:p w14:paraId="000000BA"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BB"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Nupcias:</w:t>
      </w:r>
    </w:p>
    <w:p w14:paraId="000000BC"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BD"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Nombres y apellidos del cónyuge (completos):</w:t>
      </w:r>
    </w:p>
    <w:p w14:paraId="000000BE"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BF"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Nombres y apellidos del padre (completos):</w:t>
      </w:r>
    </w:p>
    <w:p w14:paraId="000000C0"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C1"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Nombres y apellidos de la madre (completos):</w:t>
      </w:r>
    </w:p>
    <w:p w14:paraId="000000C2"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 </w:t>
      </w:r>
    </w:p>
    <w:p w14:paraId="000000C3" w14:textId="77777777" w:rsidR="000D4A3B" w:rsidRDefault="00000000">
      <w:pPr>
        <w:spacing w:before="120" w:after="0" w:line="240" w:lineRule="auto"/>
        <w:rPr>
          <w:rFonts w:ascii="Times New Roman" w:eastAsia="Times New Roman" w:hAnsi="Times New Roman" w:cs="Times New Roman"/>
          <w:sz w:val="24"/>
          <w:szCs w:val="24"/>
        </w:rPr>
      </w:pPr>
      <w:r>
        <w:rPr>
          <w:rFonts w:ascii="Arial Narrow" w:eastAsia="Arial Narrow" w:hAnsi="Arial Narrow" w:cs="Arial Narrow"/>
          <w:b/>
          <w:color w:val="000000"/>
        </w:rPr>
        <w:t>Correo electrónico:</w:t>
      </w:r>
    </w:p>
    <w:p w14:paraId="000000C4" w14:textId="77777777" w:rsidR="000D4A3B" w:rsidRDefault="00000000">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sectPr w:rsidR="000D4A3B">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D2BB42DF-B4F3-4DB0-B656-F4465A1A076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9B518F8-FD29-476B-A65D-98C3677A03C5}"/>
    <w:embedBold r:id="rId3" w:fontKey="{E0B3B2A2-AD8E-480D-BEAD-D76AF9A15BD7}"/>
  </w:font>
  <w:font w:name="Georgia">
    <w:panose1 w:val="02040502050405020303"/>
    <w:charset w:val="00"/>
    <w:family w:val="roman"/>
    <w:pitch w:val="variable"/>
    <w:sig w:usb0="00000287" w:usb1="00000000" w:usb2="00000000" w:usb3="00000000" w:csb0="0000009F" w:csb1="00000000"/>
    <w:embedRegular r:id="rId4" w:fontKey="{295485CB-9FD1-4F1A-8B7E-E5ACEDE3AD56}"/>
    <w:embedItalic r:id="rId5" w:fontKey="{41E6744C-427E-4838-92B0-3E30CBDF1C4B}"/>
  </w:font>
  <w:font w:name="Arial Narrow">
    <w:panose1 w:val="020B0606020202030204"/>
    <w:charset w:val="00"/>
    <w:family w:val="swiss"/>
    <w:pitch w:val="variable"/>
    <w:sig w:usb0="00000287" w:usb1="00000800" w:usb2="00000000" w:usb3="00000000" w:csb0="0000009F" w:csb1="00000000"/>
    <w:embedRegular r:id="rId6" w:fontKey="{23217686-463C-4FB9-9BF7-64487F1E0170}"/>
    <w:embedBold r:id="rId7" w:fontKey="{F698F46D-EB5E-4010-9930-0AAB3620AF89}"/>
    <w:embedItalic r:id="rId8" w:fontKey="{7A7ED01F-093A-4083-89F9-B264932E269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9" w:fontKey="{FC1D5549-3C20-497E-A1F6-243B901C0C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1266A3"/>
    <w:multiLevelType w:val="multilevel"/>
    <w:tmpl w:val="830E5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8A51C01"/>
    <w:multiLevelType w:val="multilevel"/>
    <w:tmpl w:val="01BCC4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2831700"/>
    <w:multiLevelType w:val="multilevel"/>
    <w:tmpl w:val="45C633F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8A71621"/>
    <w:multiLevelType w:val="multilevel"/>
    <w:tmpl w:val="4B64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46190766">
    <w:abstractNumId w:val="0"/>
  </w:num>
  <w:num w:numId="2" w16cid:durableId="486747270">
    <w:abstractNumId w:val="1"/>
  </w:num>
  <w:num w:numId="3" w16cid:durableId="123042035">
    <w:abstractNumId w:val="2"/>
  </w:num>
  <w:num w:numId="4" w16cid:durableId="998341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A3B"/>
    <w:rsid w:val="000B71AC"/>
    <w:rsid w:val="000D4A3B"/>
    <w:rsid w:val="00150D5F"/>
    <w:rsid w:val="001D0A8F"/>
    <w:rsid w:val="002768BA"/>
    <w:rsid w:val="00364170"/>
    <w:rsid w:val="00434660"/>
    <w:rsid w:val="00527758"/>
    <w:rsid w:val="006E4E08"/>
    <w:rsid w:val="00742797"/>
    <w:rsid w:val="00786AC2"/>
    <w:rsid w:val="009F1C4A"/>
    <w:rsid w:val="00A868BB"/>
    <w:rsid w:val="00AD75AF"/>
    <w:rsid w:val="00B97939"/>
    <w:rsid w:val="00C91D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55758"/>
  <w15:docId w15:val="{81472A25-1964-43E8-A70E-5A890DD81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705C4E"/>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0cPjFOV1wW3nHJboUHc5jCugWw==">CgMxLjA4AHIhMWI4NC1xNkpwcWNkdGFPd1ZlNHYwbE01OTF5R0RvLTVw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6886</Words>
  <Characters>37498</Characters>
  <Application>Microsoft Office Word</Application>
  <DocSecurity>0</DocSecurity>
  <Lines>632</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Florenciaf</dc:creator>
  <cp:lastModifiedBy>sharon padin</cp:lastModifiedBy>
  <cp:revision>2</cp:revision>
  <dcterms:created xsi:type="dcterms:W3CDTF">2024-09-03T14:26:00Z</dcterms:created>
  <dcterms:modified xsi:type="dcterms:W3CDTF">2024-09-03T14:26:00Z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0c2d9b8da53119955f0bda12e994669371c2b56193e614715067fb20431eef39</vt:lpwstr>
  </property>
</Properties>
</file>