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Arial Narrow" w:cs="Arial Narrow" w:eastAsia="Arial Narrow" w:hAnsi="Arial Narrow"/>
          <w:b w:val="1"/>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-914398</wp:posOffset>
            </wp:positionV>
            <wp:extent cx="8177213" cy="1124958"/>
            <wp:effectExtent b="0" l="0" r="0" t="0"/>
            <wp:wrapNone/>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177213" cy="1124958"/>
                    </a:xfrm>
                    <a:prstGeom prst="rect"/>
                    <a:ln/>
                  </pic:spPr>
                </pic:pic>
              </a:graphicData>
            </a:graphic>
          </wp:anchor>
        </w:drawing>
      </w:r>
    </w:p>
    <w:p w:rsidR="00000000" w:rsidDel="00000000" w:rsidP="00000000" w:rsidRDefault="00000000" w:rsidRPr="00000000" w14:paraId="00000002">
      <w:pPr>
        <w:spacing w:line="276" w:lineRule="auto"/>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3">
      <w:pPr>
        <w:spacing w:line="276" w:lineRule="auto"/>
        <w:jc w:val="center"/>
        <w:rPr>
          <w:rFonts w:ascii="Arial Narrow" w:cs="Arial Narrow" w:eastAsia="Arial Narrow" w:hAnsi="Arial Narrow"/>
          <w:b w:val="1"/>
          <w:color w:val="073763"/>
          <w:sz w:val="28"/>
          <w:szCs w:val="28"/>
          <w:u w:val="single"/>
        </w:rPr>
      </w:pPr>
      <w:r w:rsidDel="00000000" w:rsidR="00000000" w:rsidRPr="00000000">
        <w:rPr>
          <w:rFonts w:ascii="Arial Narrow" w:cs="Arial Narrow" w:eastAsia="Arial Narrow" w:hAnsi="Arial Narrow"/>
          <w:b w:val="1"/>
          <w:color w:val="073763"/>
          <w:sz w:val="28"/>
          <w:szCs w:val="28"/>
          <w:u w:val="single"/>
          <w:rtl w:val="0"/>
        </w:rPr>
        <w:t xml:space="preserve">Diagnóstico Estratégico Legal y Tributario</w:t>
      </w:r>
    </w:p>
    <w:p w:rsidR="00000000" w:rsidDel="00000000" w:rsidP="00000000" w:rsidRDefault="00000000" w:rsidRPr="00000000" w14:paraId="00000004">
      <w:pPr>
        <w:spacing w:line="276" w:lineRule="auto"/>
        <w:ind w:left="720" w:firstLine="0"/>
        <w:rPr>
          <w:rFonts w:ascii="Arial Narrow" w:cs="Arial Narrow" w:eastAsia="Arial Narrow" w:hAnsi="Arial Narrow"/>
          <w:b w:val="1"/>
          <w:color w:val="073763"/>
          <w:sz w:val="22"/>
          <w:szCs w:val="22"/>
          <w:u w:val="single"/>
        </w:rPr>
      </w:pPr>
      <w:r w:rsidDel="00000000" w:rsidR="00000000" w:rsidRPr="00000000">
        <w:rPr>
          <w:rtl w:val="0"/>
        </w:rPr>
      </w:r>
    </w:p>
    <w:p w:rsidR="00000000" w:rsidDel="00000000" w:rsidP="00000000" w:rsidRDefault="00000000" w:rsidRPr="00000000" w14:paraId="00000005">
      <w:pPr>
        <w:spacing w:line="276" w:lineRule="auto"/>
        <w:ind w:left="720" w:firstLine="0"/>
        <w:rPr>
          <w:rFonts w:ascii="Arial Narrow" w:cs="Arial Narrow" w:eastAsia="Arial Narrow" w:hAnsi="Arial Narrow"/>
          <w:b w:val="1"/>
          <w:color w:val="073763"/>
        </w:rPr>
      </w:pPr>
      <w:r w:rsidDel="00000000" w:rsidR="00000000" w:rsidRPr="00000000">
        <w:rPr>
          <w:rFonts w:ascii="Arial Narrow" w:cs="Arial Narrow" w:eastAsia="Arial Narrow" w:hAnsi="Arial Narrow"/>
          <w:b w:val="1"/>
          <w:color w:val="073763"/>
          <w:u w:val="single"/>
          <w:rtl w:val="0"/>
        </w:rPr>
        <w:t xml:space="preserve">Cliente</w:t>
      </w:r>
      <w:r w:rsidDel="00000000" w:rsidR="00000000" w:rsidRPr="00000000">
        <w:rPr>
          <w:rFonts w:ascii="Arial Narrow" w:cs="Arial Narrow" w:eastAsia="Arial Narrow" w:hAnsi="Arial Narrow"/>
          <w:b w:val="1"/>
          <w:color w:val="073763"/>
          <w:rtl w:val="0"/>
        </w:rPr>
        <w:t xml:space="preserve">: Supply Solutions.-</w:t>
      </w:r>
    </w:p>
    <w:p w:rsidR="00000000" w:rsidDel="00000000" w:rsidP="00000000" w:rsidRDefault="00000000" w:rsidRPr="00000000" w14:paraId="00000006">
      <w:pPr>
        <w:spacing w:line="276" w:lineRule="auto"/>
        <w:ind w:left="720" w:firstLine="0"/>
        <w:rPr>
          <w:rFonts w:ascii="Arial Narrow" w:cs="Arial Narrow" w:eastAsia="Arial Narrow" w:hAnsi="Arial Narrow"/>
          <w:b w:val="1"/>
          <w:color w:val="073763"/>
        </w:rPr>
      </w:pPr>
      <w:r w:rsidDel="00000000" w:rsidR="00000000" w:rsidRPr="00000000">
        <w:rPr>
          <w:rFonts w:ascii="Arial Narrow" w:cs="Arial Narrow" w:eastAsia="Arial Narrow" w:hAnsi="Arial Narrow"/>
          <w:b w:val="1"/>
          <w:color w:val="073763"/>
          <w:u w:val="single"/>
          <w:rtl w:val="0"/>
        </w:rPr>
        <w:t xml:space="preserve">Fecha de Entrega</w:t>
      </w:r>
      <w:r w:rsidDel="00000000" w:rsidR="00000000" w:rsidRPr="00000000">
        <w:rPr>
          <w:rFonts w:ascii="Arial Narrow" w:cs="Arial Narrow" w:eastAsia="Arial Narrow" w:hAnsi="Arial Narrow"/>
          <w:b w:val="1"/>
          <w:color w:val="073763"/>
          <w:rtl w:val="0"/>
        </w:rPr>
        <w:t xml:space="preserve">: 21-05-2025.</w:t>
      </w:r>
    </w:p>
    <w:p w:rsidR="00000000" w:rsidDel="00000000" w:rsidP="00000000" w:rsidRDefault="00000000" w:rsidRPr="00000000" w14:paraId="00000007">
      <w:pPr>
        <w:spacing w:line="276" w:lineRule="auto"/>
        <w:ind w:left="720" w:firstLine="0"/>
        <w:rPr>
          <w:rFonts w:ascii="Verdana" w:cs="Verdana" w:eastAsia="Verdana" w:hAnsi="Verdana"/>
          <w:b w:val="1"/>
          <w:color w:val="073763"/>
          <w:u w:val="single"/>
        </w:rPr>
      </w:pPr>
      <w:r w:rsidDel="00000000" w:rsidR="00000000" w:rsidRPr="00000000">
        <w:rPr>
          <w:rFonts w:ascii="Arial Narrow" w:cs="Arial Narrow" w:eastAsia="Arial Narrow" w:hAnsi="Arial Narrow"/>
          <w:b w:val="1"/>
          <w:color w:val="073763"/>
          <w:u w:val="single"/>
          <w:rtl w:val="0"/>
        </w:rPr>
        <w:t xml:space="preserve">Equipo Legal y Tributario de WNS.-</w:t>
      </w:r>
      <w:r w:rsidDel="00000000" w:rsidR="00000000" w:rsidRPr="00000000">
        <w:rPr>
          <w:rtl w:val="0"/>
        </w:rPr>
      </w:r>
    </w:p>
    <w:p w:rsidR="00000000" w:rsidDel="00000000" w:rsidP="00000000" w:rsidRDefault="00000000" w:rsidRPr="00000000" w14:paraId="00000008">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presente diagnóstico legal-tributario se elabora en favor de Supply Solutions, en virtud del relevamiento de documentación realizado por el equipo de WNS. Su objetivo es analizar la estructura actual de la empresa desde una perspectiva legal y fiscal, identificando oportunidades de optimización y mitigación de riesgos.</w:t>
      </w:r>
    </w:p>
    <w:p w:rsidR="00000000" w:rsidDel="00000000" w:rsidP="00000000" w:rsidRDefault="00000000" w:rsidRPr="00000000" w14:paraId="00000009">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Supply Solutions inició sus operaciones en 2019, originalmente bajo un modelo informal, motivado por la experiencia de Martín como comprador y su identificación de oportunidades en el mercado de soluciones de compras. En sus primeros años, la empresa operó como comisionista, destacándose por su eficiencia en la gestión de adquisiciones. Sin embargo, el crecimiento del volumen operativo y los desafíos emergentes, entre ellos una crisis organizativa, evidenciaron la necesidad de estructurar formalmente el negocio.</w:t>
      </w:r>
    </w:p>
    <w:p w:rsidR="00000000" w:rsidDel="00000000" w:rsidP="00000000" w:rsidRDefault="00000000" w:rsidRPr="00000000" w14:paraId="0000000A">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2022, Supply Solutions formalizó su operación con la incorporación de Mariano como socio y la apertura de oficinas, consolidando su transformación de emprendimiento a empresa. Con este cambio, la compañía evolucionó de su rol de comisionista hacia un perfil de fabricante e importador, manteniendo un enfoque flexible e informal en su operativa. Su visión de negocio se orienta hacia la integración vertical en cada una de sus áreas de enfoque, que incluyen IT, tarjetas, agro y desarrollo humano, con un propósito social centrado en el bienestar colectivo.</w:t>
      </w:r>
    </w:p>
    <w:p w:rsidR="00000000" w:rsidDel="00000000" w:rsidP="00000000" w:rsidRDefault="00000000" w:rsidRPr="00000000" w14:paraId="0000000B">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Tras el análisis detallado de la situación y reuniones con las personas clave de Supply, hemos identificado las principales áreas que requieren optimización y profesionalización.</w:t>
      </w:r>
    </w:p>
    <w:p w:rsidR="00000000" w:rsidDel="00000000" w:rsidP="00000000" w:rsidRDefault="00000000" w:rsidRPr="00000000" w14:paraId="0000000C">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Del relevamiento realizado, se observa que Supply Solutions se posiciona en un nicho diferenciado, operando como </w:t>
      </w:r>
      <w:r w:rsidDel="00000000" w:rsidR="00000000" w:rsidRPr="00000000">
        <w:rPr>
          <w:rFonts w:ascii="Arial Narrow" w:cs="Arial Narrow" w:eastAsia="Arial Narrow" w:hAnsi="Arial Narrow"/>
          <w:b w:val="1"/>
          <w:sz w:val="22"/>
          <w:szCs w:val="22"/>
          <w:rtl w:val="0"/>
        </w:rPr>
        <w:t xml:space="preserve">facilitador y socio estratégico</w:t>
      </w:r>
      <w:r w:rsidDel="00000000" w:rsidR="00000000" w:rsidRPr="00000000">
        <w:rPr>
          <w:rFonts w:ascii="Arial Narrow" w:cs="Arial Narrow" w:eastAsia="Arial Narrow" w:hAnsi="Arial Narrow"/>
          <w:sz w:val="22"/>
          <w:szCs w:val="22"/>
          <w:rtl w:val="0"/>
        </w:rPr>
        <w:t xml:space="preserve"> en los procesos de compras y adquisiciones de sus clientes.</w:t>
      </w:r>
    </w:p>
    <w:p w:rsidR="00000000" w:rsidDel="00000000" w:rsidP="00000000" w:rsidRDefault="00000000" w:rsidRPr="00000000" w14:paraId="0000000D">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Factores clave de diferenciación</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0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Participación activa en la negociación y diseño de soluciones de aprovisionamiento, no limitándose a la intermediación.</w:t>
      </w:r>
    </w:p>
    <w:p w:rsidR="00000000" w:rsidDel="00000000" w:rsidP="00000000" w:rsidRDefault="00000000" w:rsidRPr="00000000" w14:paraId="0000000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Capacidad para generar negocios derivados, capturando valor en toda la cadena.</w:t>
      </w:r>
    </w:p>
    <w:p w:rsidR="00000000" w:rsidDel="00000000" w:rsidP="00000000" w:rsidRDefault="00000000" w:rsidRPr="00000000" w14:paraId="000000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Atención personalizada y construcción de relaciones de confianza con PYMEs.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Este diferencial debe ser </w:t>
      </w:r>
      <w:r w:rsidDel="00000000" w:rsidR="00000000" w:rsidRPr="00000000">
        <w:rPr>
          <w:rFonts w:ascii="Arial Narrow" w:cs="Arial Narrow" w:eastAsia="Arial Narrow" w:hAnsi="Arial Narrow"/>
          <w:b w:val="1"/>
          <w:sz w:val="22"/>
          <w:szCs w:val="22"/>
          <w:rtl w:val="0"/>
        </w:rPr>
        <w:t xml:space="preserve">institucionalizado y protegido contractualmente</w:t>
      </w:r>
      <w:r w:rsidDel="00000000" w:rsidR="00000000" w:rsidRPr="00000000">
        <w:rPr>
          <w:rFonts w:ascii="Arial Narrow" w:cs="Arial Narrow" w:eastAsia="Arial Narrow" w:hAnsi="Arial Narrow"/>
          <w:sz w:val="22"/>
          <w:szCs w:val="22"/>
          <w:rtl w:val="0"/>
        </w:rPr>
        <w:t xml:space="preserve">, de modo que los modelos comerciales (distribución, referral, desarrollo de soluciones) reflejen adecuadamente el valor aportado por Supply.</w:t>
      </w:r>
    </w:p>
    <w:p w:rsidR="00000000" w:rsidDel="00000000" w:rsidP="00000000" w:rsidRDefault="00000000" w:rsidRPr="00000000" w14:paraId="00000012">
      <w:pPr>
        <w:spacing w:line="276"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3">
      <w:pPr>
        <w:numPr>
          <w:ilvl w:val="0"/>
          <w:numId w:val="9"/>
        </w:numPr>
        <w:spacing w:line="276" w:lineRule="auto"/>
        <w:ind w:left="720" w:hanging="360"/>
        <w:jc w:val="both"/>
        <w:rPr>
          <w:rFonts w:ascii="Arial Narrow" w:cs="Arial Narrow" w:eastAsia="Arial Narrow" w:hAnsi="Arial Narrow"/>
          <w:b w:val="1"/>
          <w:color w:val="073763"/>
          <w:sz w:val="26"/>
          <w:szCs w:val="26"/>
        </w:rPr>
      </w:pPr>
      <w:r w:rsidDel="00000000" w:rsidR="00000000" w:rsidRPr="00000000">
        <w:rPr>
          <w:rFonts w:ascii="Arial Narrow" w:cs="Arial Narrow" w:eastAsia="Arial Narrow" w:hAnsi="Arial Narrow"/>
          <w:b w:val="1"/>
          <w:color w:val="073763"/>
          <w:sz w:val="26"/>
          <w:szCs w:val="26"/>
          <w:u w:val="single"/>
          <w:rtl w:val="0"/>
        </w:rPr>
        <w:t xml:space="preserve">Societario.- </w:t>
      </w:r>
    </w:p>
    <w:p w:rsidR="00000000" w:rsidDel="00000000" w:rsidP="00000000" w:rsidRDefault="00000000" w:rsidRPr="00000000" w14:paraId="00000014">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Desde el punto de vista estructural, Supply Solutions opera bajo un esquema societario conformado por </w:t>
      </w:r>
    </w:p>
    <w:p w:rsidR="00000000" w:rsidDel="00000000" w:rsidP="00000000" w:rsidRDefault="00000000" w:rsidRPr="00000000" w14:paraId="00000015">
      <w:pPr>
        <w:numPr>
          <w:ilvl w:val="0"/>
          <w:numId w:val="4"/>
        </w:numPr>
        <w:spacing w:after="0" w:afterAutospacing="0" w:before="24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Supply Solutions S.A., </w:t>
      </w:r>
    </w:p>
    <w:p w:rsidR="00000000" w:rsidDel="00000000" w:rsidP="00000000" w:rsidRDefault="00000000" w:rsidRPr="00000000" w14:paraId="00000016">
      <w:pPr>
        <w:numPr>
          <w:ilvl w:val="0"/>
          <w:numId w:val="4"/>
        </w:numPr>
        <w:spacing w:after="0" w:afterAutospacing="0" w:before="0" w:beforeAutospacing="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Grupo GJ S.R.L.,</w:t>
      </w:r>
    </w:p>
    <w:p w:rsidR="00000000" w:rsidDel="00000000" w:rsidP="00000000" w:rsidRDefault="00000000" w:rsidRPr="00000000" w14:paraId="00000017">
      <w:pPr>
        <w:numPr>
          <w:ilvl w:val="0"/>
          <w:numId w:val="4"/>
        </w:numPr>
        <w:spacing w:after="0" w:afterAutospacing="0" w:before="0" w:beforeAutospacing="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S&amp;P LATAM S.R.L. </w:t>
      </w:r>
    </w:p>
    <w:p w:rsidR="00000000" w:rsidDel="00000000" w:rsidP="00000000" w:rsidRDefault="00000000" w:rsidRPr="00000000" w14:paraId="00000018">
      <w:pPr>
        <w:numPr>
          <w:ilvl w:val="0"/>
          <w:numId w:val="4"/>
        </w:numPr>
        <w:spacing w:after="240" w:before="0" w:beforeAutospacing="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Sociedad Extranjera MSM GROUP LLC.</w:t>
      </w:r>
    </w:p>
    <w:p w:rsidR="00000000" w:rsidDel="00000000" w:rsidP="00000000" w:rsidRDefault="00000000" w:rsidRPr="00000000" w14:paraId="00000019">
      <w:pPr>
        <w:spacing w:after="240" w:before="240" w:line="276" w:lineRule="auto"/>
        <w:ind w:left="0"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En un reciente relevamiento llevado a cabo para evaluar el estado administrativo y legal de estas entidades, se identificaron diversas observaciones en la documentación corporativa, particularmente en las Actas y registros contables.</w:t>
      </w:r>
    </w:p>
    <w:p w:rsidR="00000000" w:rsidDel="00000000" w:rsidP="00000000" w:rsidRDefault="00000000" w:rsidRPr="00000000" w14:paraId="0000001A">
      <w:pPr>
        <w:tabs>
          <w:tab w:val="left" w:leader="none" w:pos="2988"/>
        </w:tabs>
        <w:spacing w:line="276" w:lineRule="auto"/>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Entre las principales irregularidades detectadas se encuentran:</w:t>
      </w:r>
    </w:p>
    <w:p w:rsidR="00000000" w:rsidDel="00000000" w:rsidP="00000000" w:rsidRDefault="00000000" w:rsidRPr="00000000" w14:paraId="0000001B">
      <w:pPr>
        <w:numPr>
          <w:ilvl w:val="0"/>
          <w:numId w:val="14"/>
        </w:numPr>
        <w:tabs>
          <w:tab w:val="left" w:leader="none" w:pos="2988"/>
        </w:tabs>
        <w:spacing w:line="276" w:lineRule="auto"/>
        <w:ind w:left="720" w:hanging="36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sz w:val="22"/>
          <w:szCs w:val="22"/>
          <w:rtl w:val="0"/>
        </w:rPr>
        <w:t xml:space="preserve">Actualización del Objeto: </w:t>
      </w:r>
      <w:r w:rsidDel="00000000" w:rsidR="00000000" w:rsidRPr="00000000">
        <w:rPr>
          <w:rFonts w:ascii="Arial Narrow" w:cs="Arial Narrow" w:eastAsia="Arial Narrow" w:hAnsi="Arial Narrow"/>
          <w:sz w:val="22"/>
          <w:szCs w:val="22"/>
          <w:rtl w:val="0"/>
        </w:rPr>
        <w:t xml:space="preserve">Del análisis del estatuto vigente de Supply Solutions, se advierte que el objeto social actual contempla la compraventa, importación, exportación, representación, distribución y comercialización de productos, maquinaria, herramientas e insumos, así como la prestación de servicios de asesoría y consultoría relacionados. Asimismo, se establece la posibilidad de actuar como comisionista, mediador o intermediario en la celebración de contratos y operaciones mercantiles.</w:t>
      </w:r>
    </w:p>
    <w:p w:rsidR="00000000" w:rsidDel="00000000" w:rsidP="00000000" w:rsidRDefault="00000000" w:rsidRPr="00000000" w14:paraId="0000001C">
      <w:pPr>
        <w:tabs>
          <w:tab w:val="left" w:leader="none" w:pos="2988"/>
        </w:tabs>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Sin embargo, considerando la evolución del negocio y las nuevas actividades desarrolladas por la sociedad, se recomienda ampliar el objeto social para reflejar con mayor precisión la incorporación de las siguientes actividades:</w:t>
      </w:r>
    </w:p>
    <w:p w:rsidR="00000000" w:rsidDel="00000000" w:rsidP="00000000" w:rsidRDefault="00000000" w:rsidRPr="00000000" w14:paraId="0000001D">
      <w:pPr>
        <w:numPr>
          <w:ilvl w:val="0"/>
          <w:numId w:val="3"/>
        </w:numPr>
        <w:tabs>
          <w:tab w:val="left" w:leader="none" w:pos="2988"/>
        </w:tabs>
        <w:spacing w:after="0" w:afterAutospacing="0" w:before="240" w:line="276" w:lineRule="auto"/>
        <w:ind w:left="1440" w:hanging="360"/>
        <w:jc w:val="both"/>
        <w:rPr>
          <w:rFonts w:ascii="Roboto" w:cs="Roboto" w:eastAsia="Roboto" w:hAnsi="Roboto"/>
          <w:sz w:val="22"/>
          <w:szCs w:val="22"/>
        </w:rPr>
      </w:pPr>
      <w:r w:rsidDel="00000000" w:rsidR="00000000" w:rsidRPr="00000000">
        <w:rPr>
          <w:rFonts w:ascii="Arial Narrow" w:cs="Arial Narrow" w:eastAsia="Arial Narrow" w:hAnsi="Arial Narrow"/>
          <w:b w:val="1"/>
          <w:sz w:val="22"/>
          <w:szCs w:val="22"/>
          <w:rtl w:val="0"/>
        </w:rPr>
        <w:t xml:space="preserve">Desarrollo y reventa de licencias de software</w:t>
      </w:r>
      <w:r w:rsidDel="00000000" w:rsidR="00000000" w:rsidRPr="00000000">
        <w:rPr>
          <w:rFonts w:ascii="Arial Narrow" w:cs="Arial Narrow" w:eastAsia="Arial Narrow" w:hAnsi="Arial Narrow"/>
          <w:sz w:val="22"/>
          <w:szCs w:val="22"/>
          <w:rtl w:val="0"/>
        </w:rPr>
        <w:t xml:space="preserve">: A fin de respaldar jurídicamente esta nueva línea de negocio, se sugiere incluir en el objeto social la posibilidad de desarrollar, comercializar, implementar y brindar soporte de software, así como la reventa de licencias y la provisión de soluciones tecnológicas y digitales.</w:t>
        <w:br w:type="textWrapping"/>
      </w:r>
    </w:p>
    <w:p w:rsidR="00000000" w:rsidDel="00000000" w:rsidP="00000000" w:rsidRDefault="00000000" w:rsidRPr="00000000" w14:paraId="0000001E">
      <w:pPr>
        <w:numPr>
          <w:ilvl w:val="0"/>
          <w:numId w:val="3"/>
        </w:numPr>
        <w:tabs>
          <w:tab w:val="left" w:leader="none" w:pos="2988"/>
        </w:tabs>
        <w:spacing w:after="240" w:before="0" w:beforeAutospacing="0" w:line="276" w:lineRule="auto"/>
        <w:ind w:left="1440" w:hanging="360"/>
        <w:jc w:val="both"/>
        <w:rPr>
          <w:rFonts w:ascii="Roboto" w:cs="Roboto" w:eastAsia="Roboto" w:hAnsi="Roboto"/>
          <w:sz w:val="22"/>
          <w:szCs w:val="22"/>
        </w:rPr>
      </w:pPr>
      <w:r w:rsidDel="00000000" w:rsidR="00000000" w:rsidRPr="00000000">
        <w:rPr>
          <w:rFonts w:ascii="Arial Narrow" w:cs="Arial Narrow" w:eastAsia="Arial Narrow" w:hAnsi="Arial Narrow"/>
          <w:b w:val="1"/>
          <w:sz w:val="22"/>
          <w:szCs w:val="22"/>
          <w:rtl w:val="0"/>
        </w:rPr>
        <w:t xml:space="preserve">Fabricación</w:t>
      </w:r>
      <w:r w:rsidDel="00000000" w:rsidR="00000000" w:rsidRPr="00000000">
        <w:rPr>
          <w:rFonts w:ascii="Arial Narrow" w:cs="Arial Narrow" w:eastAsia="Arial Narrow" w:hAnsi="Arial Narrow"/>
          <w:sz w:val="22"/>
          <w:szCs w:val="22"/>
          <w:rtl w:val="0"/>
        </w:rPr>
        <w:t xml:space="preserve">: Si bien el objeto social menciona actividades de comercialización y distribución, no se hace referencia expresa a la fabricación. Dado que la empresa ha adoptado este rol, se recomienda incluirlo explícitamente en el objeto para evitar posibles interpretaciones restrictivas en el futuro.</w:t>
      </w:r>
    </w:p>
    <w:p w:rsidR="00000000" w:rsidDel="00000000" w:rsidP="00000000" w:rsidRDefault="00000000" w:rsidRPr="00000000" w14:paraId="0000001F">
      <w:pPr>
        <w:tabs>
          <w:tab w:val="left" w:leader="none" w:pos="2988"/>
        </w:tabs>
        <w:spacing w:after="240" w:before="240" w:line="276" w:lineRule="auto"/>
        <w:ind w:left="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el caso de Grupo GJ, notamos que el objeto es escueto y de poco alcance, ya que se reduce a “</w:t>
      </w:r>
      <w:r w:rsidDel="00000000" w:rsidR="00000000" w:rsidRPr="00000000">
        <w:rPr>
          <w:rFonts w:ascii="Arial Narrow" w:cs="Arial Narrow" w:eastAsia="Arial Narrow" w:hAnsi="Arial Narrow"/>
          <w:sz w:val="22"/>
          <w:szCs w:val="22"/>
          <w:rtl w:val="0"/>
        </w:rPr>
        <w:t xml:space="preserve">compraventa y distribución de productos para la salud y belleza; desarrollar actividades de importación y exportación de bienes y servicios;”. En caso que el grupo mediante la presente estructura realice distintas operaciones no vinculadas a lo permitido expresamente por el objeto, deberá asimismo ampliarse y/o modificarse.</w:t>
      </w:r>
    </w:p>
    <w:p w:rsidR="00000000" w:rsidDel="00000000" w:rsidP="00000000" w:rsidRDefault="00000000" w:rsidRPr="00000000" w14:paraId="00000020">
      <w:pPr>
        <w:tabs>
          <w:tab w:val="left" w:leader="none" w:pos="2988"/>
        </w:tabs>
        <w:spacing w:after="240" w:before="240" w:line="276" w:lineRule="auto"/>
        <w:ind w:left="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tal sentido, y en virtud de la ampliación del desarrollo comercial del Grupo, entendemos conveniente proceder a redefinir y discriminar las actividades comerciales que llevarán adelante cada una de las sociedades a los fines de ampliar y modificar los objetos sociales en la medida en que corresponda.</w:t>
      </w:r>
      <w:r w:rsidDel="00000000" w:rsidR="00000000" w:rsidRPr="00000000">
        <w:rPr>
          <w:rtl w:val="0"/>
        </w:rPr>
      </w:r>
    </w:p>
    <w:p w:rsidR="00000000" w:rsidDel="00000000" w:rsidP="00000000" w:rsidRDefault="00000000" w:rsidRPr="00000000" w14:paraId="00000021">
      <w:pPr>
        <w:numPr>
          <w:ilvl w:val="0"/>
          <w:numId w:val="14"/>
        </w:numPr>
        <w:tabs>
          <w:tab w:val="left" w:leader="none" w:pos="2988"/>
        </w:tabs>
        <w:spacing w:line="276" w:lineRule="auto"/>
        <w:ind w:left="720" w:hanging="36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color w:val="000000"/>
          <w:sz w:val="22"/>
          <w:szCs w:val="22"/>
          <w:rtl w:val="0"/>
        </w:rPr>
        <w:t xml:space="preserve">Falta de Renovación de </w:t>
      </w:r>
      <w:r w:rsidDel="00000000" w:rsidR="00000000" w:rsidRPr="00000000">
        <w:rPr>
          <w:rFonts w:ascii="Arial Narrow" w:cs="Arial Narrow" w:eastAsia="Arial Narrow" w:hAnsi="Arial Narrow"/>
          <w:b w:val="1"/>
          <w:sz w:val="22"/>
          <w:szCs w:val="22"/>
          <w:rtl w:val="0"/>
        </w:rPr>
        <w:t xml:space="preserve">Autoridades (Art.60)</w:t>
      </w:r>
      <w:r w:rsidDel="00000000" w:rsidR="00000000" w:rsidRPr="00000000">
        <w:rPr>
          <w:rFonts w:ascii="Arial Narrow" w:cs="Arial Narrow" w:eastAsia="Arial Narrow" w:hAnsi="Arial Narrow"/>
          <w:b w:val="1"/>
          <w:color w:val="000000"/>
          <w:sz w:val="22"/>
          <w:szCs w:val="22"/>
          <w:rtl w:val="0"/>
        </w:rPr>
        <w:t xml:space="preserve">:</w:t>
      </w:r>
      <w:r w:rsidDel="00000000" w:rsidR="00000000" w:rsidRPr="00000000">
        <w:rPr>
          <w:rFonts w:ascii="Arial Narrow" w:cs="Arial Narrow" w:eastAsia="Arial Narrow" w:hAnsi="Arial Narrow"/>
          <w:color w:val="000000"/>
          <w:sz w:val="22"/>
          <w:szCs w:val="22"/>
          <w:rtl w:val="0"/>
        </w:rPr>
        <w:t xml:space="preserve"> Se advirtió el vencimiento de la última designación de autoridades </w:t>
      </w:r>
      <w:r w:rsidDel="00000000" w:rsidR="00000000" w:rsidRPr="00000000">
        <w:rPr>
          <w:rFonts w:ascii="Arial Narrow" w:cs="Arial Narrow" w:eastAsia="Arial Narrow" w:hAnsi="Arial Narrow"/>
          <w:sz w:val="22"/>
          <w:szCs w:val="22"/>
          <w:rtl w:val="0"/>
        </w:rPr>
        <w:t xml:space="preserve">de Supply Solutions</w:t>
      </w:r>
      <w:r w:rsidDel="00000000" w:rsidR="00000000" w:rsidRPr="00000000">
        <w:rPr>
          <w:rFonts w:ascii="Arial Narrow" w:cs="Arial Narrow" w:eastAsia="Arial Narrow" w:hAnsi="Arial Narrow"/>
          <w:color w:val="000000"/>
          <w:sz w:val="22"/>
          <w:szCs w:val="22"/>
          <w:rtl w:val="0"/>
        </w:rPr>
        <w:t xml:space="preserve">, el cual operó en septiembre del 2024. Sin perjuicio de ello, </w:t>
      </w:r>
      <w:r w:rsidDel="00000000" w:rsidR="00000000" w:rsidRPr="00000000">
        <w:rPr>
          <w:rFonts w:ascii="Arial Narrow" w:cs="Arial Narrow" w:eastAsia="Arial Narrow" w:hAnsi="Arial Narrow"/>
          <w:sz w:val="22"/>
          <w:szCs w:val="22"/>
          <w:rtl w:val="0"/>
        </w:rPr>
        <w:t xml:space="preserve">en virtud de la publicación en el Boletín Oficial de abril del 2025, entendemos que la renovación se encuentra en trámite.</w:t>
      </w:r>
      <w:r w:rsidDel="00000000" w:rsidR="00000000" w:rsidRPr="00000000">
        <w:rPr>
          <w:rtl w:val="0"/>
        </w:rPr>
      </w:r>
    </w:p>
    <w:p w:rsidR="00000000" w:rsidDel="00000000" w:rsidP="00000000" w:rsidRDefault="00000000" w:rsidRPr="00000000" w14:paraId="00000022">
      <w:pPr>
        <w:numPr>
          <w:ilvl w:val="0"/>
          <w:numId w:val="14"/>
        </w:numPr>
        <w:tabs>
          <w:tab w:val="left" w:leader="none" w:pos="2988"/>
        </w:tabs>
        <w:spacing w:line="276" w:lineRule="auto"/>
        <w:ind w:left="720" w:hanging="36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sz w:val="22"/>
          <w:szCs w:val="22"/>
          <w:rtl w:val="0"/>
        </w:rPr>
        <w:t xml:space="preserve">Falta de Firma de Libros:</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color w:val="000000"/>
          <w:sz w:val="22"/>
          <w:szCs w:val="22"/>
          <w:rtl w:val="0"/>
        </w:rPr>
        <w:t xml:space="preserve">Se identificaron documentos societarios </w:t>
      </w:r>
      <w:r w:rsidDel="00000000" w:rsidR="00000000" w:rsidRPr="00000000">
        <w:rPr>
          <w:rFonts w:ascii="Arial Narrow" w:cs="Arial Narrow" w:eastAsia="Arial Narrow" w:hAnsi="Arial Narrow"/>
          <w:sz w:val="22"/>
          <w:szCs w:val="22"/>
          <w:rtl w:val="0"/>
        </w:rPr>
        <w:t xml:space="preserve">de</w:t>
      </w:r>
      <w:r w:rsidDel="00000000" w:rsidR="00000000" w:rsidRPr="00000000">
        <w:rPr>
          <w:rFonts w:ascii="Arial Narrow" w:cs="Arial Narrow" w:eastAsia="Arial Narrow" w:hAnsi="Arial Narrow"/>
          <w:color w:val="000000"/>
          <w:sz w:val="22"/>
          <w:szCs w:val="22"/>
          <w:rtl w:val="0"/>
        </w:rPr>
        <w:t xml:space="preserve"> S&amp;P LATAM y Grupo G</w:t>
      </w:r>
      <w:r w:rsidDel="00000000" w:rsidR="00000000" w:rsidRPr="00000000">
        <w:rPr>
          <w:rFonts w:ascii="Arial Narrow" w:cs="Arial Narrow" w:eastAsia="Arial Narrow" w:hAnsi="Arial Narrow"/>
          <w:sz w:val="22"/>
          <w:szCs w:val="22"/>
          <w:rtl w:val="0"/>
        </w:rPr>
        <w:t xml:space="preserve">J</w:t>
      </w:r>
      <w:r w:rsidDel="00000000" w:rsidR="00000000" w:rsidRPr="00000000">
        <w:rPr>
          <w:rFonts w:ascii="Arial Narrow" w:cs="Arial Narrow" w:eastAsia="Arial Narrow" w:hAnsi="Arial Narrow"/>
          <w:color w:val="000000"/>
          <w:sz w:val="22"/>
          <w:szCs w:val="22"/>
          <w:rtl w:val="0"/>
        </w:rPr>
        <w:t xml:space="preserve"> que carecen de las firmas correspondientes de </w:t>
      </w:r>
      <w:r w:rsidDel="00000000" w:rsidR="00000000" w:rsidRPr="00000000">
        <w:rPr>
          <w:rFonts w:ascii="Arial Narrow" w:cs="Arial Narrow" w:eastAsia="Arial Narrow" w:hAnsi="Arial Narrow"/>
          <w:sz w:val="22"/>
          <w:szCs w:val="22"/>
          <w:rtl w:val="0"/>
        </w:rPr>
        <w:t xml:space="preserve">ambos socios</w:t>
      </w:r>
      <w:r w:rsidDel="00000000" w:rsidR="00000000" w:rsidRPr="00000000">
        <w:rPr>
          <w:rFonts w:ascii="Arial Narrow" w:cs="Arial Narrow" w:eastAsia="Arial Narrow" w:hAnsi="Arial Narrow"/>
          <w:color w:val="000000"/>
          <w:sz w:val="22"/>
          <w:szCs w:val="22"/>
          <w:rtl w:val="0"/>
        </w:rPr>
        <w:t xml:space="preserve">, lo que podría afectar la validez de las decisiones tomadas en esas reuniones.</w:t>
      </w:r>
    </w:p>
    <w:p w:rsidR="00000000" w:rsidDel="00000000" w:rsidP="00000000" w:rsidRDefault="00000000" w:rsidRPr="00000000" w14:paraId="00000023">
      <w:pPr>
        <w:numPr>
          <w:ilvl w:val="0"/>
          <w:numId w:val="14"/>
        </w:numPr>
        <w:tabs>
          <w:tab w:val="left" w:leader="none" w:pos="2988"/>
        </w:tabs>
        <w:spacing w:line="276" w:lineRule="auto"/>
        <w:ind w:left="720" w:hanging="36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Falta de cumplimiento en las Sociedades Anónimas de lo normado en e</w:t>
      </w:r>
      <w:r w:rsidDel="00000000" w:rsidR="00000000" w:rsidRPr="00000000">
        <w:rPr>
          <w:rFonts w:ascii="Arial Narrow" w:cs="Arial Narrow" w:eastAsia="Arial Narrow" w:hAnsi="Arial Narrow"/>
          <w:b w:val="1"/>
          <w:color w:val="000000"/>
          <w:sz w:val="22"/>
          <w:szCs w:val="22"/>
          <w:rtl w:val="0"/>
        </w:rPr>
        <w:t xml:space="preserve">l art. 267 de la Ley de Sociedades </w:t>
      </w:r>
      <w:r w:rsidDel="00000000" w:rsidR="00000000" w:rsidRPr="00000000">
        <w:rPr>
          <w:rFonts w:ascii="Arial Narrow" w:cs="Arial Narrow" w:eastAsia="Arial Narrow" w:hAnsi="Arial Narrow"/>
          <w:color w:val="000000"/>
          <w:sz w:val="22"/>
          <w:szCs w:val="22"/>
          <w:rtl w:val="0"/>
        </w:rPr>
        <w:t xml:space="preserve">(obligación de reunirse el Directorio cada tres meses).</w:t>
      </w:r>
    </w:p>
    <w:p w:rsidR="00000000" w:rsidDel="00000000" w:rsidP="00000000" w:rsidRDefault="00000000" w:rsidRPr="00000000" w14:paraId="00000024">
      <w:pPr>
        <w:numPr>
          <w:ilvl w:val="0"/>
          <w:numId w:val="14"/>
        </w:numPr>
        <w:tabs>
          <w:tab w:val="left" w:leader="none" w:pos="2988"/>
        </w:tabs>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Actualización de Poderes: En S&amp;P y en Supply cuentan con poder administrativo y amplio de administración y disposición respectivamente en favor de Leandro Carreras. En GJ Group SRL relevamos un Poder administrativo y bancario con nota de "dar de baja". Aconsejamos confirmar que se haya procedido a la baja y eliminarlo de la documentación societaria. Asimismo, en caso que deseen que los socios del grupo que no componen la administración cuenten con facultades de representación, aconsejamos el otorgamiento de los poderes correspondientes a su favor.</w:t>
      </w:r>
      <w:r w:rsidDel="00000000" w:rsidR="00000000" w:rsidRPr="00000000">
        <w:rPr>
          <w:rtl w:val="0"/>
        </w:rPr>
      </w:r>
    </w:p>
    <w:p w:rsidR="00000000" w:rsidDel="00000000" w:rsidP="00000000" w:rsidRDefault="00000000" w:rsidRPr="00000000" w14:paraId="00000025">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Con respecto a S&amp;P se ajustó la documentación respaldatoria de la </w:t>
      </w:r>
      <w:r w:rsidDel="00000000" w:rsidR="00000000" w:rsidRPr="00000000">
        <w:rPr>
          <w:rFonts w:ascii="Arial Narrow" w:cs="Arial Narrow" w:eastAsia="Arial Narrow" w:hAnsi="Arial Narrow"/>
          <w:sz w:val="22"/>
          <w:szCs w:val="22"/>
          <w:rtl w:val="0"/>
        </w:rPr>
        <w:t xml:space="preserve">composición </w:t>
      </w:r>
      <w:r w:rsidDel="00000000" w:rsidR="00000000" w:rsidRPr="00000000">
        <w:rPr>
          <w:rFonts w:ascii="Arial Narrow" w:cs="Arial Narrow" w:eastAsia="Arial Narrow" w:hAnsi="Arial Narrow"/>
          <w:sz w:val="22"/>
          <w:szCs w:val="22"/>
          <w:rtl w:val="0"/>
        </w:rPr>
        <w:t xml:space="preserve">de la sociedad, y en lo que respecta a Grupo GJ, s</w:t>
      </w:r>
      <w:r w:rsidDel="00000000" w:rsidR="00000000" w:rsidRPr="00000000">
        <w:rPr>
          <w:rFonts w:ascii="Arial Narrow" w:cs="Arial Narrow" w:eastAsia="Arial Narrow" w:hAnsi="Arial Narrow"/>
          <w:sz w:val="22"/>
          <w:szCs w:val="22"/>
          <w:rtl w:val="0"/>
        </w:rPr>
        <w:t xml:space="preserve">i bien el cliente contaba con documentación respaldatoria sobre la estructura societaria, la misma no resultaba adecuada ni idónea, dejando expuesta la estructura societaria.</w:t>
      </w:r>
    </w:p>
    <w:p w:rsidR="00000000" w:rsidDel="00000000" w:rsidP="00000000" w:rsidRDefault="00000000" w:rsidRPr="00000000" w14:paraId="00000026">
      <w:pPr>
        <w:spacing w:after="240" w:before="240" w:line="276" w:lineRule="auto"/>
        <w:ind w:firstLine="720"/>
        <w:jc w:val="both"/>
        <w:rPr>
          <w:rFonts w:ascii="Arial Narrow" w:cs="Arial Narrow" w:eastAsia="Arial Narrow" w:hAnsi="Arial Narrow"/>
          <w:b w:val="1"/>
          <w:color w:val="073763"/>
          <w:sz w:val="22"/>
          <w:szCs w:val="22"/>
          <w:u w:val="single"/>
        </w:rPr>
      </w:pPr>
      <w:r w:rsidDel="00000000" w:rsidR="00000000" w:rsidRPr="00000000">
        <w:rPr>
          <w:rFonts w:ascii="Arial Narrow" w:cs="Arial Narrow" w:eastAsia="Arial Narrow" w:hAnsi="Arial Narrow"/>
          <w:b w:val="1"/>
          <w:color w:val="073763"/>
          <w:sz w:val="22"/>
          <w:szCs w:val="22"/>
          <w:u w:val="single"/>
          <w:rtl w:val="0"/>
        </w:rPr>
        <w:t xml:space="preserve">Rediseño Estructural:</w:t>
      </w:r>
    </w:p>
    <w:p w:rsidR="00000000" w:rsidDel="00000000" w:rsidP="00000000" w:rsidRDefault="00000000" w:rsidRPr="00000000" w14:paraId="00000027">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En línea con el crecimiento y la diversificación de Supply Solutions</w:t>
      </w:r>
      <w:r w:rsidDel="00000000" w:rsidR="00000000" w:rsidRPr="00000000">
        <w:rPr>
          <w:rFonts w:ascii="Arial Narrow" w:cs="Arial Narrow" w:eastAsia="Arial Narrow" w:hAnsi="Arial Narrow"/>
          <w:sz w:val="22"/>
          <w:szCs w:val="22"/>
          <w:rtl w:val="0"/>
        </w:rPr>
        <w:t xml:space="preserve">, se propone avanzar gradualmente hacia una estructura legal organizada bajo una </w:t>
      </w:r>
      <w:r w:rsidDel="00000000" w:rsidR="00000000" w:rsidRPr="00000000">
        <w:rPr>
          <w:rFonts w:ascii="Arial Narrow" w:cs="Arial Narrow" w:eastAsia="Arial Narrow" w:hAnsi="Arial Narrow"/>
          <w:b w:val="1"/>
          <w:sz w:val="22"/>
          <w:szCs w:val="22"/>
          <w:rtl w:val="0"/>
        </w:rPr>
        <w:t xml:space="preserve">sociedad holding</w:t>
      </w:r>
      <w:r w:rsidDel="00000000" w:rsidR="00000000" w:rsidRPr="00000000">
        <w:rPr>
          <w:rFonts w:ascii="Arial Narrow" w:cs="Arial Narrow" w:eastAsia="Arial Narrow" w:hAnsi="Arial Narrow"/>
          <w:sz w:val="22"/>
          <w:szCs w:val="22"/>
          <w:rtl w:val="0"/>
        </w:rPr>
        <w:t xml:space="preserve">, con </w:t>
      </w:r>
      <w:r w:rsidDel="00000000" w:rsidR="00000000" w:rsidRPr="00000000">
        <w:rPr>
          <w:rFonts w:ascii="Arial Narrow" w:cs="Arial Narrow" w:eastAsia="Arial Narrow" w:hAnsi="Arial Narrow"/>
          <w:b w:val="1"/>
          <w:sz w:val="22"/>
          <w:szCs w:val="22"/>
          <w:rtl w:val="0"/>
        </w:rPr>
        <w:t xml:space="preserve">sociedades operativas autónomas</w:t>
      </w:r>
      <w:r w:rsidDel="00000000" w:rsidR="00000000" w:rsidRPr="00000000">
        <w:rPr>
          <w:rFonts w:ascii="Arial Narrow" w:cs="Arial Narrow" w:eastAsia="Arial Narrow" w:hAnsi="Arial Narrow"/>
          <w:sz w:val="22"/>
          <w:szCs w:val="22"/>
          <w:rtl w:val="0"/>
        </w:rPr>
        <w:t xml:space="preserve"> para cada unidad de negocio relevante (IT, Agro, Tarjetas, Retail, etc.) con menor exposición a riesgos sistémicos.</w:t>
      </w:r>
    </w:p>
    <w:p w:rsidR="00000000" w:rsidDel="00000000" w:rsidP="00000000" w:rsidRDefault="00000000" w:rsidRPr="00000000" w14:paraId="00000028">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Este esquema permite:</w:t>
      </w:r>
    </w:p>
    <w:p w:rsidR="00000000" w:rsidDel="00000000" w:rsidP="00000000" w:rsidRDefault="00000000" w:rsidRPr="00000000" w14:paraId="00000029">
      <w:pPr>
        <w:numPr>
          <w:ilvl w:val="0"/>
          <w:numId w:val="23"/>
        </w:numPr>
        <w:spacing w:after="0" w:afterAutospacing="0" w:before="24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Separar riesgos jurídicos, fiscales y laborales por vertical.</w:t>
      </w:r>
    </w:p>
    <w:p w:rsidR="00000000" w:rsidDel="00000000" w:rsidP="00000000" w:rsidRDefault="00000000" w:rsidRPr="00000000" w14:paraId="0000002A">
      <w:pPr>
        <w:numPr>
          <w:ilvl w:val="0"/>
          <w:numId w:val="23"/>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Brindar autonomía operativa a cada unidad como célula productiva.</w:t>
      </w:r>
    </w:p>
    <w:p w:rsidR="00000000" w:rsidDel="00000000" w:rsidP="00000000" w:rsidRDefault="00000000" w:rsidRPr="00000000" w14:paraId="0000002B">
      <w:pPr>
        <w:numPr>
          <w:ilvl w:val="0"/>
          <w:numId w:val="23"/>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Facilitar la valorización y apertura a socios o inversores específicos en cada negocio.</w:t>
      </w:r>
    </w:p>
    <w:p w:rsidR="00000000" w:rsidDel="00000000" w:rsidP="00000000" w:rsidRDefault="00000000" w:rsidRPr="00000000" w14:paraId="0000002C">
      <w:pPr>
        <w:numPr>
          <w:ilvl w:val="0"/>
          <w:numId w:val="23"/>
        </w:numPr>
        <w:spacing w:after="24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Optimizar recursos compartidos mediante acuerdos de colaboración interna.</w:t>
      </w:r>
    </w:p>
    <w:p w:rsidR="00000000" w:rsidDel="00000000" w:rsidP="00000000" w:rsidRDefault="00000000" w:rsidRPr="00000000" w14:paraId="0000002D">
      <w:pPr>
        <w:spacing w:after="240" w:before="240" w:line="276"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razón de ello, y conforme se muestra a continuación, existen diversos puntos de conexidad que podrían llegar a generar problemas vinculados a la conformación de un “grupo empresario”; o bien, a presentar trabas burocráticas ante la participación en licitaciones y procesos afines.</w:t>
      </w:r>
    </w:p>
    <w:p w:rsidR="00000000" w:rsidDel="00000000" w:rsidP="00000000" w:rsidRDefault="00000000" w:rsidRPr="00000000" w14:paraId="0000002E">
      <w:pPr>
        <w:pStyle w:val="Heading4"/>
        <w:keepNext w:val="0"/>
        <w:keepLines w:val="0"/>
        <w:spacing w:before="0" w:line="276" w:lineRule="auto"/>
        <w:jc w:val="both"/>
        <w:rPr>
          <w:rFonts w:ascii="Arial Narrow" w:cs="Arial Narrow" w:eastAsia="Arial Narrow" w:hAnsi="Arial Narrow"/>
          <w:b w:val="1"/>
          <w:i w:val="0"/>
          <w:color w:val="000000"/>
          <w:sz w:val="22"/>
          <w:szCs w:val="22"/>
        </w:rPr>
      </w:pPr>
      <w:bookmarkStart w:colFirst="0" w:colLast="0" w:name="_heading=h.kjhrhp10nk9m" w:id="0"/>
      <w:bookmarkEnd w:id="0"/>
      <w:r w:rsidDel="00000000" w:rsidR="00000000" w:rsidRPr="00000000">
        <w:rPr>
          <w:rFonts w:ascii="Arial Narrow" w:cs="Arial Narrow" w:eastAsia="Arial Narrow" w:hAnsi="Arial Narrow"/>
          <w:b w:val="1"/>
          <w:i w:val="0"/>
          <w:color w:val="000000"/>
          <w:sz w:val="22"/>
          <w:szCs w:val="22"/>
        </w:rPr>
        <w:drawing>
          <wp:inline distB="114300" distT="114300" distL="114300" distR="114300">
            <wp:extent cx="5943600" cy="558800"/>
            <wp:effectExtent b="0" l="0" r="0" t="0"/>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4"/>
        <w:keepNext w:val="0"/>
        <w:keepLines w:val="0"/>
        <w:spacing w:before="0" w:line="276" w:lineRule="auto"/>
        <w:jc w:val="both"/>
        <w:rPr>
          <w:rFonts w:ascii="Arial Narrow" w:cs="Arial Narrow" w:eastAsia="Arial Narrow" w:hAnsi="Arial Narrow"/>
          <w:b w:val="1"/>
          <w:i w:val="0"/>
          <w:color w:val="000000"/>
          <w:sz w:val="22"/>
          <w:szCs w:val="22"/>
        </w:rPr>
      </w:pPr>
      <w:bookmarkStart w:colFirst="0" w:colLast="0" w:name="_heading=h.9zhta7x0ipmn" w:id="1"/>
      <w:bookmarkEnd w:id="1"/>
      <w:r w:rsidDel="00000000" w:rsidR="00000000" w:rsidRPr="00000000">
        <w:rPr>
          <w:rtl w:val="0"/>
        </w:rPr>
      </w:r>
    </w:p>
    <w:p w:rsidR="00000000" w:rsidDel="00000000" w:rsidP="00000000" w:rsidRDefault="00000000" w:rsidRPr="00000000" w14:paraId="00000030">
      <w:pPr>
        <w:pStyle w:val="Heading4"/>
        <w:keepNext w:val="0"/>
        <w:keepLines w:val="0"/>
        <w:spacing w:before="0" w:line="276" w:lineRule="auto"/>
        <w:jc w:val="both"/>
        <w:rPr>
          <w:rFonts w:ascii="Arial Narrow" w:cs="Arial Narrow" w:eastAsia="Arial Narrow" w:hAnsi="Arial Narrow"/>
          <w:b w:val="1"/>
          <w:i w:val="0"/>
          <w:color w:val="000000"/>
          <w:sz w:val="22"/>
          <w:szCs w:val="22"/>
        </w:rPr>
      </w:pPr>
      <w:bookmarkStart w:colFirst="0" w:colLast="0" w:name="_heading=h.cp04tqcs6ev8" w:id="2"/>
      <w:bookmarkEnd w:id="2"/>
      <w:r w:rsidDel="00000000" w:rsidR="00000000" w:rsidRPr="00000000">
        <w:rPr>
          <w:rtl w:val="0"/>
        </w:rPr>
      </w:r>
    </w:p>
    <w:p w:rsidR="00000000" w:rsidDel="00000000" w:rsidP="00000000" w:rsidRDefault="00000000" w:rsidRPr="00000000" w14:paraId="00000031">
      <w:pPr>
        <w:pStyle w:val="Heading4"/>
        <w:keepNext w:val="0"/>
        <w:keepLines w:val="0"/>
        <w:spacing w:before="0" w:line="276" w:lineRule="auto"/>
        <w:jc w:val="both"/>
        <w:rPr>
          <w:rFonts w:ascii="Arial Narrow" w:cs="Arial Narrow" w:eastAsia="Arial Narrow" w:hAnsi="Arial Narrow"/>
          <w:b w:val="1"/>
          <w:i w:val="0"/>
          <w:color w:val="000000"/>
          <w:sz w:val="22"/>
          <w:szCs w:val="22"/>
        </w:rPr>
      </w:pPr>
      <w:bookmarkStart w:colFirst="0" w:colLast="0" w:name="_heading=h.tkbb6q6xndse" w:id="3"/>
      <w:bookmarkEnd w:id="3"/>
      <w:r w:rsidDel="00000000" w:rsidR="00000000" w:rsidRPr="00000000">
        <w:rPr>
          <w:rFonts w:ascii="Arial Narrow" w:cs="Arial Narrow" w:eastAsia="Arial Narrow" w:hAnsi="Arial Narrow"/>
          <w:b w:val="1"/>
          <w:i w:val="0"/>
          <w:color w:val="000000"/>
          <w:sz w:val="22"/>
          <w:szCs w:val="22"/>
          <w:rtl w:val="0"/>
        </w:rPr>
        <w:t xml:space="preserve">Implementación Progresiva</w:t>
      </w:r>
    </w:p>
    <w:p w:rsidR="00000000" w:rsidDel="00000000" w:rsidP="00000000" w:rsidRDefault="00000000" w:rsidRPr="00000000" w14:paraId="00000032">
      <w:pPr>
        <w:spacing w:after="240" w:before="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sugiere estructurar este rediseño </w:t>
      </w:r>
      <w:r w:rsidDel="00000000" w:rsidR="00000000" w:rsidRPr="00000000">
        <w:rPr>
          <w:rFonts w:ascii="Arial Narrow" w:cs="Arial Narrow" w:eastAsia="Arial Narrow" w:hAnsi="Arial Narrow"/>
          <w:b w:val="1"/>
          <w:sz w:val="22"/>
          <w:szCs w:val="22"/>
          <w:rtl w:val="0"/>
        </w:rPr>
        <w:t xml:space="preserve">de manera escalonada</w:t>
      </w:r>
      <w:r w:rsidDel="00000000" w:rsidR="00000000" w:rsidRPr="00000000">
        <w:rPr>
          <w:rFonts w:ascii="Arial Narrow" w:cs="Arial Narrow" w:eastAsia="Arial Narrow" w:hAnsi="Arial Narrow"/>
          <w:sz w:val="22"/>
          <w:szCs w:val="22"/>
          <w:rtl w:val="0"/>
        </w:rPr>
        <w:t xml:space="preserve">, conforme a la madurez y potencial de cada unidad:</w:t>
      </w:r>
    </w:p>
    <w:p w:rsidR="00000000" w:rsidDel="00000000" w:rsidP="00000000" w:rsidRDefault="00000000" w:rsidRPr="00000000" w14:paraId="00000033">
      <w:pPr>
        <w:numPr>
          <w:ilvl w:val="0"/>
          <w:numId w:val="22"/>
        </w:numPr>
        <w:spacing w:after="240" w:before="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Unidad IT:</w:t>
      </w:r>
      <w:r w:rsidDel="00000000" w:rsidR="00000000" w:rsidRPr="00000000">
        <w:rPr>
          <w:rFonts w:ascii="Arial Narrow" w:cs="Arial Narrow" w:eastAsia="Arial Narrow" w:hAnsi="Arial Narrow"/>
          <w:sz w:val="22"/>
          <w:szCs w:val="22"/>
          <w:rtl w:val="0"/>
        </w:rPr>
        <w:t xml:space="preserve"> ya en proceso de formalización, se recomienda avanzar con la constitución de una sociedad específica, titularizando la propiedad intelectual y desarrollos tecnológicos.</w:t>
      </w:r>
    </w:p>
    <w:p w:rsidR="00000000" w:rsidDel="00000000" w:rsidP="00000000" w:rsidRDefault="00000000" w:rsidRPr="00000000" w14:paraId="00000034">
      <w:pPr>
        <w:numPr>
          <w:ilvl w:val="0"/>
          <w:numId w:val="22"/>
        </w:numPr>
        <w:spacing w:after="0" w:before="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Unidad Retail (E-Commerce):</w:t>
      </w:r>
      <w:r w:rsidDel="00000000" w:rsidR="00000000" w:rsidRPr="00000000">
        <w:rPr>
          <w:rFonts w:ascii="Arial Narrow" w:cs="Arial Narrow" w:eastAsia="Arial Narrow" w:hAnsi="Arial Narrow"/>
          <w:sz w:val="22"/>
          <w:szCs w:val="22"/>
          <w:rtl w:val="0"/>
        </w:rPr>
        <w:t xml:space="preserve"> se evalúa su escisión próxima bajo una sociedad comercial operativa, considerando su crecimiento y proyección comercial directa.</w:t>
      </w:r>
    </w:p>
    <w:p w:rsidR="00000000" w:rsidDel="00000000" w:rsidP="00000000" w:rsidRDefault="00000000" w:rsidRPr="00000000" w14:paraId="00000035">
      <w:pPr>
        <w:numPr>
          <w:ilvl w:val="0"/>
          <w:numId w:val="22"/>
        </w:numPr>
        <w:spacing w:after="240" w:before="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Resto de verticales</w:t>
      </w:r>
      <w:r w:rsidDel="00000000" w:rsidR="00000000" w:rsidRPr="00000000">
        <w:rPr>
          <w:rFonts w:ascii="Arial Narrow" w:cs="Arial Narrow" w:eastAsia="Arial Narrow" w:hAnsi="Arial Narrow"/>
          <w:sz w:val="22"/>
          <w:szCs w:val="22"/>
          <w:rtl w:val="0"/>
        </w:rPr>
        <w:t xml:space="preserve">: podrán reconfigurarse a medida que su volumen y complejidad lo justifiquen, bajo el paraguas general de la holding.</w:t>
        <w:br w:type="textWrapping"/>
      </w:r>
    </w:p>
    <w:p w:rsidR="00000000" w:rsidDel="00000000" w:rsidP="00000000" w:rsidRDefault="00000000" w:rsidRPr="00000000" w14:paraId="00000036">
      <w:pPr>
        <w:pStyle w:val="Heading4"/>
        <w:keepNext w:val="0"/>
        <w:keepLines w:val="0"/>
        <w:spacing w:before="240" w:line="276" w:lineRule="auto"/>
        <w:jc w:val="both"/>
        <w:rPr>
          <w:rFonts w:ascii="Arial Narrow" w:cs="Arial Narrow" w:eastAsia="Arial Narrow" w:hAnsi="Arial Narrow"/>
          <w:b w:val="1"/>
          <w:i w:val="0"/>
          <w:color w:val="000000"/>
          <w:sz w:val="22"/>
          <w:szCs w:val="22"/>
        </w:rPr>
      </w:pPr>
      <w:bookmarkStart w:colFirst="0" w:colLast="0" w:name="_heading=h.kl75bu6a5o5d" w:id="4"/>
      <w:bookmarkEnd w:id="4"/>
      <w:r w:rsidDel="00000000" w:rsidR="00000000" w:rsidRPr="00000000">
        <w:rPr>
          <w:rFonts w:ascii="Arial Narrow" w:cs="Arial Narrow" w:eastAsia="Arial Narrow" w:hAnsi="Arial Narrow"/>
          <w:b w:val="1"/>
          <w:i w:val="0"/>
          <w:color w:val="000000"/>
          <w:sz w:val="22"/>
          <w:szCs w:val="22"/>
          <w:rtl w:val="0"/>
        </w:rPr>
        <w:t xml:space="preserve">Recomendaciones</w:t>
      </w:r>
    </w:p>
    <w:p w:rsidR="00000000" w:rsidDel="00000000" w:rsidP="00000000" w:rsidRDefault="00000000" w:rsidRPr="00000000" w14:paraId="00000037">
      <w:pPr>
        <w:numPr>
          <w:ilvl w:val="0"/>
          <w:numId w:val="30"/>
        </w:numPr>
        <w:spacing w:after="0" w:afterAutospacing="0" w:before="24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Avanzar en la constitución de sociedades prioritarias, comenzando por IT.</w:t>
      </w:r>
    </w:p>
    <w:p w:rsidR="00000000" w:rsidDel="00000000" w:rsidP="00000000" w:rsidRDefault="00000000" w:rsidRPr="00000000" w14:paraId="00000038">
      <w:pPr>
        <w:numPr>
          <w:ilvl w:val="0"/>
          <w:numId w:val="3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Diseñar un esquema de holding controlante que articule todas las unidades.</w:t>
      </w:r>
    </w:p>
    <w:p w:rsidR="00000000" w:rsidDel="00000000" w:rsidP="00000000" w:rsidRDefault="00000000" w:rsidRPr="00000000" w14:paraId="00000039">
      <w:pPr>
        <w:numPr>
          <w:ilvl w:val="0"/>
          <w:numId w:val="3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Regular el uso de recursos comunes (RRHH, legales, contabilidad, logística) mediante </w:t>
      </w:r>
      <w:r w:rsidDel="00000000" w:rsidR="00000000" w:rsidRPr="00000000">
        <w:rPr>
          <w:rFonts w:ascii="Arial Narrow" w:cs="Arial Narrow" w:eastAsia="Arial Narrow" w:hAnsi="Arial Narrow"/>
          <w:b w:val="1"/>
          <w:sz w:val="22"/>
          <w:szCs w:val="22"/>
          <w:rtl w:val="0"/>
        </w:rPr>
        <w:t xml:space="preserve">contratos intercompany</w:t>
      </w:r>
      <w:r w:rsidDel="00000000" w:rsidR="00000000" w:rsidRPr="00000000">
        <w:rPr>
          <w:rFonts w:ascii="Arial Narrow" w:cs="Arial Narrow" w:eastAsia="Arial Narrow" w:hAnsi="Arial Narrow"/>
          <w:sz w:val="22"/>
          <w:szCs w:val="22"/>
          <w:rtl w:val="0"/>
        </w:rPr>
        <w:t xml:space="preserve"> o servicios centralizados.</w:t>
      </w:r>
    </w:p>
    <w:p w:rsidR="00000000" w:rsidDel="00000000" w:rsidP="00000000" w:rsidRDefault="00000000" w:rsidRPr="00000000" w14:paraId="0000003A">
      <w:pPr>
        <w:numPr>
          <w:ilvl w:val="0"/>
          <w:numId w:val="30"/>
        </w:numPr>
        <w:spacing w:after="24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Progresar con acuerdos de socios y protocolos que </w:t>
      </w:r>
      <w:r w:rsidDel="00000000" w:rsidR="00000000" w:rsidRPr="00000000">
        <w:rPr>
          <w:rFonts w:ascii="Arial Narrow" w:cs="Arial Narrow" w:eastAsia="Arial Narrow" w:hAnsi="Arial Narrow"/>
          <w:sz w:val="22"/>
          <w:szCs w:val="22"/>
          <w:rtl w:val="0"/>
        </w:rPr>
        <w:t xml:space="preserve">acompañen</w:t>
      </w:r>
      <w:r w:rsidDel="00000000" w:rsidR="00000000" w:rsidRPr="00000000">
        <w:rPr>
          <w:rFonts w:ascii="Arial Narrow" w:cs="Arial Narrow" w:eastAsia="Arial Narrow" w:hAnsi="Arial Narrow"/>
          <w:sz w:val="22"/>
          <w:szCs w:val="22"/>
          <w:rtl w:val="0"/>
        </w:rPr>
        <w:t xml:space="preserve"> esta reorganización.</w:t>
      </w:r>
    </w:p>
    <w:p w:rsidR="00000000" w:rsidDel="00000000" w:rsidP="00000000" w:rsidRDefault="00000000" w:rsidRPr="00000000" w14:paraId="0000003B">
      <w:pPr>
        <w:spacing w:line="276" w:lineRule="auto"/>
        <w:ind w:firstLine="720"/>
        <w:jc w:val="both"/>
        <w:rPr>
          <w:rFonts w:ascii="Arial Narrow" w:cs="Arial Narrow" w:eastAsia="Arial Narrow" w:hAnsi="Arial Narrow"/>
          <w:b w:val="1"/>
          <w:color w:val="073763"/>
          <w:sz w:val="26"/>
          <w:szCs w:val="26"/>
        </w:rPr>
      </w:pPr>
      <w:r w:rsidDel="00000000" w:rsidR="00000000" w:rsidRPr="00000000">
        <w:rPr>
          <w:rtl w:val="0"/>
        </w:rPr>
      </w:r>
    </w:p>
    <w:p w:rsidR="00000000" w:rsidDel="00000000" w:rsidP="00000000" w:rsidRDefault="00000000" w:rsidRPr="00000000" w14:paraId="0000003C">
      <w:pPr>
        <w:spacing w:line="276" w:lineRule="auto"/>
        <w:ind w:firstLine="720"/>
        <w:jc w:val="both"/>
        <w:rPr>
          <w:rFonts w:ascii="Arial Narrow" w:cs="Arial Narrow" w:eastAsia="Arial Narrow" w:hAnsi="Arial Narrow"/>
          <w:b w:val="1"/>
          <w:color w:val="073763"/>
          <w:sz w:val="26"/>
          <w:szCs w:val="26"/>
          <w:u w:val="single"/>
        </w:rPr>
      </w:pPr>
      <w:r w:rsidDel="00000000" w:rsidR="00000000" w:rsidRPr="00000000">
        <w:rPr>
          <w:rFonts w:ascii="Arial Narrow" w:cs="Arial Narrow" w:eastAsia="Arial Narrow" w:hAnsi="Arial Narrow"/>
          <w:b w:val="1"/>
          <w:color w:val="073763"/>
          <w:sz w:val="26"/>
          <w:szCs w:val="26"/>
          <w:rtl w:val="0"/>
        </w:rPr>
        <w:t xml:space="preserve">B. </w:t>
      </w:r>
      <w:r w:rsidDel="00000000" w:rsidR="00000000" w:rsidRPr="00000000">
        <w:rPr>
          <w:rFonts w:ascii="Arial Narrow" w:cs="Arial Narrow" w:eastAsia="Arial Narrow" w:hAnsi="Arial Narrow"/>
          <w:b w:val="1"/>
          <w:color w:val="073763"/>
          <w:sz w:val="26"/>
          <w:szCs w:val="26"/>
          <w:u w:val="single"/>
          <w:rtl w:val="0"/>
        </w:rPr>
        <w:t xml:space="preserve">Estructura Empresarial y Gobernanza.-</w:t>
      </w:r>
    </w:p>
    <w:p w:rsidR="00000000" w:rsidDel="00000000" w:rsidP="00000000" w:rsidRDefault="00000000" w:rsidRPr="00000000" w14:paraId="0000003D">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empresa no cuenta con un Acuerdo de Accionistas formalizado que regule la relación entre los Socios y establezca mecanismos claros de resolución de conflictos.</w:t>
      </w:r>
    </w:p>
    <w:p w:rsidR="00000000" w:rsidDel="00000000" w:rsidP="00000000" w:rsidRDefault="00000000" w:rsidRPr="00000000" w14:paraId="0000003E">
      <w:pPr>
        <w:spacing w:line="276" w:lineRule="auto"/>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color w:val="000000"/>
          <w:sz w:val="22"/>
          <w:szCs w:val="22"/>
          <w:rtl w:val="0"/>
        </w:rPr>
        <w:t xml:space="preserve">Recomendaciones:</w:t>
      </w:r>
      <w:r w:rsidDel="00000000" w:rsidR="00000000" w:rsidRPr="00000000">
        <w:rPr>
          <w:rtl w:val="0"/>
        </w:rPr>
      </w:r>
    </w:p>
    <w:p w:rsidR="00000000" w:rsidDel="00000000" w:rsidP="00000000" w:rsidRDefault="00000000" w:rsidRPr="00000000" w14:paraId="0000003F">
      <w:pPr>
        <w:numPr>
          <w:ilvl w:val="0"/>
          <w:numId w:val="15"/>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Formalizar un </w:t>
      </w:r>
      <w:r w:rsidDel="00000000" w:rsidR="00000000" w:rsidRPr="00000000">
        <w:rPr>
          <w:rFonts w:ascii="Arial Narrow" w:cs="Arial Narrow" w:eastAsia="Arial Narrow" w:hAnsi="Arial Narrow"/>
          <w:b w:val="1"/>
          <w:sz w:val="22"/>
          <w:szCs w:val="22"/>
          <w:rtl w:val="0"/>
        </w:rPr>
        <w:t xml:space="preserve">Acuerdo de accionistas</w:t>
      </w:r>
      <w:r w:rsidDel="00000000" w:rsidR="00000000" w:rsidRPr="00000000">
        <w:rPr>
          <w:rFonts w:ascii="Arial Narrow" w:cs="Arial Narrow" w:eastAsia="Arial Narrow" w:hAnsi="Arial Narrow"/>
          <w:sz w:val="22"/>
          <w:szCs w:val="22"/>
          <w:rtl w:val="0"/>
        </w:rPr>
        <w:t xml:space="preserve"> para regular derechos, obligaciones y mecanismos de solución de controversias. Los principales temas a abordar en dicho acuerdo son:</w:t>
      </w:r>
    </w:p>
    <w:p w:rsidR="00000000" w:rsidDel="00000000" w:rsidP="00000000" w:rsidRDefault="00000000" w:rsidRPr="00000000" w14:paraId="00000040">
      <w:pPr>
        <w:numPr>
          <w:ilvl w:val="0"/>
          <w:numId w:val="13"/>
        </w:numPr>
        <w:spacing w:after="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Que ocurre ante el fallecimiento de alguno de los socios (ingreso de los herederos o no).</w:t>
      </w:r>
    </w:p>
    <w:p w:rsidR="00000000" w:rsidDel="00000000" w:rsidP="00000000" w:rsidRDefault="00000000" w:rsidRPr="00000000" w14:paraId="00000041">
      <w:pPr>
        <w:numPr>
          <w:ilvl w:val="0"/>
          <w:numId w:val="13"/>
        </w:numPr>
        <w:spacing w:after="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Cláusula de Rescate de acciones, mediante la cual, el Socio supérstite pueda adquirir el paquete accionario del socio fallecido.</w:t>
      </w:r>
      <w:r w:rsidDel="00000000" w:rsidR="00000000" w:rsidRPr="00000000">
        <w:rPr>
          <w:rtl w:val="0"/>
        </w:rPr>
      </w:r>
    </w:p>
    <w:p w:rsidR="00000000" w:rsidDel="00000000" w:rsidP="00000000" w:rsidRDefault="00000000" w:rsidRPr="00000000" w14:paraId="00000042">
      <w:pPr>
        <w:numPr>
          <w:ilvl w:val="0"/>
          <w:numId w:val="13"/>
        </w:numPr>
        <w:spacing w:after="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Procedimientos de adquisición preferente de las participaciones ante la eventual salida de alguno de los socios</w:t>
      </w:r>
      <w:r w:rsidDel="00000000" w:rsidR="00000000" w:rsidRPr="00000000">
        <w:rPr>
          <w:rtl w:val="0"/>
        </w:rPr>
      </w:r>
    </w:p>
    <w:p w:rsidR="00000000" w:rsidDel="00000000" w:rsidP="00000000" w:rsidRDefault="00000000" w:rsidRPr="00000000" w14:paraId="00000043">
      <w:pPr>
        <w:numPr>
          <w:ilvl w:val="0"/>
          <w:numId w:val="13"/>
        </w:numPr>
        <w:spacing w:after="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Mecanismos de arrastre y acople (“Drag Along”y “Tag Along”) ante una oferta de venta del grupo.</w:t>
      </w:r>
      <w:r w:rsidDel="00000000" w:rsidR="00000000" w:rsidRPr="00000000">
        <w:rPr>
          <w:rtl w:val="0"/>
        </w:rPr>
      </w:r>
    </w:p>
    <w:p w:rsidR="00000000" w:rsidDel="00000000" w:rsidP="00000000" w:rsidRDefault="00000000" w:rsidRPr="00000000" w14:paraId="00000044">
      <w:pPr>
        <w:numPr>
          <w:ilvl w:val="0"/>
          <w:numId w:val="13"/>
        </w:numPr>
        <w:spacing w:after="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Incorporación de nuevos socios/accionistas al Grupo.</w:t>
      </w:r>
      <w:r w:rsidDel="00000000" w:rsidR="00000000" w:rsidRPr="00000000">
        <w:rPr>
          <w:rtl w:val="0"/>
        </w:rPr>
      </w:r>
    </w:p>
    <w:p w:rsidR="00000000" w:rsidDel="00000000" w:rsidP="00000000" w:rsidRDefault="00000000" w:rsidRPr="00000000" w14:paraId="00000045">
      <w:pPr>
        <w:numPr>
          <w:ilvl w:val="0"/>
          <w:numId w:val="13"/>
        </w:numPr>
        <w:spacing w:after="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Mecanismos de </w:t>
      </w:r>
      <w:r w:rsidDel="00000000" w:rsidR="00000000" w:rsidRPr="00000000">
        <w:rPr>
          <w:rFonts w:ascii="Arial Narrow" w:cs="Arial Narrow" w:eastAsia="Arial Narrow" w:hAnsi="Arial Narrow"/>
          <w:sz w:val="22"/>
          <w:szCs w:val="22"/>
          <w:rtl w:val="0"/>
        </w:rPr>
        <w:t xml:space="preserve">valuación</w:t>
      </w:r>
      <w:r w:rsidDel="00000000" w:rsidR="00000000" w:rsidRPr="00000000">
        <w:rPr>
          <w:rFonts w:ascii="Arial Narrow" w:cs="Arial Narrow" w:eastAsia="Arial Narrow" w:hAnsi="Arial Narrow"/>
          <w:sz w:val="22"/>
          <w:szCs w:val="22"/>
          <w:rtl w:val="0"/>
        </w:rPr>
        <w:t xml:space="preserve"> del Grupo ante un caso de salida de un socio y/o alguna oferta de terceros.</w:t>
      </w:r>
      <w:r w:rsidDel="00000000" w:rsidR="00000000" w:rsidRPr="00000000">
        <w:rPr>
          <w:rtl w:val="0"/>
        </w:rPr>
      </w:r>
    </w:p>
    <w:p w:rsidR="00000000" w:rsidDel="00000000" w:rsidP="00000000" w:rsidRDefault="00000000" w:rsidRPr="00000000" w14:paraId="00000046">
      <w:pPr>
        <w:numPr>
          <w:ilvl w:val="0"/>
          <w:numId w:val="13"/>
        </w:numPr>
        <w:spacing w:after="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Identificación de roles y funciones de cada uno de los socios</w:t>
      </w:r>
      <w:r w:rsidDel="00000000" w:rsidR="00000000" w:rsidRPr="00000000">
        <w:rPr>
          <w:rtl w:val="0"/>
        </w:rPr>
      </w:r>
    </w:p>
    <w:p w:rsidR="00000000" w:rsidDel="00000000" w:rsidP="00000000" w:rsidRDefault="00000000" w:rsidRPr="00000000" w14:paraId="00000047">
      <w:pPr>
        <w:numPr>
          <w:ilvl w:val="0"/>
          <w:numId w:val="13"/>
        </w:numPr>
        <w:spacing w:after="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Protocolos para inversiones futuras a realizar por el Grupo por eventuales aperturas de nuevas unidades de negocios y/o adquisiciones de otras empresas.</w:t>
      </w:r>
      <w:r w:rsidDel="00000000" w:rsidR="00000000" w:rsidRPr="00000000">
        <w:rPr>
          <w:rtl w:val="0"/>
        </w:rPr>
      </w:r>
    </w:p>
    <w:p w:rsidR="00000000" w:rsidDel="00000000" w:rsidP="00000000" w:rsidRDefault="00000000" w:rsidRPr="00000000" w14:paraId="00000048">
      <w:pPr>
        <w:numPr>
          <w:ilvl w:val="0"/>
          <w:numId w:val="13"/>
        </w:numPr>
        <w:spacing w:after="200" w:before="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Acuerdo de gobernabilidad (puede ser independiente o anexo al Acuerdo de accionistas)</w:t>
      </w:r>
      <w:r w:rsidDel="00000000" w:rsidR="00000000" w:rsidRPr="00000000">
        <w:rPr>
          <w:rtl w:val="0"/>
        </w:rPr>
      </w:r>
    </w:p>
    <w:p w:rsidR="00000000" w:rsidDel="00000000" w:rsidP="00000000" w:rsidRDefault="00000000" w:rsidRPr="00000000" w14:paraId="00000049">
      <w:pPr>
        <w:numPr>
          <w:ilvl w:val="0"/>
          <w:numId w:val="15"/>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Evaluar la implementación de un </w:t>
      </w:r>
      <w:r w:rsidDel="00000000" w:rsidR="00000000" w:rsidRPr="00000000">
        <w:rPr>
          <w:rFonts w:ascii="Arial Narrow" w:cs="Arial Narrow" w:eastAsia="Arial Narrow" w:hAnsi="Arial Narrow"/>
          <w:b w:val="1"/>
          <w:sz w:val="22"/>
          <w:szCs w:val="22"/>
          <w:rtl w:val="0"/>
        </w:rPr>
        <w:t xml:space="preserve">gobierno corporativo</w:t>
      </w:r>
      <w:r w:rsidDel="00000000" w:rsidR="00000000" w:rsidRPr="00000000">
        <w:rPr>
          <w:rFonts w:ascii="Arial Narrow" w:cs="Arial Narrow" w:eastAsia="Arial Narrow" w:hAnsi="Arial Narrow"/>
          <w:sz w:val="22"/>
          <w:szCs w:val="22"/>
          <w:rtl w:val="0"/>
        </w:rPr>
        <w:t xml:space="preserve"> con reuniones periódicas y roles definidos, que permitan clarificar y establecer los asuntos estratégicos del grupo. </w:t>
      </w:r>
      <w:r w:rsidDel="00000000" w:rsidR="00000000" w:rsidRPr="00000000">
        <w:rPr>
          <w:rFonts w:ascii="Arial Narrow" w:cs="Arial Narrow" w:eastAsia="Arial Narrow" w:hAnsi="Arial Narrow"/>
          <w:b w:val="1"/>
          <w:sz w:val="22"/>
          <w:szCs w:val="22"/>
          <w:rtl w:val="0"/>
        </w:rPr>
        <w:t xml:space="preserve"> </w:t>
      </w:r>
    </w:p>
    <w:p w:rsidR="00000000" w:rsidDel="00000000" w:rsidP="00000000" w:rsidRDefault="00000000" w:rsidRPr="00000000" w14:paraId="0000004A">
      <w:pPr>
        <w:spacing w:line="276" w:lineRule="auto"/>
        <w:ind w:left="144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Beneficios</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4B">
      <w:pPr>
        <w:numPr>
          <w:ilvl w:val="0"/>
          <w:numId w:val="12"/>
        </w:numPr>
        <w:spacing w:after="0" w:afterAutospacing="0" w:before="24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Evita conflictos internos</w:t>
      </w:r>
      <w:r w:rsidDel="00000000" w:rsidR="00000000" w:rsidRPr="00000000">
        <w:rPr>
          <w:rFonts w:ascii="Arial Narrow" w:cs="Arial Narrow" w:eastAsia="Arial Narrow" w:hAnsi="Arial Narrow"/>
          <w:sz w:val="22"/>
          <w:szCs w:val="22"/>
          <w:rtl w:val="0"/>
        </w:rPr>
        <w:t xml:space="preserve">: En muchas PyMEs familiares o de socios amigos, los roles no están claros. Un buen marco de gobierno ayuda a definir funciones, responsabilidades y procesos de toma de decisiones.</w:t>
      </w:r>
    </w:p>
    <w:p w:rsidR="00000000" w:rsidDel="00000000" w:rsidP="00000000" w:rsidRDefault="00000000" w:rsidRPr="00000000" w14:paraId="0000004C">
      <w:pPr>
        <w:numPr>
          <w:ilvl w:val="0"/>
          <w:numId w:val="12"/>
        </w:numPr>
        <w:spacing w:after="0" w:afterAutospacing="0" w:before="0" w:beforeAutospacing="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Aumenta la profesionalización</w:t>
      </w:r>
      <w:r w:rsidDel="00000000" w:rsidR="00000000" w:rsidRPr="00000000">
        <w:rPr>
          <w:rFonts w:ascii="Arial Narrow" w:cs="Arial Narrow" w:eastAsia="Arial Narrow" w:hAnsi="Arial Narrow"/>
          <w:sz w:val="22"/>
          <w:szCs w:val="22"/>
          <w:rtl w:val="0"/>
        </w:rPr>
        <w:t xml:space="preserve">: Permite separar “la empresa de la persona”. Esto mejora la gestión, la planificación a largo plazo y reduce el riesgo de decisiones impulsivas.</w:t>
      </w:r>
    </w:p>
    <w:p w:rsidR="00000000" w:rsidDel="00000000" w:rsidP="00000000" w:rsidRDefault="00000000" w:rsidRPr="00000000" w14:paraId="0000004D">
      <w:pPr>
        <w:numPr>
          <w:ilvl w:val="0"/>
          <w:numId w:val="12"/>
        </w:numPr>
        <w:spacing w:after="0" w:afterAutospacing="0" w:before="0" w:beforeAutospacing="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Facilita el acceso a crédito e inversión: </w:t>
      </w:r>
      <w:r w:rsidDel="00000000" w:rsidR="00000000" w:rsidRPr="00000000">
        <w:rPr>
          <w:rFonts w:ascii="Arial Narrow" w:cs="Arial Narrow" w:eastAsia="Arial Narrow" w:hAnsi="Arial Narrow"/>
          <w:sz w:val="22"/>
          <w:szCs w:val="22"/>
          <w:rtl w:val="0"/>
        </w:rPr>
        <w:t xml:space="preserve">Bancos, inversores o potenciales socios valoran la transparencia, previsibilidad y control interno.</w:t>
      </w:r>
    </w:p>
    <w:p w:rsidR="00000000" w:rsidDel="00000000" w:rsidP="00000000" w:rsidRDefault="00000000" w:rsidRPr="00000000" w14:paraId="0000004E">
      <w:pPr>
        <w:numPr>
          <w:ilvl w:val="0"/>
          <w:numId w:val="12"/>
        </w:numPr>
        <w:spacing w:after="0" w:afterAutospacing="0" w:before="0" w:beforeAutospacing="0" w:line="276" w:lineRule="auto"/>
        <w:ind w:left="144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Prepara para el crecimiento o sucesión</w:t>
      </w:r>
      <w:r w:rsidDel="00000000" w:rsidR="00000000" w:rsidRPr="00000000">
        <w:rPr>
          <w:rFonts w:ascii="Arial Narrow" w:cs="Arial Narrow" w:eastAsia="Arial Narrow" w:hAnsi="Arial Narrow"/>
          <w:sz w:val="22"/>
          <w:szCs w:val="22"/>
          <w:rtl w:val="0"/>
        </w:rPr>
        <w:t xml:space="preserve">: Una PyME ordenada institucionalmente está mejor posicionada para escalar, vender, atraer socios o pasar a la siguiente generación.</w:t>
      </w:r>
    </w:p>
    <w:p w:rsidR="00000000" w:rsidDel="00000000" w:rsidP="00000000" w:rsidRDefault="00000000" w:rsidRPr="00000000" w14:paraId="0000004F">
      <w:pPr>
        <w:numPr>
          <w:ilvl w:val="0"/>
          <w:numId w:val="12"/>
        </w:numPr>
        <w:spacing w:after="0" w:afterAutospacing="0" w:before="0" w:beforeAutospacing="0" w:line="276" w:lineRule="auto"/>
        <w:ind w:left="720" w:hanging="360"/>
        <w:jc w:val="both"/>
        <w:rPr>
          <w:rFonts w:ascii="Arial Narrow" w:cs="Arial Narrow" w:eastAsia="Arial Narrow" w:hAnsi="Arial Narrow"/>
          <w:color w:val="ffffff"/>
          <w:sz w:val="22"/>
          <w:szCs w:val="22"/>
        </w:rPr>
      </w:pPr>
      <w:r w:rsidDel="00000000" w:rsidR="00000000" w:rsidRPr="00000000">
        <w:rPr>
          <w:rtl w:val="0"/>
        </w:rPr>
      </w:r>
    </w:p>
    <w:p w:rsidR="00000000" w:rsidDel="00000000" w:rsidP="00000000" w:rsidRDefault="00000000" w:rsidRPr="00000000" w14:paraId="00000050">
      <w:pPr>
        <w:numPr>
          <w:ilvl w:val="0"/>
          <w:numId w:val="15"/>
        </w:numPr>
        <w:spacing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Analizar la posibilidad de un </w:t>
      </w:r>
      <w:r w:rsidDel="00000000" w:rsidR="00000000" w:rsidRPr="00000000">
        <w:rPr>
          <w:rFonts w:ascii="Arial Narrow" w:cs="Arial Narrow" w:eastAsia="Arial Narrow" w:hAnsi="Arial Narrow"/>
          <w:b w:val="1"/>
          <w:sz w:val="22"/>
          <w:szCs w:val="22"/>
          <w:rtl w:val="0"/>
        </w:rPr>
        <w:t xml:space="preserve">CEO o administrador, </w:t>
      </w:r>
      <w:r w:rsidDel="00000000" w:rsidR="00000000" w:rsidRPr="00000000">
        <w:rPr>
          <w:rFonts w:ascii="Arial Narrow" w:cs="Arial Narrow" w:eastAsia="Arial Narrow" w:hAnsi="Arial Narrow"/>
          <w:sz w:val="22"/>
          <w:szCs w:val="22"/>
          <w:rtl w:val="0"/>
        </w:rPr>
        <w:t xml:space="preserve">que centralice la gestión de todo el grupo societario, o bien la redacción de un </w:t>
      </w:r>
      <w:r w:rsidDel="00000000" w:rsidR="00000000" w:rsidRPr="00000000">
        <w:rPr>
          <w:rFonts w:ascii="Arial Narrow" w:cs="Arial Narrow" w:eastAsia="Arial Narrow" w:hAnsi="Arial Narrow"/>
          <w:b w:val="1"/>
          <w:sz w:val="22"/>
          <w:szCs w:val="22"/>
          <w:rtl w:val="0"/>
        </w:rPr>
        <w:t xml:space="preserve">Acuerdo de Gobernabilidad </w:t>
      </w:r>
      <w:r w:rsidDel="00000000" w:rsidR="00000000" w:rsidRPr="00000000">
        <w:rPr>
          <w:rFonts w:ascii="Arial Narrow" w:cs="Arial Narrow" w:eastAsia="Arial Narrow" w:hAnsi="Arial Narrow"/>
          <w:sz w:val="22"/>
          <w:szCs w:val="22"/>
          <w:rtl w:val="0"/>
        </w:rPr>
        <w:t xml:space="preserve">que pueda o no ser instrumentado a partir del Protocolo de Accionistas, donde se fijarán los lineamientos para la toma de decisiones, independientemente de quien lleve las riendas de la operativa de las distintas sociedades del grupo.</w:t>
      </w:r>
    </w:p>
    <w:p w:rsidR="00000000" w:rsidDel="00000000" w:rsidP="00000000" w:rsidRDefault="00000000" w:rsidRPr="00000000" w14:paraId="00000051">
      <w:pPr>
        <w:pStyle w:val="Heading3"/>
        <w:keepNext w:val="0"/>
        <w:keepLines w:val="0"/>
        <w:spacing w:before="280" w:line="276" w:lineRule="auto"/>
        <w:ind w:firstLine="720"/>
        <w:jc w:val="both"/>
        <w:rPr>
          <w:rFonts w:ascii="Arial Narrow" w:cs="Arial Narrow" w:eastAsia="Arial Narrow" w:hAnsi="Arial Narrow"/>
          <w:color w:val="000000"/>
          <w:sz w:val="22"/>
          <w:szCs w:val="22"/>
        </w:rPr>
      </w:pPr>
      <w:bookmarkStart w:colFirst="0" w:colLast="0" w:name="_heading=h.skagu37d2l99" w:id="5"/>
      <w:bookmarkEnd w:id="5"/>
      <w:r w:rsidDel="00000000" w:rsidR="00000000" w:rsidRPr="00000000">
        <w:rPr>
          <w:rFonts w:ascii="Arial Narrow" w:cs="Arial Narrow" w:eastAsia="Arial Narrow" w:hAnsi="Arial Narrow"/>
          <w:b w:val="1"/>
          <w:color w:val="073763"/>
          <w:sz w:val="22"/>
          <w:szCs w:val="22"/>
          <w:u w:val="single"/>
          <w:rtl w:val="0"/>
        </w:rPr>
        <w:t xml:space="preserve">Planificación Estratégica.-</w:t>
      </w:r>
      <w:r w:rsidDel="00000000" w:rsidR="00000000" w:rsidRPr="00000000">
        <w:rPr>
          <w:rtl w:val="0"/>
        </w:rPr>
      </w:r>
    </w:p>
    <w:p w:rsidR="00000000" w:rsidDel="00000000" w:rsidP="00000000" w:rsidRDefault="00000000" w:rsidRPr="00000000" w14:paraId="00000052">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esta etapa de evolución y expansión del Grupo, se advierte como una oportunidad valiosa la formalización de un Plan Estratégico general, que permita alinear objetivos, ordenar prioridades y acompañar de manera consistente las decisiones que se tomen a nivel directivo y societario.</w:t>
      </w:r>
    </w:p>
    <w:p w:rsidR="00000000" w:rsidDel="00000000" w:rsidP="00000000" w:rsidRDefault="00000000" w:rsidRPr="00000000" w14:paraId="00000053">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implementación de una herramienta de planificación estratégica no solo facilitará el seguimiento de iniciativas en curso, sino que también contribuirá a reforzar la cultura organizacional, la claridad interna y la preparación del Grupo para escenarios de inversión, incorporación de nuevos socios o expansión regional.</w:t>
      </w:r>
    </w:p>
    <w:p w:rsidR="00000000" w:rsidDel="00000000" w:rsidP="00000000" w:rsidRDefault="00000000" w:rsidRPr="00000000" w14:paraId="00000054">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sugiere estructurar un Plan Estratégico revisable trimestralmente por el directorio (por quarters), con objetivos por unidad de negocio, indicadores medibles y responsables asignados, de modo que sirva como hoja de ruta compartida y base para la evaluación periódica de avances. Su institucionalización permitirá dar mayor solidez a la gestión y transformar la visión general del negocio en acciones concretas,</w:t>
      </w:r>
    </w:p>
    <w:p w:rsidR="00000000" w:rsidDel="00000000" w:rsidP="00000000" w:rsidRDefault="00000000" w:rsidRPr="00000000" w14:paraId="00000055">
      <w:pPr>
        <w:spacing w:line="276" w:lineRule="auto"/>
        <w:jc w:val="both"/>
        <w:rPr>
          <w:rFonts w:ascii="Arial Narrow" w:cs="Arial Narrow" w:eastAsia="Arial Narrow" w:hAnsi="Arial Narrow"/>
          <w:b w:val="1"/>
          <w:color w:val="073763"/>
          <w:sz w:val="22"/>
          <w:szCs w:val="22"/>
          <w:u w:val="single"/>
        </w:rPr>
      </w:pPr>
      <w:r w:rsidDel="00000000" w:rsidR="00000000" w:rsidRPr="00000000">
        <w:rPr>
          <w:rtl w:val="0"/>
        </w:rPr>
      </w:r>
    </w:p>
    <w:p w:rsidR="00000000" w:rsidDel="00000000" w:rsidP="00000000" w:rsidRDefault="00000000" w:rsidRPr="00000000" w14:paraId="00000056">
      <w:pPr>
        <w:spacing w:line="276" w:lineRule="auto"/>
        <w:ind w:firstLine="720"/>
        <w:jc w:val="both"/>
        <w:rPr>
          <w:rFonts w:ascii="Arial Narrow" w:cs="Arial Narrow" w:eastAsia="Arial Narrow" w:hAnsi="Arial Narrow"/>
          <w:b w:val="1"/>
          <w:color w:val="073763"/>
          <w:sz w:val="26"/>
          <w:szCs w:val="26"/>
          <w:u w:val="single"/>
        </w:rPr>
      </w:pPr>
      <w:r w:rsidDel="00000000" w:rsidR="00000000" w:rsidRPr="00000000">
        <w:rPr>
          <w:rFonts w:ascii="Arial Narrow" w:cs="Arial Narrow" w:eastAsia="Arial Narrow" w:hAnsi="Arial Narrow"/>
          <w:b w:val="1"/>
          <w:color w:val="073763"/>
          <w:sz w:val="26"/>
          <w:szCs w:val="26"/>
          <w:rtl w:val="0"/>
        </w:rPr>
        <w:t xml:space="preserve">C. </w:t>
      </w:r>
      <w:r w:rsidDel="00000000" w:rsidR="00000000" w:rsidRPr="00000000">
        <w:rPr>
          <w:rFonts w:ascii="Arial Narrow" w:cs="Arial Narrow" w:eastAsia="Arial Narrow" w:hAnsi="Arial Narrow"/>
          <w:b w:val="1"/>
          <w:color w:val="073763"/>
          <w:sz w:val="26"/>
          <w:szCs w:val="26"/>
          <w:u w:val="single"/>
          <w:rtl w:val="0"/>
        </w:rPr>
        <w:t xml:space="preserve">Relaciones Corporativas, Comerciales y </w:t>
      </w:r>
      <w:r w:rsidDel="00000000" w:rsidR="00000000" w:rsidRPr="00000000">
        <w:rPr>
          <w:rFonts w:ascii="Arial Narrow" w:cs="Arial Narrow" w:eastAsia="Arial Narrow" w:hAnsi="Arial Narrow"/>
          <w:b w:val="1"/>
          <w:color w:val="073763"/>
          <w:sz w:val="26"/>
          <w:szCs w:val="26"/>
          <w:u w:val="single"/>
          <w:rtl w:val="0"/>
        </w:rPr>
        <w:t xml:space="preserve">Cont</w:t>
      </w:r>
      <w:r w:rsidDel="00000000" w:rsidR="00000000" w:rsidRPr="00000000">
        <w:rPr>
          <w:rFonts w:ascii="Arial Narrow" w:cs="Arial Narrow" w:eastAsia="Arial Narrow" w:hAnsi="Arial Narrow"/>
          <w:b w:val="1"/>
          <w:color w:val="073763"/>
          <w:sz w:val="26"/>
          <w:szCs w:val="26"/>
          <w:u w:val="single"/>
          <w:rtl w:val="0"/>
        </w:rPr>
        <w:t xml:space="preserve">ractuales.-</w:t>
      </w:r>
    </w:p>
    <w:p w:rsidR="00000000" w:rsidDel="00000000" w:rsidP="00000000" w:rsidRDefault="00000000" w:rsidRPr="00000000" w14:paraId="00000057">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Con respecto a la esfera Contractual, hemos podido relevar </w:t>
      </w:r>
      <w:r w:rsidDel="00000000" w:rsidR="00000000" w:rsidRPr="00000000">
        <w:rPr>
          <w:rFonts w:ascii="Arial Narrow" w:cs="Arial Narrow" w:eastAsia="Arial Narrow" w:hAnsi="Arial Narrow"/>
          <w:sz w:val="22"/>
          <w:szCs w:val="22"/>
          <w:u w:val="single"/>
          <w:rtl w:val="0"/>
        </w:rPr>
        <w:t xml:space="preserve">únicamente</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b w:val="1"/>
          <w:sz w:val="22"/>
          <w:szCs w:val="22"/>
          <w:rtl w:val="0"/>
        </w:rPr>
        <w:t xml:space="preserve">UN </w:t>
      </w:r>
      <w:r w:rsidDel="00000000" w:rsidR="00000000" w:rsidRPr="00000000">
        <w:rPr>
          <w:rFonts w:ascii="Arial Narrow" w:cs="Arial Narrow" w:eastAsia="Arial Narrow" w:hAnsi="Arial Narrow"/>
          <w:sz w:val="22"/>
          <w:szCs w:val="22"/>
          <w:rtl w:val="0"/>
        </w:rPr>
        <w:t xml:space="preserve">contrato comercial suscrito entre Supply y Toppan Hogier S.A.S., mediante el cual la primera se consagró parte distribuidora de la segunda.</w:t>
        <w:br w:type="textWrapping"/>
      </w:r>
    </w:p>
    <w:p w:rsidR="00000000" w:rsidDel="00000000" w:rsidP="00000000" w:rsidRDefault="00000000" w:rsidRPr="00000000" w14:paraId="00000058">
      <w:pPr>
        <w:spacing w:line="276" w:lineRule="auto"/>
        <w:jc w:val="both"/>
        <w:rPr>
          <w:rFonts w:ascii="Arial Narrow" w:cs="Arial Narrow" w:eastAsia="Arial Narrow" w:hAnsi="Arial Narrow"/>
          <w:b w:val="1"/>
          <w:color w:val="000000"/>
          <w:sz w:val="22"/>
          <w:szCs w:val="22"/>
        </w:rPr>
      </w:pPr>
      <w:r w:rsidDel="00000000" w:rsidR="00000000" w:rsidRPr="00000000">
        <w:rPr>
          <w:rFonts w:ascii="Arial Narrow" w:cs="Arial Narrow" w:eastAsia="Arial Narrow" w:hAnsi="Arial Narrow"/>
          <w:sz w:val="22"/>
          <w:szCs w:val="22"/>
          <w:rtl w:val="0"/>
        </w:rPr>
        <w:t xml:space="preserve">En tal sentido, tras su revisión y la posibilidad de firmar nuevamente el Contrato, hemos logrado incorporar una serie de modificaciones a su favor, las cuales detallamos a continuación:</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002.2175732217574"/>
        <w:gridCol w:w="2868.702928870293"/>
        <w:gridCol w:w="2149.07949790795"/>
        <w:tblGridChange w:id="0">
          <w:tblGrid>
            <w:gridCol w:w="2340"/>
            <w:gridCol w:w="2002.2175732217574"/>
            <w:gridCol w:w="2868.702928870293"/>
            <w:gridCol w:w="2149.0794979079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76" w:lineRule="auto"/>
              <w:jc w:val="left"/>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Materia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Carta Oferta (Versión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Contrato Rev. 21_04 (Versión 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76" w:lineRule="auto"/>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Mejora lograda</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Exclusividad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76"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shd w:fill="f4cccc" w:val="clear"/>
                <w:rtl w:val="0"/>
              </w:rPr>
              <w:t xml:space="preserve">No exclusiva</w:t>
            </w:r>
            <w:r w:rsidDel="00000000" w:rsidR="00000000" w:rsidRPr="00000000">
              <w:rPr>
                <w:rFonts w:ascii="Arial Narrow" w:cs="Arial Narrow" w:eastAsia="Arial Narrow" w:hAnsi="Arial Narrow"/>
                <w:sz w:val="22"/>
                <w:szCs w:val="22"/>
                <w:rtl w:val="0"/>
              </w:rPr>
              <w:t xml:space="preserve">. Proveedor podía operar con terceros.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Exclusividad irrevocable en el territorio, sin posibilidad de ventas directas ni nuevos intermediarios.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76" w:lineRule="auto"/>
              <w:jc w:val="both"/>
              <w:rPr>
                <w:rFonts w:ascii="Arial Narrow" w:cs="Arial Narrow" w:eastAsia="Arial Narrow" w:hAnsi="Arial Narrow"/>
                <w:sz w:val="22"/>
                <w:szCs w:val="22"/>
                <w:shd w:fill="d9ead3" w:val="clear"/>
              </w:rPr>
            </w:pPr>
            <w:r w:rsidDel="00000000" w:rsidR="00000000" w:rsidRPr="00000000">
              <w:rPr>
                <w:rFonts w:ascii="Arial Narrow" w:cs="Arial Narrow" w:eastAsia="Arial Narrow" w:hAnsi="Arial Narrow"/>
                <w:sz w:val="22"/>
                <w:szCs w:val="22"/>
                <w:shd w:fill="d9ead3" w:val="clear"/>
                <w:rtl w:val="0"/>
              </w:rPr>
              <w:t xml:space="preserve">Protección integral del canal de distribución del cliente.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Territorio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76" w:lineRule="auto"/>
              <w:jc w:val="both"/>
              <w:rPr>
                <w:rFonts w:ascii="Arial Narrow" w:cs="Arial Narrow" w:eastAsia="Arial Narrow" w:hAnsi="Arial Narrow"/>
                <w:sz w:val="22"/>
                <w:szCs w:val="22"/>
                <w:shd w:fill="f4cccc" w:val="clear"/>
              </w:rPr>
            </w:pPr>
            <w:r w:rsidDel="00000000" w:rsidR="00000000" w:rsidRPr="00000000">
              <w:rPr>
                <w:rFonts w:ascii="Arial Narrow" w:cs="Arial Narrow" w:eastAsia="Arial Narrow" w:hAnsi="Arial Narrow"/>
                <w:sz w:val="22"/>
                <w:szCs w:val="22"/>
                <w:shd w:fill="f4cccc" w:val="clear"/>
                <w:rtl w:val="0"/>
              </w:rPr>
              <w:t xml:space="preserve">Solo Argentina.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76" w:lineRule="auto"/>
              <w:jc w:val="both"/>
              <w:rPr>
                <w:rFonts w:ascii="Arial Narrow" w:cs="Arial Narrow" w:eastAsia="Arial Narrow" w:hAnsi="Arial Narrow"/>
                <w:sz w:val="22"/>
                <w:szCs w:val="22"/>
                <w:shd w:fill="d9ead3" w:val="clear"/>
              </w:rPr>
            </w:pPr>
            <w:r w:rsidDel="00000000" w:rsidR="00000000" w:rsidRPr="00000000">
              <w:rPr>
                <w:rFonts w:ascii="Arial Narrow" w:cs="Arial Narrow" w:eastAsia="Arial Narrow" w:hAnsi="Arial Narrow"/>
                <w:sz w:val="22"/>
                <w:szCs w:val="22"/>
                <w:shd w:fill="d9ead3" w:val="clear"/>
                <w:rtl w:val="0"/>
              </w:rPr>
              <w:t xml:space="preserve">Expansión a Argentina, Chile, Uruguay, Paraguay y Bolivia.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Ampliación significativa del mercado objetivo.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Resolución de controversias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shd w:fill="f4cccc" w:val="clear"/>
                <w:rtl w:val="0"/>
              </w:rPr>
              <w:t xml:space="preserve">Arbitraje en Bogotá</w:t>
            </w:r>
            <w:r w:rsidDel="00000000" w:rsidR="00000000" w:rsidRPr="00000000">
              <w:rPr>
                <w:rFonts w:ascii="Arial Narrow" w:cs="Arial Narrow" w:eastAsia="Arial Narrow" w:hAnsi="Arial Narrow"/>
                <w:sz w:val="22"/>
                <w:szCs w:val="22"/>
                <w:rtl w:val="0"/>
              </w:rPr>
              <w:t xml:space="preserve"> (jurisdicción extranjera).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Tribunales ordinarios de </w:t>
            </w:r>
            <w:r w:rsidDel="00000000" w:rsidR="00000000" w:rsidRPr="00000000">
              <w:rPr>
                <w:rFonts w:ascii="Arial Narrow" w:cs="Arial Narrow" w:eastAsia="Arial Narrow" w:hAnsi="Arial Narrow"/>
                <w:sz w:val="22"/>
                <w:szCs w:val="22"/>
                <w:shd w:fill="d9ead3" w:val="clear"/>
                <w:rtl w:val="0"/>
              </w:rPr>
              <w:t xml:space="preserve">CABA</w:t>
            </w:r>
            <w:r w:rsidDel="00000000" w:rsidR="00000000" w:rsidRPr="00000000">
              <w:rPr>
                <w:rFonts w:ascii="Arial Narrow" w:cs="Arial Narrow" w:eastAsia="Arial Narrow" w:hAnsi="Arial Narrow"/>
                <w:sz w:val="22"/>
                <w:szCs w:val="22"/>
                <w:rtl w:val="0"/>
              </w:rPr>
              <w:t xml:space="preserve">, Argentina.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Seguridad jurídica y ahorro en costos procesales.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Ley aplicable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shd w:fill="f4cccc" w:val="clear"/>
                <w:rtl w:val="0"/>
              </w:rPr>
              <w:t xml:space="preserve">Colombia</w:t>
            </w:r>
            <w:r w:rsidDel="00000000" w:rsidR="00000000" w:rsidRPr="00000000">
              <w:rPr>
                <w:rFonts w:ascii="Arial Narrow" w:cs="Arial Narrow" w:eastAsia="Arial Narrow" w:hAnsi="Arial Narrow"/>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76" w:lineRule="auto"/>
              <w:jc w:val="both"/>
              <w:rPr>
                <w:rFonts w:ascii="Arial Narrow" w:cs="Arial Narrow" w:eastAsia="Arial Narrow" w:hAnsi="Arial Narrow"/>
                <w:sz w:val="22"/>
                <w:szCs w:val="22"/>
                <w:shd w:fill="d9ead3" w:val="clear"/>
              </w:rPr>
            </w:pPr>
            <w:r w:rsidDel="00000000" w:rsidR="00000000" w:rsidRPr="00000000">
              <w:rPr>
                <w:rFonts w:ascii="Arial Narrow" w:cs="Arial Narrow" w:eastAsia="Arial Narrow" w:hAnsi="Arial Narrow"/>
                <w:sz w:val="22"/>
                <w:szCs w:val="22"/>
                <w:shd w:fill="d9ead3" w:val="clear"/>
                <w:rtl w:val="0"/>
              </w:rPr>
              <w:t xml:space="preserve">República Argentina.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Coherencia legal y previsibilidad para Supply.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76"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No competencia postcontractual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shd w:fill="f4cccc" w:val="clear"/>
                <w:rtl w:val="0"/>
              </w:rPr>
              <w:t xml:space="preserve">3 años</w:t>
            </w:r>
            <w:r w:rsidDel="00000000" w:rsidR="00000000" w:rsidRPr="00000000">
              <w:rPr>
                <w:rFonts w:ascii="Arial Narrow" w:cs="Arial Narrow" w:eastAsia="Arial Narrow" w:hAnsi="Arial Narrow"/>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shd w:fill="d9ead3" w:val="clear"/>
                <w:rtl w:val="0"/>
              </w:rPr>
              <w:t xml:space="preserve">Reducido a 1 año</w:t>
            </w:r>
            <w:r w:rsidDel="00000000" w:rsidR="00000000" w:rsidRPr="00000000">
              <w:rPr>
                <w:rFonts w:ascii="Arial Narrow" w:cs="Arial Narrow" w:eastAsia="Arial Narrow" w:hAnsi="Arial Narrow"/>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76"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Reducción de restricciones abusivas post vínculo.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76"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Indemnización por uso de información confidencial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shd w:fill="f4cccc" w:val="clear"/>
                <w:rtl w:val="0"/>
              </w:rPr>
              <w:t xml:space="preserve">No especificada</w:t>
            </w:r>
            <w:r w:rsidDel="00000000" w:rsidR="00000000" w:rsidRPr="00000000">
              <w:rPr>
                <w:rFonts w:ascii="Arial Narrow" w:cs="Arial Narrow" w:eastAsia="Arial Narrow" w:hAnsi="Arial Narrow"/>
                <w:sz w:val="22"/>
                <w:szCs w:val="22"/>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76" w:lineRule="auto"/>
              <w:jc w:val="both"/>
              <w:rPr>
                <w:rFonts w:ascii="Arial Narrow" w:cs="Arial Narrow" w:eastAsia="Arial Narrow" w:hAnsi="Arial Narrow"/>
                <w:sz w:val="22"/>
                <w:szCs w:val="22"/>
                <w:shd w:fill="d9ead3" w:val="clear"/>
              </w:rPr>
            </w:pPr>
            <w:r w:rsidDel="00000000" w:rsidR="00000000" w:rsidRPr="00000000">
              <w:rPr>
                <w:rFonts w:ascii="Arial Narrow" w:cs="Arial Narrow" w:eastAsia="Arial Narrow" w:hAnsi="Arial Narrow"/>
                <w:sz w:val="22"/>
                <w:szCs w:val="22"/>
                <w:rtl w:val="0"/>
              </w:rPr>
              <w:t xml:space="preserve">Multa equivalente a </w:t>
            </w:r>
            <w:r w:rsidDel="00000000" w:rsidR="00000000" w:rsidRPr="00000000">
              <w:rPr>
                <w:rFonts w:ascii="Arial Narrow" w:cs="Arial Narrow" w:eastAsia="Arial Narrow" w:hAnsi="Arial Narrow"/>
                <w:sz w:val="22"/>
                <w:szCs w:val="22"/>
                <w:shd w:fill="d9ead3" w:val="clear"/>
                <w:rtl w:val="0"/>
              </w:rPr>
              <w:t xml:space="preserve">5 veces la mejor facturación anual de Supply.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Disuasión efectiva del uso indebido de know-how.</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76"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Obligaciones post rescisión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76" w:lineRule="auto"/>
              <w:jc w:val="both"/>
              <w:rPr>
                <w:rFonts w:ascii="Arial Narrow" w:cs="Arial Narrow" w:eastAsia="Arial Narrow" w:hAnsi="Arial Narrow"/>
                <w:sz w:val="22"/>
                <w:szCs w:val="22"/>
                <w:shd w:fill="f4cccc" w:val="clear"/>
              </w:rPr>
            </w:pPr>
            <w:r w:rsidDel="00000000" w:rsidR="00000000" w:rsidRPr="00000000">
              <w:rPr>
                <w:rFonts w:ascii="Arial Narrow" w:cs="Arial Narrow" w:eastAsia="Arial Narrow" w:hAnsi="Arial Narrow"/>
                <w:sz w:val="22"/>
                <w:szCs w:val="22"/>
                <w:shd w:fill="f4cccc" w:val="clear"/>
                <w:rtl w:val="0"/>
              </w:rPr>
              <w:t xml:space="preserve">No previstas.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Obligación del proveedor de </w:t>
            </w:r>
            <w:r w:rsidDel="00000000" w:rsidR="00000000" w:rsidRPr="00000000">
              <w:rPr>
                <w:rFonts w:ascii="Arial Narrow" w:cs="Arial Narrow" w:eastAsia="Arial Narrow" w:hAnsi="Arial Narrow"/>
                <w:sz w:val="22"/>
                <w:szCs w:val="22"/>
                <w:shd w:fill="d9ead3" w:val="clear"/>
                <w:rtl w:val="0"/>
              </w:rPr>
              <w:t xml:space="preserve">garantizar suministro por 90 días</w:t>
            </w:r>
            <w:r w:rsidDel="00000000" w:rsidR="00000000" w:rsidRPr="00000000">
              <w:rPr>
                <w:rFonts w:ascii="Arial Narrow" w:cs="Arial Narrow" w:eastAsia="Arial Narrow" w:hAnsi="Arial Narrow"/>
                <w:sz w:val="22"/>
                <w:szCs w:val="22"/>
                <w:rtl w:val="0"/>
              </w:rPr>
              <w:t xml:space="preserve"> en transición.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Mitigación de impacto operativo ante ruptura del vínculo.</w:t>
            </w:r>
          </w:p>
        </w:tc>
      </w:tr>
    </w:tbl>
    <w:p w:rsidR="00000000" w:rsidDel="00000000" w:rsidP="00000000" w:rsidRDefault="00000000" w:rsidRPr="00000000" w14:paraId="00000079">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otro lado, también hemos podido revisar otro Contrato comercial con </w:t>
      </w:r>
      <w:r w:rsidDel="00000000" w:rsidR="00000000" w:rsidRPr="00000000">
        <w:rPr>
          <w:rFonts w:ascii="Arial Narrow" w:cs="Arial Narrow" w:eastAsia="Arial Narrow" w:hAnsi="Arial Narrow"/>
          <w:sz w:val="22"/>
          <w:szCs w:val="22"/>
          <w:u w:val="single"/>
          <w:rtl w:val="0"/>
        </w:rPr>
        <w:t xml:space="preserve">Insumos Comerciales</w:t>
      </w:r>
      <w:r w:rsidDel="00000000" w:rsidR="00000000" w:rsidRPr="00000000">
        <w:rPr>
          <w:rFonts w:ascii="Arial Narrow" w:cs="Arial Narrow" w:eastAsia="Arial Narrow" w:hAnsi="Arial Narrow"/>
          <w:sz w:val="22"/>
          <w:szCs w:val="22"/>
          <w:rtl w:val="0"/>
        </w:rPr>
        <w:t xml:space="preserve">, en el marco del cual SUPPLY cumple la función de </w:t>
      </w:r>
      <w:r w:rsidDel="00000000" w:rsidR="00000000" w:rsidRPr="00000000">
        <w:rPr>
          <w:rFonts w:ascii="Arial Narrow" w:cs="Arial Narrow" w:eastAsia="Arial Narrow" w:hAnsi="Arial Narrow"/>
          <w:b w:val="1"/>
          <w:sz w:val="22"/>
          <w:szCs w:val="22"/>
          <w:rtl w:val="0"/>
        </w:rPr>
        <w:t xml:space="preserve">referenciar o derivar clientes comerciales a favor de mencionada empresa</w:t>
      </w:r>
      <w:r w:rsidDel="00000000" w:rsidR="00000000" w:rsidRPr="00000000">
        <w:rPr>
          <w:rFonts w:ascii="Arial Narrow" w:cs="Arial Narrow" w:eastAsia="Arial Narrow" w:hAnsi="Arial Narrow"/>
          <w:sz w:val="22"/>
          <w:szCs w:val="22"/>
          <w:rtl w:val="0"/>
        </w:rPr>
        <w:t xml:space="preserve">. A cambio, SUPPLY percibe una </w:t>
      </w:r>
      <w:r w:rsidDel="00000000" w:rsidR="00000000" w:rsidRPr="00000000">
        <w:rPr>
          <w:rFonts w:ascii="Arial Narrow" w:cs="Arial Narrow" w:eastAsia="Arial Narrow" w:hAnsi="Arial Narrow"/>
          <w:sz w:val="22"/>
          <w:szCs w:val="22"/>
          <w:u w:val="single"/>
          <w:rtl w:val="0"/>
        </w:rPr>
        <w:t xml:space="preserve">comisión </w:t>
      </w:r>
      <w:r w:rsidDel="00000000" w:rsidR="00000000" w:rsidRPr="00000000">
        <w:rPr>
          <w:rFonts w:ascii="Arial Narrow" w:cs="Arial Narrow" w:eastAsia="Arial Narrow" w:hAnsi="Arial Narrow"/>
          <w:sz w:val="22"/>
          <w:szCs w:val="22"/>
          <w:rtl w:val="0"/>
        </w:rPr>
        <w:t xml:space="preserve">sobre las operaciones que el contratista efectivamente realice con dichos clientes.</w:t>
      </w:r>
    </w:p>
    <w:p w:rsidR="00000000" w:rsidDel="00000000" w:rsidP="00000000" w:rsidRDefault="00000000" w:rsidRPr="00000000" w14:paraId="0000007A">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 bien se trata de un esquema típicamente utilizado en relaciones de intermediación o derivación comercial, el contrato contiene varias deficiencias formales y estructurales que afectan la seguridad jurídica y económica de SUPPLY, quien resulta ser motor de generación de negocios, pero queda jurídicamente expuesto y desprotegido.</w:t>
      </w:r>
    </w:p>
    <w:p w:rsidR="00000000" w:rsidDel="00000000" w:rsidP="00000000" w:rsidRDefault="00000000" w:rsidRPr="00000000" w14:paraId="0000007B">
      <w:pPr>
        <w:pStyle w:val="Heading3"/>
        <w:keepNext w:val="0"/>
        <w:keepLines w:val="0"/>
        <w:spacing w:before="280" w:line="276" w:lineRule="auto"/>
        <w:jc w:val="both"/>
        <w:rPr>
          <w:rFonts w:ascii="Arial Narrow" w:cs="Arial Narrow" w:eastAsia="Arial Narrow" w:hAnsi="Arial Narrow"/>
          <w:color w:val="000000"/>
          <w:sz w:val="22"/>
          <w:szCs w:val="22"/>
        </w:rPr>
      </w:pPr>
      <w:bookmarkStart w:colFirst="0" w:colLast="0" w:name="_heading=h.qvy3xp6zdpw7" w:id="6"/>
      <w:bookmarkEnd w:id="6"/>
      <w:r w:rsidDel="00000000" w:rsidR="00000000" w:rsidRPr="00000000">
        <w:rPr>
          <w:rFonts w:ascii="Arial Narrow" w:cs="Arial Narrow" w:eastAsia="Arial Narrow" w:hAnsi="Arial Narrow"/>
          <w:color w:val="000000"/>
          <w:sz w:val="22"/>
          <w:szCs w:val="22"/>
          <w:rtl w:val="0"/>
        </w:rPr>
        <w:t xml:space="preserve">Entre las principales observaciones legales y riesgos detectados se encuentran:</w:t>
      </w:r>
    </w:p>
    <w:p w:rsidR="00000000" w:rsidDel="00000000" w:rsidP="00000000" w:rsidRDefault="00000000" w:rsidRPr="00000000" w14:paraId="0000007C">
      <w:pPr>
        <w:numPr>
          <w:ilvl w:val="0"/>
          <w:numId w:val="28"/>
        </w:numPr>
        <w:spacing w:after="0" w:afterAutospacing="0" w:before="240"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Redacción ambigua del rol de SUPPLY</w:t>
      </w:r>
      <w:r w:rsidDel="00000000" w:rsidR="00000000" w:rsidRPr="00000000">
        <w:rPr>
          <w:rFonts w:ascii="Arial Narrow" w:cs="Arial Narrow" w:eastAsia="Arial Narrow" w:hAnsi="Arial Narrow"/>
          <w:sz w:val="22"/>
          <w:szCs w:val="22"/>
          <w:rtl w:val="0"/>
        </w:rPr>
        <w:t xml:space="preserve">: Aunque el contrato define a SUPPLY como el “gestor de la relación comercial”, no se establece con claridad que no tendrá intervención operativa posterior a la generación del vínculo. Esta falta de precisión puede generar confusión sobre su rol y responsabilidades, y deja espacio a interpretaciones que podrían comprometer a SUPPLY frente al cliente o a terceros.</w:t>
        <w:br w:type="textWrapping"/>
      </w:r>
    </w:p>
    <w:p w:rsidR="00000000" w:rsidDel="00000000" w:rsidP="00000000" w:rsidRDefault="00000000" w:rsidRPr="00000000" w14:paraId="0000007D">
      <w:pPr>
        <w:numPr>
          <w:ilvl w:val="0"/>
          <w:numId w:val="28"/>
        </w:numPr>
        <w:spacing w:after="240" w:before="0" w:beforeAutospacing="0" w:line="276"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u w:val="single"/>
          <w:rtl w:val="0"/>
        </w:rPr>
        <w:t xml:space="preserve">Indeterminación del plazo de pago, de mora automática y falta de cláusulas “gatillo” y penalidades ante el incumplimiento en el pago de comisiones</w:t>
      </w:r>
      <w:r w:rsidDel="00000000" w:rsidR="00000000" w:rsidRPr="00000000">
        <w:rPr>
          <w:rFonts w:ascii="Arial Narrow" w:cs="Arial Narrow" w:eastAsia="Arial Narrow" w:hAnsi="Arial Narrow"/>
          <w:sz w:val="22"/>
          <w:szCs w:val="22"/>
          <w:rtl w:val="0"/>
        </w:rPr>
        <w:t xml:space="preserve">: Supply queda expuesto y sin herramientas contractuales ante la mora y/o incumplimiento por parte del contratista de las comisiones pactadas.</w:t>
      </w:r>
      <w:r w:rsidDel="00000000" w:rsidR="00000000" w:rsidRPr="00000000">
        <w:rPr>
          <w:rtl w:val="0"/>
        </w:rPr>
      </w:r>
    </w:p>
    <w:p w:rsidR="00000000" w:rsidDel="00000000" w:rsidP="00000000" w:rsidRDefault="00000000" w:rsidRPr="00000000" w14:paraId="0000007E">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pos de mejorar la estructura contractual comercial de Supply para con sus representadas y preponentes, y sin perjuicio de las revisiones particulares de cada contratación, hemos trabajado en la elaboración de un modelo de </w:t>
      </w:r>
      <w:r w:rsidDel="00000000" w:rsidR="00000000" w:rsidRPr="00000000">
        <w:rPr>
          <w:rFonts w:ascii="Arial Narrow" w:cs="Arial Narrow" w:eastAsia="Arial Narrow" w:hAnsi="Arial Narrow"/>
          <w:sz w:val="22"/>
          <w:szCs w:val="22"/>
          <w:u w:val="single"/>
          <w:rtl w:val="0"/>
        </w:rPr>
        <w:t xml:space="preserve">Contrato de Distribución</w:t>
      </w:r>
      <w:r w:rsidDel="00000000" w:rsidR="00000000" w:rsidRPr="00000000">
        <w:rPr>
          <w:rFonts w:ascii="Arial Narrow" w:cs="Arial Narrow" w:eastAsia="Arial Narrow" w:hAnsi="Arial Narrow"/>
          <w:sz w:val="22"/>
          <w:szCs w:val="22"/>
          <w:rtl w:val="0"/>
        </w:rPr>
        <w:t xml:space="preserve"> y un modelo de </w:t>
      </w:r>
      <w:r w:rsidDel="00000000" w:rsidR="00000000" w:rsidRPr="00000000">
        <w:rPr>
          <w:rFonts w:ascii="Arial Narrow" w:cs="Arial Narrow" w:eastAsia="Arial Narrow" w:hAnsi="Arial Narrow"/>
          <w:sz w:val="22"/>
          <w:szCs w:val="22"/>
          <w:u w:val="single"/>
          <w:rtl w:val="0"/>
        </w:rPr>
        <w:t xml:space="preserve">Contrato de </w:t>
      </w:r>
      <w:r w:rsidDel="00000000" w:rsidR="00000000" w:rsidRPr="00000000">
        <w:rPr>
          <w:rFonts w:ascii="Arial Narrow" w:cs="Arial Narrow" w:eastAsia="Arial Narrow" w:hAnsi="Arial Narrow"/>
          <w:i w:val="1"/>
          <w:sz w:val="22"/>
          <w:szCs w:val="22"/>
          <w:u w:val="single"/>
          <w:rtl w:val="0"/>
        </w:rPr>
        <w:t xml:space="preserve">Referral Fee</w:t>
      </w:r>
      <w:r w:rsidDel="00000000" w:rsidR="00000000" w:rsidRPr="00000000">
        <w:rPr>
          <w:rFonts w:ascii="Arial Narrow" w:cs="Arial Narrow" w:eastAsia="Arial Narrow" w:hAnsi="Arial Narrow"/>
          <w:sz w:val="22"/>
          <w:szCs w:val="22"/>
          <w:rtl w:val="0"/>
        </w:rPr>
        <w:t xml:space="preserve">, con las previsiones necesarias tendientes a la protección de Supply como distribuidora y/o referrer de la relación comercial.</w:t>
      </w:r>
    </w:p>
    <w:p w:rsidR="00000000" w:rsidDel="00000000" w:rsidP="00000000" w:rsidRDefault="00000000" w:rsidRPr="00000000" w14:paraId="0000007F">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lo que respecta a los </w:t>
      </w:r>
      <w:r w:rsidDel="00000000" w:rsidR="00000000" w:rsidRPr="00000000">
        <w:rPr>
          <w:rFonts w:ascii="Arial Narrow" w:cs="Arial Narrow" w:eastAsia="Arial Narrow" w:hAnsi="Arial Narrow"/>
          <w:b w:val="1"/>
          <w:sz w:val="22"/>
          <w:szCs w:val="22"/>
          <w:u w:val="single"/>
          <w:rtl w:val="0"/>
        </w:rPr>
        <w:t xml:space="preserve">clientes</w:t>
      </w:r>
      <w:r w:rsidDel="00000000" w:rsidR="00000000" w:rsidRPr="00000000">
        <w:rPr>
          <w:rFonts w:ascii="Arial Narrow" w:cs="Arial Narrow" w:eastAsia="Arial Narrow" w:hAnsi="Arial Narrow"/>
          <w:sz w:val="22"/>
          <w:szCs w:val="22"/>
          <w:rtl w:val="0"/>
        </w:rPr>
        <w:t xml:space="preserve">, sugerimos avanzar con la redacción de los contratos correspondientes tendientes a regular cada una de las relaciones, permitiendo establecer con claridad los derechos, obligaciones y alcances del vínculo contractual. Dichos acuerdos, además de brindar seguridad jurídica, </w:t>
      </w:r>
      <w:r w:rsidDel="00000000" w:rsidR="00000000" w:rsidRPr="00000000">
        <w:rPr>
          <w:rFonts w:ascii="Arial Narrow" w:cs="Arial Narrow" w:eastAsia="Arial Narrow" w:hAnsi="Arial Narrow"/>
          <w:sz w:val="22"/>
          <w:szCs w:val="22"/>
          <w:u w:val="single"/>
          <w:rtl w:val="0"/>
        </w:rPr>
        <w:t xml:space="preserve">facilitan la prevención de conflictos</w:t>
      </w:r>
      <w:r w:rsidDel="00000000" w:rsidR="00000000" w:rsidRPr="00000000">
        <w:rPr>
          <w:rFonts w:ascii="Arial Narrow" w:cs="Arial Narrow" w:eastAsia="Arial Narrow" w:hAnsi="Arial Narrow"/>
          <w:sz w:val="22"/>
          <w:szCs w:val="22"/>
          <w:rtl w:val="0"/>
        </w:rPr>
        <w:t xml:space="preserve"> al fijar pautas precisas respecto a los servicios a prestar, los plazos, las condiciones económicas y las responsabilidades asumidas por cada parte. En caso de controversia, el acuerdo firmado constituye una prueba documental fehaciente que puede ser utilizada en sede judicial o extrajudicial para hacer valer los derechos derivados del contrato.</w:t>
      </w:r>
    </w:p>
    <w:p w:rsidR="00000000" w:rsidDel="00000000" w:rsidP="00000000" w:rsidRDefault="00000000" w:rsidRPr="00000000" w14:paraId="00000080">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lo que respecta a los contratos con los </w:t>
      </w:r>
      <w:r w:rsidDel="00000000" w:rsidR="00000000" w:rsidRPr="00000000">
        <w:rPr>
          <w:rFonts w:ascii="Arial Narrow" w:cs="Arial Narrow" w:eastAsia="Arial Narrow" w:hAnsi="Arial Narrow"/>
          <w:sz w:val="22"/>
          <w:szCs w:val="22"/>
          <w:u w:val="single"/>
          <w:rtl w:val="0"/>
        </w:rPr>
        <w:t xml:space="preserve">prestadores de servicios</w:t>
      </w:r>
      <w:r w:rsidDel="00000000" w:rsidR="00000000" w:rsidRPr="00000000">
        <w:rPr>
          <w:rFonts w:ascii="Arial Narrow" w:cs="Arial Narrow" w:eastAsia="Arial Narrow" w:hAnsi="Arial Narrow"/>
          <w:sz w:val="22"/>
          <w:szCs w:val="22"/>
          <w:rtl w:val="0"/>
        </w:rPr>
        <w:t xml:space="preserve">, habiendo hecho una </w:t>
      </w:r>
      <w:r w:rsidDel="00000000" w:rsidR="00000000" w:rsidRPr="00000000">
        <w:rPr>
          <w:rFonts w:ascii="Arial Narrow" w:cs="Arial Narrow" w:eastAsia="Arial Narrow" w:hAnsi="Arial Narrow"/>
          <w:sz w:val="22"/>
          <w:szCs w:val="22"/>
          <w:rtl w:val="0"/>
        </w:rPr>
        <w:t xml:space="preserve">revisión</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sz w:val="22"/>
          <w:szCs w:val="22"/>
          <w:rtl w:val="0"/>
        </w:rPr>
        <w:t xml:space="preserve">del</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sz w:val="22"/>
          <w:szCs w:val="22"/>
          <w:rtl w:val="0"/>
        </w:rPr>
        <w:t xml:space="preserve">documento</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sz w:val="22"/>
          <w:szCs w:val="22"/>
          <w:rtl w:val="0"/>
        </w:rPr>
        <w:t xml:space="preserve">advertimos</w:t>
      </w:r>
      <w:r w:rsidDel="00000000" w:rsidR="00000000" w:rsidRPr="00000000">
        <w:rPr>
          <w:rFonts w:ascii="Arial Narrow" w:cs="Arial Narrow" w:eastAsia="Arial Narrow" w:hAnsi="Arial Narrow"/>
          <w:sz w:val="22"/>
          <w:szCs w:val="22"/>
          <w:rtl w:val="0"/>
        </w:rPr>
        <w:t xml:space="preserve"> la necesidad de </w:t>
      </w:r>
      <w:r w:rsidDel="00000000" w:rsidR="00000000" w:rsidRPr="00000000">
        <w:rPr>
          <w:rFonts w:ascii="Arial Narrow" w:cs="Arial Narrow" w:eastAsia="Arial Narrow" w:hAnsi="Arial Narrow"/>
          <w:sz w:val="22"/>
          <w:szCs w:val="22"/>
          <w:rtl w:val="0"/>
        </w:rPr>
        <w:t xml:space="preserve">implementar</w:t>
      </w:r>
      <w:r w:rsidDel="00000000" w:rsidR="00000000" w:rsidRPr="00000000">
        <w:rPr>
          <w:rFonts w:ascii="Arial Narrow" w:cs="Arial Narrow" w:eastAsia="Arial Narrow" w:hAnsi="Arial Narrow"/>
          <w:sz w:val="22"/>
          <w:szCs w:val="22"/>
          <w:rtl w:val="0"/>
        </w:rPr>
        <w:t xml:space="preserve"> un nuevo modelo. El contrato utilizado hasta el momento presentaba múltiples debilidades jurídicas que justifican su reformulación:</w:t>
      </w:r>
    </w:p>
    <w:p w:rsidR="00000000" w:rsidDel="00000000" w:rsidP="00000000" w:rsidRDefault="00000000" w:rsidRPr="00000000" w14:paraId="00000081">
      <w:pPr>
        <w:numPr>
          <w:ilvl w:val="0"/>
          <w:numId w:val="29"/>
        </w:numPr>
        <w:spacing w:after="0" w:afterAutospacing="0" w:before="24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En primer lugar, contiene remisiones a la LCT, cuando en los hechos responde a un esquema de prestación de servicios autónomos, generando una</w:t>
      </w:r>
      <w:r w:rsidDel="00000000" w:rsidR="00000000" w:rsidRPr="00000000">
        <w:rPr>
          <w:rFonts w:ascii="Arial Narrow" w:cs="Arial Narrow" w:eastAsia="Arial Narrow" w:hAnsi="Arial Narrow"/>
          <w:b w:val="1"/>
          <w:sz w:val="22"/>
          <w:szCs w:val="22"/>
          <w:rtl w:val="0"/>
        </w:rPr>
        <w:t xml:space="preserve"> contradicción riesgosa que podría ser interpretada como fraude laboral</w:t>
      </w:r>
      <w:r w:rsidDel="00000000" w:rsidR="00000000" w:rsidRPr="00000000">
        <w:rPr>
          <w:rFonts w:ascii="Arial Narrow" w:cs="Arial Narrow" w:eastAsia="Arial Narrow" w:hAnsi="Arial Narrow"/>
          <w:sz w:val="22"/>
          <w:szCs w:val="22"/>
          <w:rtl w:val="0"/>
        </w:rPr>
        <w:t xml:space="preserve">. </w:t>
      </w:r>
    </w:p>
    <w:p w:rsidR="00000000" w:rsidDel="00000000" w:rsidP="00000000" w:rsidRDefault="00000000" w:rsidRPr="00000000" w14:paraId="00000082">
      <w:pPr>
        <w:numPr>
          <w:ilvl w:val="0"/>
          <w:numId w:val="29"/>
        </w:numPr>
        <w:spacing w:after="240" w:before="0" w:before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Por otro lado, carece de precisión en la descripción del puesto y tareas, y contiene cláusulas que pueden implicar abusos, solidaridad entre empresas, e incluso simulación de vínculo autónomo. También incluye disposiciones conflictivas sobre premios, vacaciones, obra social y cláusulas de no competencia, que deben ser ajustadas para evitar contingencias judiciales. En tal sentido, se elaboró y envió un modelo nuevo, coherente y jurídicamente sólido.</w:t>
      </w:r>
      <w:r w:rsidDel="00000000" w:rsidR="00000000" w:rsidRPr="00000000">
        <w:rPr>
          <w:rtl w:val="0"/>
        </w:rPr>
      </w:r>
    </w:p>
    <w:p w:rsidR="00000000" w:rsidDel="00000000" w:rsidP="00000000" w:rsidRDefault="00000000" w:rsidRPr="00000000" w14:paraId="00000083">
      <w:pPr>
        <w:pStyle w:val="Heading3"/>
        <w:keepNext w:val="0"/>
        <w:keepLines w:val="0"/>
        <w:spacing w:before="280" w:line="276" w:lineRule="auto"/>
        <w:ind w:firstLine="720"/>
        <w:jc w:val="both"/>
        <w:rPr>
          <w:rFonts w:ascii="Arial Narrow" w:cs="Arial Narrow" w:eastAsia="Arial Narrow" w:hAnsi="Arial Narrow"/>
          <w:b w:val="1"/>
          <w:color w:val="000000"/>
          <w:sz w:val="22"/>
          <w:szCs w:val="22"/>
          <w:u w:val="single"/>
        </w:rPr>
      </w:pPr>
      <w:bookmarkStart w:colFirst="0" w:colLast="0" w:name="_heading=h.hbhphp2jso3q" w:id="7"/>
      <w:bookmarkEnd w:id="7"/>
      <w:r w:rsidDel="00000000" w:rsidR="00000000" w:rsidRPr="00000000">
        <w:rPr>
          <w:rFonts w:ascii="Arial Narrow" w:cs="Arial Narrow" w:eastAsia="Arial Narrow" w:hAnsi="Arial Narrow"/>
          <w:b w:val="1"/>
          <w:color w:val="073763"/>
          <w:sz w:val="22"/>
          <w:szCs w:val="22"/>
          <w:u w:val="single"/>
          <w:rtl w:val="0"/>
        </w:rPr>
        <w:t xml:space="preserve">Track IOT: Alianza Estratégica con Pablo Truccone:</w:t>
      </w:r>
      <w:r w:rsidDel="00000000" w:rsidR="00000000" w:rsidRPr="00000000">
        <w:rPr>
          <w:rtl w:val="0"/>
        </w:rPr>
      </w:r>
    </w:p>
    <w:p w:rsidR="00000000" w:rsidDel="00000000" w:rsidP="00000000" w:rsidRDefault="00000000" w:rsidRPr="00000000" w14:paraId="00000084">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Uno de los avances más relevantes es la transformación de la incorporación de Pablo Truccone desde un esquema laboral informal (antes contemplado) hacia un modelo societario estructurado y estratégico, respaldado por un Memorando de Entendimiento (MoU).</w:t>
      </w:r>
    </w:p>
    <w:p w:rsidR="00000000" w:rsidDel="00000000" w:rsidP="00000000" w:rsidRDefault="00000000" w:rsidRPr="00000000" w14:paraId="00000085">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Aspectos destacados del acuerdo con </w:t>
      </w:r>
      <w:r w:rsidDel="00000000" w:rsidR="00000000" w:rsidRPr="00000000">
        <w:rPr>
          <w:rFonts w:ascii="Arial Narrow" w:cs="Arial Narrow" w:eastAsia="Arial Narrow" w:hAnsi="Arial Narrow"/>
          <w:b w:val="1"/>
          <w:sz w:val="22"/>
          <w:szCs w:val="22"/>
          <w:u w:val="single"/>
          <w:rtl w:val="0"/>
        </w:rPr>
        <w:t xml:space="preserve">Pablo Truccone</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86">
      <w:pPr>
        <w:numPr>
          <w:ilvl w:val="0"/>
          <w:numId w:val="25"/>
        </w:numPr>
        <w:spacing w:after="0" w:afterAutospacing="0" w:before="240" w:line="276" w:lineRule="auto"/>
        <w:ind w:left="720" w:hanging="360"/>
        <w:rPr>
          <w:rFonts w:ascii="Arial Narrow" w:cs="Arial Narrow" w:eastAsia="Arial Narrow" w:hAnsi="Arial Narrow"/>
          <w:b w:val="1"/>
          <w:color w:val="073763"/>
          <w:sz w:val="22"/>
          <w:szCs w:val="22"/>
        </w:rPr>
      </w:pPr>
      <w:r w:rsidDel="00000000" w:rsidR="00000000" w:rsidRPr="00000000">
        <w:rPr>
          <w:rFonts w:ascii="Arial Narrow" w:cs="Arial Narrow" w:eastAsia="Arial Narrow" w:hAnsi="Arial Narrow"/>
          <w:sz w:val="22"/>
          <w:szCs w:val="22"/>
          <w:rtl w:val="0"/>
        </w:rPr>
        <w:t xml:space="preserve">La negociación derivó en el registro de la propiedad intelectual del software desarrollado en una sociedad holding radicada en EE.UU., lo cual representa un salto cualitativo en la valorización de activos intangibles del Grupo.</w:t>
      </w:r>
    </w:p>
    <w:p w:rsidR="00000000" w:rsidDel="00000000" w:rsidP="00000000" w:rsidRDefault="00000000" w:rsidRPr="00000000" w14:paraId="00000087">
      <w:pPr>
        <w:numPr>
          <w:ilvl w:val="0"/>
          <w:numId w:val="25"/>
        </w:numPr>
        <w:spacing w:after="0" w:afterAutospacing="0" w:before="0" w:beforeAutospacing="0" w:line="276" w:lineRule="auto"/>
        <w:ind w:left="720" w:hanging="360"/>
        <w:rPr>
          <w:rFonts w:ascii="Arial Narrow" w:cs="Arial Narrow" w:eastAsia="Arial Narrow" w:hAnsi="Arial Narrow"/>
          <w:b w:val="1"/>
          <w:color w:val="073763"/>
          <w:sz w:val="22"/>
          <w:szCs w:val="22"/>
        </w:rPr>
      </w:pPr>
      <w:r w:rsidDel="00000000" w:rsidR="00000000" w:rsidRPr="00000000">
        <w:rPr>
          <w:rFonts w:ascii="Arial Narrow" w:cs="Arial Narrow" w:eastAsia="Arial Narrow" w:hAnsi="Arial Narrow"/>
          <w:sz w:val="22"/>
          <w:szCs w:val="22"/>
          <w:rtl w:val="0"/>
        </w:rPr>
        <w:t xml:space="preserve">Se eliminó el riesgo de encuadre laboral (fraude laboral, subordinación jurídica), migrando a un modelo colaborativo y asociativo, con visión de crecimiento conjunto.</w:t>
      </w:r>
    </w:p>
    <w:p w:rsidR="00000000" w:rsidDel="00000000" w:rsidP="00000000" w:rsidRDefault="00000000" w:rsidRPr="00000000" w14:paraId="00000088">
      <w:pPr>
        <w:numPr>
          <w:ilvl w:val="0"/>
          <w:numId w:val="25"/>
        </w:numPr>
        <w:spacing w:after="240" w:before="0" w:beforeAutospacing="0" w:line="276" w:lineRule="auto"/>
        <w:ind w:left="720" w:hanging="360"/>
        <w:rPr>
          <w:rFonts w:ascii="Arial Narrow" w:cs="Arial Narrow" w:eastAsia="Arial Narrow" w:hAnsi="Arial Narrow"/>
          <w:b w:val="1"/>
          <w:color w:val="073763"/>
          <w:sz w:val="22"/>
          <w:szCs w:val="22"/>
        </w:rPr>
      </w:pPr>
      <w:r w:rsidDel="00000000" w:rsidR="00000000" w:rsidRPr="00000000">
        <w:rPr>
          <w:rFonts w:ascii="Arial Narrow" w:cs="Arial Narrow" w:eastAsia="Arial Narrow" w:hAnsi="Arial Narrow"/>
          <w:sz w:val="22"/>
          <w:szCs w:val="22"/>
          <w:rtl w:val="0"/>
        </w:rPr>
        <w:t xml:space="preserve">Este cambio permite proyectar la vertical IT como unidad exportadora y escalable, con potencial para captar inversión externa.</w:t>
      </w:r>
    </w:p>
    <w:p w:rsidR="00000000" w:rsidDel="00000000" w:rsidP="00000000" w:rsidRDefault="00000000" w:rsidRPr="00000000" w14:paraId="00000089">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Recomendaciones:</w:t>
      </w:r>
    </w:p>
    <w:p w:rsidR="00000000" w:rsidDel="00000000" w:rsidP="00000000" w:rsidRDefault="00000000" w:rsidRPr="00000000" w14:paraId="0000008A">
      <w:pPr>
        <w:numPr>
          <w:ilvl w:val="0"/>
          <w:numId w:val="19"/>
        </w:numPr>
        <w:spacing w:after="0" w:afterAutospacing="0" w:before="240" w:line="276" w:lineRule="auto"/>
        <w:ind w:left="720" w:hanging="360"/>
        <w:rPr>
          <w:rFonts w:ascii="Arial Narrow" w:cs="Arial Narrow" w:eastAsia="Arial Narrow" w:hAnsi="Arial Narrow"/>
          <w:b w:val="1"/>
          <w:color w:val="073763"/>
          <w:sz w:val="22"/>
          <w:szCs w:val="22"/>
        </w:rPr>
      </w:pPr>
      <w:r w:rsidDel="00000000" w:rsidR="00000000" w:rsidRPr="00000000">
        <w:rPr>
          <w:rFonts w:ascii="Arial Narrow" w:cs="Arial Narrow" w:eastAsia="Arial Narrow" w:hAnsi="Arial Narrow"/>
          <w:sz w:val="22"/>
          <w:szCs w:val="22"/>
          <w:rtl w:val="0"/>
        </w:rPr>
        <w:t xml:space="preserve">Formalizar la participación societaria de Pablo Truccone en la sociedad del exterior, resguardando la titularidad y derechos sobre la IP mediante pactos de socios, NDAs y acuerdos de cesión/licencia de software según corresponda.</w:t>
      </w:r>
    </w:p>
    <w:p w:rsidR="00000000" w:rsidDel="00000000" w:rsidP="00000000" w:rsidRDefault="00000000" w:rsidRPr="00000000" w14:paraId="0000008B">
      <w:pPr>
        <w:numPr>
          <w:ilvl w:val="0"/>
          <w:numId w:val="19"/>
        </w:numPr>
        <w:spacing w:after="240" w:before="0" w:beforeAutospacing="0" w:line="276" w:lineRule="auto"/>
        <w:ind w:left="720" w:hanging="360"/>
        <w:rPr>
          <w:rFonts w:ascii="Arial Narrow" w:cs="Arial Narrow" w:eastAsia="Arial Narrow" w:hAnsi="Arial Narrow"/>
          <w:b w:val="1"/>
          <w:color w:val="073763"/>
          <w:sz w:val="22"/>
          <w:szCs w:val="22"/>
        </w:rPr>
      </w:pPr>
      <w:r w:rsidDel="00000000" w:rsidR="00000000" w:rsidRPr="00000000">
        <w:rPr>
          <w:rFonts w:ascii="Arial Narrow" w:cs="Arial Narrow" w:eastAsia="Arial Narrow" w:hAnsi="Arial Narrow"/>
          <w:sz w:val="22"/>
          <w:szCs w:val="22"/>
          <w:rtl w:val="0"/>
        </w:rPr>
        <w:t xml:space="preserve">Incluir en el Acuerdo de Accionistas general una cláusula especial sobre las propiedades intelectuales estratégicas del grupo y su monetización futura.</w:t>
      </w:r>
    </w:p>
    <w:p w:rsidR="00000000" w:rsidDel="00000000" w:rsidP="00000000" w:rsidRDefault="00000000" w:rsidRPr="00000000" w14:paraId="0000008C">
      <w:pPr>
        <w:pStyle w:val="Heading2"/>
        <w:keepNext w:val="0"/>
        <w:keepLines w:val="0"/>
        <w:spacing w:before="360" w:line="276" w:lineRule="auto"/>
        <w:jc w:val="both"/>
        <w:rPr>
          <w:rFonts w:ascii="Arial Narrow" w:cs="Arial Narrow" w:eastAsia="Arial Narrow" w:hAnsi="Arial Narrow"/>
          <w:b w:val="1"/>
          <w:color w:val="073763"/>
          <w:sz w:val="22"/>
          <w:szCs w:val="22"/>
          <w:u w:val="single"/>
        </w:rPr>
      </w:pPr>
      <w:bookmarkStart w:colFirst="0" w:colLast="0" w:name="_heading=h.r63y2evbfli" w:id="8"/>
      <w:bookmarkEnd w:id="8"/>
      <w:r w:rsidDel="00000000" w:rsidR="00000000" w:rsidRPr="00000000">
        <w:rPr>
          <w:rtl w:val="0"/>
        </w:rPr>
      </w:r>
    </w:p>
    <w:p w:rsidR="00000000" w:rsidDel="00000000" w:rsidP="00000000" w:rsidRDefault="00000000" w:rsidRPr="00000000" w14:paraId="0000008D">
      <w:pPr>
        <w:pStyle w:val="Heading2"/>
        <w:keepNext w:val="0"/>
        <w:keepLines w:val="0"/>
        <w:spacing w:before="360" w:line="276" w:lineRule="auto"/>
        <w:ind w:firstLine="720"/>
        <w:jc w:val="both"/>
        <w:rPr>
          <w:rFonts w:ascii="Arial Narrow" w:cs="Arial Narrow" w:eastAsia="Arial Narrow" w:hAnsi="Arial Narrow"/>
          <w:color w:val="000000"/>
          <w:sz w:val="22"/>
          <w:szCs w:val="22"/>
        </w:rPr>
      </w:pPr>
      <w:bookmarkStart w:colFirst="0" w:colLast="0" w:name="_heading=h.hpe1rgoxrar3" w:id="9"/>
      <w:bookmarkEnd w:id="9"/>
      <w:r w:rsidDel="00000000" w:rsidR="00000000" w:rsidRPr="00000000">
        <w:rPr>
          <w:rFonts w:ascii="Arial Narrow" w:cs="Arial Narrow" w:eastAsia="Arial Narrow" w:hAnsi="Arial Narrow"/>
          <w:b w:val="1"/>
          <w:color w:val="073763"/>
          <w:sz w:val="22"/>
          <w:szCs w:val="22"/>
          <w:u w:val="single"/>
          <w:rtl w:val="0"/>
        </w:rPr>
        <w:t xml:space="preserve">Oportunidades de Integración y expansión: M&amp;A</w:t>
      </w:r>
      <w:r w:rsidDel="00000000" w:rsidR="00000000" w:rsidRPr="00000000">
        <w:rPr>
          <w:rtl w:val="0"/>
        </w:rPr>
      </w:r>
    </w:p>
    <w:p w:rsidR="00000000" w:rsidDel="00000000" w:rsidP="00000000" w:rsidRDefault="00000000" w:rsidRPr="00000000" w14:paraId="0000008E">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análisis preliminar realizado sobre Casa Bergman como potencial empresa a incorporar evidenció la importancia de contar con una mirada estratégica, ordenada y multidisciplinaria al momento de evaluar oportunidades de crecimiento.</w:t>
      </w:r>
    </w:p>
    <w:p w:rsidR="00000000" w:rsidDel="00000000" w:rsidP="00000000" w:rsidRDefault="00000000" w:rsidRPr="00000000" w14:paraId="0000008F">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este caso, encontrándonos en proceso de obtención de la información crítica para su estudio detallado, se identificaron aspectos relevantes a considerar, como la fuerte presencia de Gerardo en la operación cotidiana, cierta informalidad en los procesos comerciales y la falta de documentación consistente en vínculos contractuales clave.</w:t>
      </w:r>
    </w:p>
    <w:p w:rsidR="00000000" w:rsidDel="00000000" w:rsidP="00000000" w:rsidRDefault="00000000" w:rsidRPr="00000000" w14:paraId="00000090">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Este tipo de escenarios requieren un abordaje cuidadoso que permita dimensionar correctamente el valor del negocio, anticipar riesgos, y diseñar mecanismos de integración sostenibles y compatibles con la estructura actual del Grupo.</w:t>
      </w:r>
    </w:p>
    <w:p w:rsidR="00000000" w:rsidDel="00000000" w:rsidP="00000000" w:rsidRDefault="00000000" w:rsidRPr="00000000" w14:paraId="00000091">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esa línea, resulta clave contemplar:</w:t>
      </w:r>
    </w:p>
    <w:p w:rsidR="00000000" w:rsidDel="00000000" w:rsidP="00000000" w:rsidRDefault="00000000" w:rsidRPr="00000000" w14:paraId="00000092">
      <w:pPr>
        <w:numPr>
          <w:ilvl w:val="0"/>
          <w:numId w:val="10"/>
        </w:numPr>
        <w:spacing w:after="0" w:afterAutospacing="0" w:before="24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análisis general del perfil de la empresa a incorporar, con foco en su funcionamiento operativo, estructura jurídica y relaciones comerciales.</w:t>
      </w:r>
    </w:p>
    <w:p w:rsidR="00000000" w:rsidDel="00000000" w:rsidP="00000000" w:rsidRDefault="00000000" w:rsidRPr="00000000" w14:paraId="00000093">
      <w:pPr>
        <w:numPr>
          <w:ilvl w:val="0"/>
          <w:numId w:val="1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revisión legal, laboral, contractual y contable, que permita comprender el estado real del negocio y sus principales riesgos o pasivos.</w:t>
      </w:r>
    </w:p>
    <w:p w:rsidR="00000000" w:rsidDel="00000000" w:rsidP="00000000" w:rsidRDefault="00000000" w:rsidRPr="00000000" w14:paraId="00000094">
      <w:pPr>
        <w:numPr>
          <w:ilvl w:val="0"/>
          <w:numId w:val="1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definición de una estructura de adquisición adecuada al caso, considerando alternativas viables y mecanismos de transición ordenados.</w:t>
      </w:r>
    </w:p>
    <w:p w:rsidR="00000000" w:rsidDel="00000000" w:rsidP="00000000" w:rsidRDefault="00000000" w:rsidRPr="00000000" w14:paraId="00000095">
      <w:pPr>
        <w:numPr>
          <w:ilvl w:val="0"/>
          <w:numId w:val="10"/>
        </w:numPr>
        <w:spacing w:after="24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acompañamiento integral durante el proceso, desde las instancias preliminares hasta la etapa posterior al cierre, para asegurar una integración progresiva y equilibrada.</w:t>
      </w:r>
    </w:p>
    <w:p w:rsidR="00000000" w:rsidDel="00000000" w:rsidP="00000000" w:rsidRDefault="00000000" w:rsidRPr="00000000" w14:paraId="00000096">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la naturaleza de estos procesos y su impacto transversal en distintas áreas —laboral, contractual, financiera, contable, organizativa y comercial—, es fundamental encararlos con criterio, planificación y una evaluación clara desde el inicio. Esto no sólo permite tomar decisiones más informadas, sino también sostener la expansión del Grupo en forma coherente con su identidad, su forma de trabajo y sus objetivos de largo plazo.</w:t>
      </w:r>
    </w:p>
    <w:p w:rsidR="00000000" w:rsidDel="00000000" w:rsidP="00000000" w:rsidRDefault="00000000" w:rsidRPr="00000000" w14:paraId="00000097">
      <w:pPr>
        <w:spacing w:after="240" w:before="240" w:line="276" w:lineRule="auto"/>
        <w:ind w:firstLine="72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Próximos pasos: </w:t>
      </w:r>
    </w:p>
    <w:p w:rsidR="00000000" w:rsidDel="00000000" w:rsidP="00000000" w:rsidRDefault="00000000" w:rsidRPr="00000000" w14:paraId="00000098">
      <w:pPr>
        <w:numPr>
          <w:ilvl w:val="0"/>
          <w:numId w:val="27"/>
        </w:numPr>
        <w:spacing w:after="0" w:afterAutospacing="0" w:before="24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Obtención de información por parte de Casa Bergman (Semana en Curso)</w:t>
      </w:r>
    </w:p>
    <w:p w:rsidR="00000000" w:rsidDel="00000000" w:rsidP="00000000" w:rsidRDefault="00000000" w:rsidRPr="00000000" w14:paraId="00000099">
      <w:pPr>
        <w:numPr>
          <w:ilvl w:val="0"/>
          <w:numId w:val="27"/>
        </w:numPr>
        <w:spacing w:after="0" w:afterAutospacing="0" w:before="0" w:before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Clasificación, sistematización y organización.(Deadline: 30/05)</w:t>
      </w:r>
    </w:p>
    <w:p w:rsidR="00000000" w:rsidDel="00000000" w:rsidP="00000000" w:rsidRDefault="00000000" w:rsidRPr="00000000" w14:paraId="0000009A">
      <w:pPr>
        <w:numPr>
          <w:ilvl w:val="0"/>
          <w:numId w:val="27"/>
        </w:numPr>
        <w:spacing w:after="0" w:afterAutospacing="0" w:before="0" w:before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Presentación de Informe Preliminar: se determinará si la empresa target resulta viable para avanzar en la potencial adquisición (Deadline: 07/06).</w:t>
      </w:r>
    </w:p>
    <w:p w:rsidR="00000000" w:rsidDel="00000000" w:rsidP="00000000" w:rsidRDefault="00000000" w:rsidRPr="00000000" w14:paraId="0000009B">
      <w:pPr>
        <w:numPr>
          <w:ilvl w:val="0"/>
          <w:numId w:val="27"/>
        </w:numPr>
        <w:spacing w:after="0" w:afterAutospacing="0" w:before="0" w:before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Validación de propuesta formal para avanzar en la operación. Entendemos crítico contar con la opinión de alguna empresa </w:t>
      </w:r>
      <w:r w:rsidDel="00000000" w:rsidR="00000000" w:rsidRPr="00000000">
        <w:rPr>
          <w:rFonts w:ascii="Arial Narrow" w:cs="Arial Narrow" w:eastAsia="Arial Narrow" w:hAnsi="Arial Narrow"/>
          <w:sz w:val="22"/>
          <w:szCs w:val="22"/>
          <w:rtl w:val="0"/>
        </w:rPr>
        <w:t xml:space="preserve">valuadora</w:t>
      </w:r>
      <w:r w:rsidDel="00000000" w:rsidR="00000000" w:rsidRPr="00000000">
        <w:rPr>
          <w:rFonts w:ascii="Arial Narrow" w:cs="Arial Narrow" w:eastAsia="Arial Narrow" w:hAnsi="Arial Narrow"/>
          <w:sz w:val="22"/>
          <w:szCs w:val="22"/>
          <w:rtl w:val="0"/>
        </w:rPr>
        <w:t xml:space="preserve"> que pueda además, emitir opinión fundada de sus conclusiones basadas en su expertise. (Tiempo estimado: 30 a 40 días)</w:t>
      </w:r>
    </w:p>
    <w:p w:rsidR="00000000" w:rsidDel="00000000" w:rsidP="00000000" w:rsidRDefault="00000000" w:rsidRPr="00000000" w14:paraId="0000009C">
      <w:pPr>
        <w:numPr>
          <w:ilvl w:val="0"/>
          <w:numId w:val="27"/>
        </w:numPr>
        <w:spacing w:after="240" w:before="0" w:before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Negociación de términos y condiciones, redaccion de Acuerdo y Cláusulas (Tiempo estimado: 60 a 90 días)</w:t>
      </w:r>
    </w:p>
    <w:p w:rsidR="00000000" w:rsidDel="00000000" w:rsidP="00000000" w:rsidRDefault="00000000" w:rsidRPr="00000000" w14:paraId="0000009D">
      <w:pPr>
        <w:spacing w:line="276" w:lineRule="auto"/>
        <w:jc w:val="both"/>
        <w:rPr>
          <w:rFonts w:ascii="Arial Narrow" w:cs="Arial Narrow" w:eastAsia="Arial Narrow" w:hAnsi="Arial Narrow"/>
          <w:b w:val="1"/>
          <w:color w:val="073763"/>
          <w:sz w:val="22"/>
          <w:szCs w:val="22"/>
          <w:u w:val="single"/>
        </w:rPr>
      </w:pPr>
      <w:r w:rsidDel="00000000" w:rsidR="00000000" w:rsidRPr="00000000">
        <w:rPr>
          <w:rtl w:val="0"/>
        </w:rPr>
      </w:r>
    </w:p>
    <w:p w:rsidR="00000000" w:rsidDel="00000000" w:rsidP="00000000" w:rsidRDefault="00000000" w:rsidRPr="00000000" w14:paraId="0000009E">
      <w:pPr>
        <w:spacing w:line="276" w:lineRule="auto"/>
        <w:ind w:firstLine="720"/>
        <w:jc w:val="both"/>
        <w:rPr>
          <w:rFonts w:ascii="Arial Narrow" w:cs="Arial Narrow" w:eastAsia="Arial Narrow" w:hAnsi="Arial Narrow"/>
          <w:b w:val="1"/>
          <w:color w:val="073763"/>
          <w:sz w:val="26"/>
          <w:szCs w:val="26"/>
          <w:u w:val="single"/>
        </w:rPr>
      </w:pPr>
      <w:r w:rsidDel="00000000" w:rsidR="00000000" w:rsidRPr="00000000">
        <w:rPr>
          <w:rFonts w:ascii="Arial Narrow" w:cs="Arial Narrow" w:eastAsia="Arial Narrow" w:hAnsi="Arial Narrow"/>
          <w:b w:val="1"/>
          <w:color w:val="073763"/>
          <w:sz w:val="26"/>
          <w:szCs w:val="26"/>
          <w:rtl w:val="0"/>
        </w:rPr>
        <w:t xml:space="preserve">D. </w:t>
      </w:r>
      <w:r w:rsidDel="00000000" w:rsidR="00000000" w:rsidRPr="00000000">
        <w:rPr>
          <w:rFonts w:ascii="Arial Narrow" w:cs="Arial Narrow" w:eastAsia="Arial Narrow" w:hAnsi="Arial Narrow"/>
          <w:b w:val="1"/>
          <w:color w:val="073763"/>
          <w:sz w:val="26"/>
          <w:szCs w:val="26"/>
          <w:u w:val="single"/>
          <w:rtl w:val="0"/>
        </w:rPr>
        <w:t xml:space="preserve">Propiedad Intelectual</w:t>
      </w:r>
    </w:p>
    <w:p w:rsidR="00000000" w:rsidDel="00000000" w:rsidP="00000000" w:rsidRDefault="00000000" w:rsidRPr="00000000" w14:paraId="0000009F">
      <w:pPr>
        <w:pStyle w:val="Heading4"/>
        <w:keepNext w:val="0"/>
        <w:keepLines w:val="0"/>
        <w:spacing w:before="240" w:line="276" w:lineRule="auto"/>
        <w:ind w:left="0" w:firstLine="720"/>
        <w:jc w:val="both"/>
        <w:rPr>
          <w:rFonts w:ascii="Arial Narrow" w:cs="Arial Narrow" w:eastAsia="Arial Narrow" w:hAnsi="Arial Narrow"/>
          <w:sz w:val="22"/>
          <w:szCs w:val="22"/>
        </w:rPr>
      </w:pPr>
      <w:bookmarkStart w:colFirst="0" w:colLast="0" w:name="_heading=h.blh68ffwhek3" w:id="10"/>
      <w:bookmarkEnd w:id="10"/>
      <w:r w:rsidDel="00000000" w:rsidR="00000000" w:rsidRPr="00000000">
        <w:rPr>
          <w:rFonts w:ascii="Arial Narrow" w:cs="Arial Narrow" w:eastAsia="Arial Narrow" w:hAnsi="Arial Narrow"/>
          <w:b w:val="1"/>
          <w:i w:val="0"/>
          <w:color w:val="000000"/>
          <w:sz w:val="22"/>
          <w:szCs w:val="22"/>
          <w:rtl w:val="0"/>
        </w:rPr>
        <w:t xml:space="preserve">Marcas.-</w:t>
      </w:r>
      <w:r w:rsidDel="00000000" w:rsidR="00000000" w:rsidRPr="00000000">
        <w:rPr>
          <w:rtl w:val="0"/>
        </w:rPr>
      </w:r>
    </w:p>
    <w:p w:rsidR="00000000" w:rsidDel="00000000" w:rsidP="00000000" w:rsidRDefault="00000000" w:rsidRPr="00000000" w14:paraId="000000A0">
      <w:pPr>
        <w:spacing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No se ha identificado una estrategia de protección de marcas o diferenciación clara.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Narrow" w:cs="Arial Narrow" w:eastAsia="Arial Narrow" w:hAnsi="Arial Narrow"/>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sz w:val="22"/>
          <w:szCs w:val="22"/>
          <w:rtl w:val="0"/>
        </w:rPr>
        <w:t xml:space="preserve">De los relevamientos efectuados, se desprende </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que </w:t>
      </w:r>
      <w:r w:rsidDel="00000000" w:rsidR="00000000" w:rsidRPr="00000000">
        <w:rPr>
          <w:rFonts w:ascii="Arial Narrow" w:cs="Arial Narrow" w:eastAsia="Arial Narrow" w:hAnsi="Arial Narrow"/>
          <w:i w:val="0"/>
          <w:smallCaps w:val="0"/>
          <w:strike w:val="0"/>
          <w:color w:val="000000"/>
          <w:sz w:val="22"/>
          <w:szCs w:val="22"/>
          <w:u w:val="none"/>
          <w:shd w:fill="f4cccc" w:val="clear"/>
          <w:vertAlign w:val="baseline"/>
          <w:rtl w:val="0"/>
        </w:rPr>
        <w:t xml:space="preserve">no se encuentra </w:t>
      </w:r>
      <w:r w:rsidDel="00000000" w:rsidR="00000000" w:rsidRPr="00000000">
        <w:rPr>
          <w:rFonts w:ascii="Arial Narrow" w:cs="Arial Narrow" w:eastAsia="Arial Narrow" w:hAnsi="Arial Narrow"/>
          <w:sz w:val="22"/>
          <w:szCs w:val="22"/>
          <w:shd w:fill="f4cccc" w:val="clear"/>
          <w:rtl w:val="0"/>
        </w:rPr>
        <w:t xml:space="preserve">registrada la denominación “</w:t>
      </w:r>
      <w:r w:rsidDel="00000000" w:rsidR="00000000" w:rsidRPr="00000000">
        <w:rPr>
          <w:rFonts w:ascii="Arial Narrow" w:cs="Arial Narrow" w:eastAsia="Arial Narrow" w:hAnsi="Arial Narrow"/>
          <w:i w:val="0"/>
          <w:smallCaps w:val="0"/>
          <w:strike w:val="0"/>
          <w:color w:val="000000"/>
          <w:sz w:val="22"/>
          <w:szCs w:val="22"/>
          <w:u w:val="none"/>
          <w:shd w:fill="f4cccc" w:val="clear"/>
          <w:vertAlign w:val="baseline"/>
          <w:rtl w:val="0"/>
        </w:rPr>
        <w:t xml:space="preserve">SUPPLY SOLUTIONS</w:t>
      </w:r>
      <w:r w:rsidDel="00000000" w:rsidR="00000000" w:rsidRPr="00000000">
        <w:rPr>
          <w:rFonts w:ascii="Arial Narrow" w:cs="Arial Narrow" w:eastAsia="Arial Narrow" w:hAnsi="Arial Narrow"/>
          <w:sz w:val="22"/>
          <w:szCs w:val="22"/>
          <w:rtl w:val="0"/>
        </w:rPr>
        <w:t xml:space="preserve">” ni así el logo como marca en el Instituto Nacional de la Propiedad Intelectual (INPI)</w:t>
      </w:r>
      <w:r w:rsidDel="00000000" w:rsidR="00000000" w:rsidRPr="00000000">
        <w:rPr>
          <w:rFonts w:ascii="Arial Narrow" w:cs="Arial Narrow" w:eastAsia="Arial Narrow" w:hAnsi="Arial Narrow"/>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otro lado, notamos que el registro del dominio web se encuentra en un 100% bajo titularidad de Martín Herrera. Ante esto, se denota también la falta de existencia de una cesión o licencia de uso hacia el grupo empresario que evite contingencias de este tipo.</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este sentido, entendemos conveniente:</w:t>
      </w:r>
    </w:p>
    <w:p w:rsidR="00000000" w:rsidDel="00000000" w:rsidP="00000000" w:rsidRDefault="00000000" w:rsidRPr="00000000" w14:paraId="000000A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 el objetivo a corto/mediano plazo es la venta del Grupo, proceder al registro de la marca a nombre de la empresa holding -en este caso, y ante la venta del Grupo, implicaría un mayor impacto tributario que si la titularidad estuviese en cabeza de una persona física (35% vs.15% de impuesto a las ganancias)- o bien, en caso que no se proyecte la venta del Grupo, recomendamos realizar el trámite de cesión de titularidad de la marca proporcional equivalente a la participación societaria. </w:t>
      </w:r>
    </w:p>
    <w:p w:rsidR="00000000" w:rsidDel="00000000" w:rsidP="00000000" w:rsidRDefault="00000000" w:rsidRPr="00000000" w14:paraId="000000A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Proceder a (i) registrar el dominio a nombre de la persona jurídica, (ii) establecer contractualmente que el dominio es propiedad de la empresa, incluyendo una cesión formal, o bien (iii) en caso que no se proyecte la venta del Grupo, recomendamos realizar el trámite de cesión de titularidad de la marca proporcional equivalente a la participación societaria. </w:t>
      </w:r>
    </w:p>
    <w:p w:rsidR="00000000" w:rsidDel="00000000" w:rsidP="00000000" w:rsidRDefault="00000000" w:rsidRPr="00000000" w14:paraId="000000A6">
      <w:pPr>
        <w:pStyle w:val="Heading4"/>
        <w:keepNext w:val="0"/>
        <w:keepLines w:val="0"/>
        <w:spacing w:before="240" w:line="276" w:lineRule="auto"/>
        <w:ind w:left="0" w:firstLine="720"/>
        <w:jc w:val="both"/>
        <w:rPr>
          <w:rFonts w:ascii="Arial Narrow" w:cs="Arial Narrow" w:eastAsia="Arial Narrow" w:hAnsi="Arial Narrow"/>
          <w:b w:val="1"/>
          <w:i w:val="0"/>
          <w:color w:val="000000"/>
          <w:sz w:val="22"/>
          <w:szCs w:val="22"/>
        </w:rPr>
      </w:pPr>
      <w:bookmarkStart w:colFirst="0" w:colLast="0" w:name="_heading=h.3hd0e76gg6uh" w:id="11"/>
      <w:bookmarkEnd w:id="11"/>
      <w:r w:rsidDel="00000000" w:rsidR="00000000" w:rsidRPr="00000000">
        <w:rPr>
          <w:rFonts w:ascii="Arial Narrow" w:cs="Arial Narrow" w:eastAsia="Arial Narrow" w:hAnsi="Arial Narrow"/>
          <w:b w:val="1"/>
          <w:i w:val="0"/>
          <w:color w:val="000000"/>
          <w:sz w:val="22"/>
          <w:szCs w:val="22"/>
          <w:rtl w:val="0"/>
        </w:rPr>
        <w:t xml:space="preserve">Registro de Software desarrollado por la Unidad IT.-</w:t>
      </w:r>
    </w:p>
    <w:p w:rsidR="00000000" w:rsidDel="00000000" w:rsidP="00000000" w:rsidRDefault="00000000" w:rsidRPr="00000000" w14:paraId="000000A7">
      <w:pPr>
        <w:spacing w:after="240" w:before="240" w:line="276"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el marco del desarrollo tecnológico llevado adelante por el Grupo, se identificó como prioridad la necesidad de registrar el software propio como activo estratégico, y de definir su correcta titularidad legal.</w:t>
      </w:r>
    </w:p>
    <w:p w:rsidR="00000000" w:rsidDel="00000000" w:rsidP="00000000" w:rsidRDefault="00000000" w:rsidRPr="00000000" w14:paraId="000000A8">
      <w:pPr>
        <w:spacing w:after="240" w:before="240" w:line="276"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Con ese fin, se acordó su </w:t>
      </w:r>
      <w:r w:rsidDel="00000000" w:rsidR="00000000" w:rsidRPr="00000000">
        <w:rPr>
          <w:rFonts w:ascii="Arial Narrow" w:cs="Arial Narrow" w:eastAsia="Arial Narrow" w:hAnsi="Arial Narrow"/>
          <w:b w:val="1"/>
          <w:sz w:val="22"/>
          <w:szCs w:val="22"/>
          <w:rtl w:val="0"/>
        </w:rPr>
        <w:t xml:space="preserve">registración en Estados Unidos</w:t>
      </w:r>
      <w:r w:rsidDel="00000000" w:rsidR="00000000" w:rsidRPr="00000000">
        <w:rPr>
          <w:rFonts w:ascii="Arial Narrow" w:cs="Arial Narrow" w:eastAsia="Arial Narrow" w:hAnsi="Arial Narrow"/>
          <w:sz w:val="22"/>
          <w:szCs w:val="22"/>
          <w:rtl w:val="0"/>
        </w:rPr>
        <w:t xml:space="preserve">, lo que permitirá contar con una </w:t>
      </w:r>
      <w:r w:rsidDel="00000000" w:rsidR="00000000" w:rsidRPr="00000000">
        <w:rPr>
          <w:rFonts w:ascii="Arial Narrow" w:cs="Arial Narrow" w:eastAsia="Arial Narrow" w:hAnsi="Arial Narrow"/>
          <w:b w:val="1"/>
          <w:sz w:val="22"/>
          <w:szCs w:val="22"/>
          <w:rtl w:val="0"/>
        </w:rPr>
        <w:t xml:space="preserve">protección jurídica robusta</w:t>
      </w:r>
      <w:r w:rsidDel="00000000" w:rsidR="00000000" w:rsidRPr="00000000">
        <w:rPr>
          <w:rFonts w:ascii="Arial Narrow" w:cs="Arial Narrow" w:eastAsia="Arial Narrow" w:hAnsi="Arial Narrow"/>
          <w:sz w:val="22"/>
          <w:szCs w:val="22"/>
          <w:rtl w:val="0"/>
        </w:rPr>
        <w:t xml:space="preserve"> en una jurisdicción reconocida; permitiendo a su vez facilitar su valorización frente a terceros o eventuales inversores y por último, evitar conflictos de titularidad o apropiación individual indebida del activo.</w:t>
        <w:br w:type="textWrapping"/>
      </w:r>
    </w:p>
    <w:p w:rsidR="00000000" w:rsidDel="00000000" w:rsidP="00000000" w:rsidRDefault="00000000" w:rsidRPr="00000000" w14:paraId="000000A9">
      <w:pPr>
        <w:spacing w:after="240" w:before="240" w:line="276" w:lineRule="auto"/>
        <w:ind w:firstLine="720"/>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Recomendaciones:</w:t>
      </w:r>
    </w:p>
    <w:p w:rsidR="00000000" w:rsidDel="00000000" w:rsidP="00000000" w:rsidRDefault="00000000" w:rsidRPr="00000000" w14:paraId="000000AA">
      <w:pPr>
        <w:numPr>
          <w:ilvl w:val="0"/>
          <w:numId w:val="1"/>
        </w:numPr>
        <w:spacing w:after="0" w:afterAutospacing="0" w:before="24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Avanzar con el </w:t>
      </w:r>
      <w:r w:rsidDel="00000000" w:rsidR="00000000" w:rsidRPr="00000000">
        <w:rPr>
          <w:rFonts w:ascii="Arial Narrow" w:cs="Arial Narrow" w:eastAsia="Arial Narrow" w:hAnsi="Arial Narrow"/>
          <w:b w:val="1"/>
          <w:sz w:val="22"/>
          <w:szCs w:val="22"/>
          <w:rtl w:val="0"/>
        </w:rPr>
        <w:t xml:space="preserve">registro formal del software</w:t>
      </w:r>
      <w:r w:rsidDel="00000000" w:rsidR="00000000" w:rsidRPr="00000000">
        <w:rPr>
          <w:rFonts w:ascii="Arial Narrow" w:cs="Arial Narrow" w:eastAsia="Arial Narrow" w:hAnsi="Arial Narrow"/>
          <w:sz w:val="22"/>
          <w:szCs w:val="22"/>
          <w:rtl w:val="0"/>
        </w:rPr>
        <w:t xml:space="preserve"> ante el </w:t>
      </w:r>
      <w:r w:rsidDel="00000000" w:rsidR="00000000" w:rsidRPr="00000000">
        <w:rPr>
          <w:rFonts w:ascii="Arial Narrow" w:cs="Arial Narrow" w:eastAsia="Arial Narrow" w:hAnsi="Arial Narrow"/>
          <w:i w:val="1"/>
          <w:sz w:val="22"/>
          <w:szCs w:val="22"/>
          <w:rtl w:val="0"/>
        </w:rPr>
        <w:t xml:space="preserve">U.S. Copyright Office</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AB">
      <w:pPr>
        <w:numPr>
          <w:ilvl w:val="0"/>
          <w:numId w:val="1"/>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Asegurar la existencia de </w:t>
      </w:r>
      <w:r w:rsidDel="00000000" w:rsidR="00000000" w:rsidRPr="00000000">
        <w:rPr>
          <w:rFonts w:ascii="Arial Narrow" w:cs="Arial Narrow" w:eastAsia="Arial Narrow" w:hAnsi="Arial Narrow"/>
          <w:b w:val="1"/>
          <w:sz w:val="22"/>
          <w:szCs w:val="22"/>
          <w:rtl w:val="0"/>
        </w:rPr>
        <w:t xml:space="preserve">cesiones formales de derechos</w:t>
      </w:r>
      <w:r w:rsidDel="00000000" w:rsidR="00000000" w:rsidRPr="00000000">
        <w:rPr>
          <w:rFonts w:ascii="Arial Narrow" w:cs="Arial Narrow" w:eastAsia="Arial Narrow" w:hAnsi="Arial Narrow"/>
          <w:sz w:val="22"/>
          <w:szCs w:val="22"/>
          <w:rtl w:val="0"/>
        </w:rPr>
        <w:t xml:space="preserve"> por parte de los desarrolladores intervinientes.</w:t>
      </w:r>
    </w:p>
    <w:p w:rsidR="00000000" w:rsidDel="00000000" w:rsidP="00000000" w:rsidRDefault="00000000" w:rsidRPr="00000000" w14:paraId="000000AC">
      <w:pPr>
        <w:numPr>
          <w:ilvl w:val="0"/>
          <w:numId w:val="1"/>
        </w:numPr>
        <w:spacing w:after="24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Reflejar la titularidad del activo en cabeza de la </w:t>
      </w:r>
      <w:r w:rsidDel="00000000" w:rsidR="00000000" w:rsidRPr="00000000">
        <w:rPr>
          <w:rFonts w:ascii="Arial Narrow" w:cs="Arial Narrow" w:eastAsia="Arial Narrow" w:hAnsi="Arial Narrow"/>
          <w:b w:val="1"/>
          <w:sz w:val="22"/>
          <w:szCs w:val="22"/>
          <w:rtl w:val="0"/>
        </w:rPr>
        <w:t xml:space="preserve">sociedad designada</w:t>
      </w:r>
      <w:r w:rsidDel="00000000" w:rsidR="00000000" w:rsidRPr="00000000">
        <w:rPr>
          <w:rFonts w:ascii="Arial Narrow" w:cs="Arial Narrow" w:eastAsia="Arial Narrow" w:hAnsi="Arial Narrow"/>
          <w:sz w:val="22"/>
          <w:szCs w:val="22"/>
          <w:rtl w:val="0"/>
        </w:rPr>
        <w:t xml:space="preserve"> por el Grupo, y contemplar su inclusión expresa en los acuerdos societarios.</w:t>
        <w:br w:type="textWrapping"/>
      </w:r>
    </w:p>
    <w:p w:rsidR="00000000" w:rsidDel="00000000" w:rsidP="00000000" w:rsidRDefault="00000000" w:rsidRPr="00000000" w14:paraId="000000AD">
      <w:pPr>
        <w:spacing w:after="240" w:before="240" w:line="276" w:lineRule="auto"/>
        <w:ind w:firstLine="720"/>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Explotación comercial posterior:</w:t>
      </w:r>
    </w:p>
    <w:p w:rsidR="00000000" w:rsidDel="00000000" w:rsidP="00000000" w:rsidRDefault="00000000" w:rsidRPr="00000000" w14:paraId="000000AE">
      <w:pPr>
        <w:spacing w:after="240" w:before="240" w:line="276"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Una vez registrado, se sugiere que el software sea licenciado desde la sociedad titular hacia las estructuras operativas locales de cada país donde se utilice, mediante acuerdos formales de uso y pago de regalías. Este modelo permitirá preservar la propiedad centralizada del activo, generar ingresos recurrentes para la sociedad holding y formalizar jurídicamente la relación entre las distintas unidades del Grupo y el activo tecnológico.</w:t>
      </w:r>
    </w:p>
    <w:p w:rsidR="00000000" w:rsidDel="00000000" w:rsidP="00000000" w:rsidRDefault="00000000" w:rsidRPr="00000000" w14:paraId="000000AF">
      <w:pPr>
        <w:spacing w:line="276" w:lineRule="auto"/>
        <w:ind w:left="720" w:firstLine="0"/>
        <w:jc w:val="both"/>
        <w:rPr>
          <w:rFonts w:ascii="Arial Narrow" w:cs="Arial Narrow" w:eastAsia="Arial Narrow" w:hAnsi="Arial Narrow"/>
          <w:b w:val="1"/>
          <w:color w:val="073763"/>
          <w:sz w:val="26"/>
          <w:szCs w:val="26"/>
        </w:rPr>
      </w:pPr>
      <w:r w:rsidDel="00000000" w:rsidR="00000000" w:rsidRPr="00000000">
        <w:rPr>
          <w:rtl w:val="0"/>
        </w:rPr>
      </w:r>
    </w:p>
    <w:p w:rsidR="00000000" w:rsidDel="00000000" w:rsidP="00000000" w:rsidRDefault="00000000" w:rsidRPr="00000000" w14:paraId="000000B0">
      <w:pPr>
        <w:spacing w:line="276" w:lineRule="auto"/>
        <w:ind w:firstLine="720"/>
        <w:jc w:val="both"/>
        <w:rPr>
          <w:rFonts w:ascii="Arial Narrow" w:cs="Arial Narrow" w:eastAsia="Arial Narrow" w:hAnsi="Arial Narrow"/>
          <w:b w:val="1"/>
          <w:color w:val="073763"/>
          <w:sz w:val="22"/>
          <w:szCs w:val="22"/>
          <w:u w:val="single"/>
        </w:rPr>
      </w:pPr>
      <w:r w:rsidDel="00000000" w:rsidR="00000000" w:rsidRPr="00000000">
        <w:rPr>
          <w:rFonts w:ascii="Arial Narrow" w:cs="Arial Narrow" w:eastAsia="Arial Narrow" w:hAnsi="Arial Narrow"/>
          <w:b w:val="1"/>
          <w:color w:val="073763"/>
          <w:sz w:val="26"/>
          <w:szCs w:val="26"/>
          <w:rtl w:val="0"/>
        </w:rPr>
        <w:t xml:space="preserve">E. </w:t>
      </w:r>
      <w:r w:rsidDel="00000000" w:rsidR="00000000" w:rsidRPr="00000000">
        <w:rPr>
          <w:rFonts w:ascii="Arial Narrow" w:cs="Arial Narrow" w:eastAsia="Arial Narrow" w:hAnsi="Arial Narrow"/>
          <w:b w:val="1"/>
          <w:color w:val="073763"/>
          <w:sz w:val="26"/>
          <w:szCs w:val="26"/>
          <w:u w:val="single"/>
          <w:rtl w:val="0"/>
        </w:rPr>
        <w:t xml:space="preserve">Política de privacidad de datos</w:t>
      </w:r>
      <w:r w:rsidDel="00000000" w:rsidR="00000000" w:rsidRPr="00000000">
        <w:rPr>
          <w:rtl w:val="0"/>
        </w:rPr>
      </w:r>
    </w:p>
    <w:p w:rsidR="00000000" w:rsidDel="00000000" w:rsidP="00000000" w:rsidRDefault="00000000" w:rsidRPr="00000000" w14:paraId="000000B1">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caso de que la distribución de ciertos productos o la prestación de servicios implique el acceso o tratamiento de datos de carácter personal, resulta necesario implementar una Política de Protección de Datos conforme a la Ley 25.326. Esta política deberá establecer con claridad quién será el responsable y el encargado del tratamiento de datos, los fines para los cuales serán utilizados, así como los protocolos aplicables ante solicitudes de acceso, rectificación o eliminación por parte de los titulares.</w:t>
      </w:r>
    </w:p>
    <w:p w:rsidR="00000000" w:rsidDel="00000000" w:rsidP="00000000" w:rsidRDefault="00000000" w:rsidRPr="00000000" w14:paraId="000000B2">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Asimismo, se recomienda implementar un protocolo específico para casos de filtración de datos, así como medidas preventivas que reduzcan el riesgo de divulgación no autorizada o accesos indebidos.</w:t>
      </w:r>
    </w:p>
    <w:p w:rsidR="00000000" w:rsidDel="00000000" w:rsidP="00000000" w:rsidRDefault="00000000" w:rsidRPr="00000000" w14:paraId="000000B3">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cuanto a la unidad B2B, orientada a la</w:t>
      </w:r>
      <w:r w:rsidDel="00000000" w:rsidR="00000000" w:rsidRPr="00000000">
        <w:rPr>
          <w:rFonts w:ascii="Arial Narrow" w:cs="Arial Narrow" w:eastAsia="Arial Narrow" w:hAnsi="Arial Narrow"/>
          <w:sz w:val="22"/>
          <w:szCs w:val="22"/>
          <w:u w:val="single"/>
          <w:rtl w:val="0"/>
        </w:rPr>
        <w:t xml:space="preserve"> venta de licencias de software</w:t>
      </w:r>
      <w:r w:rsidDel="00000000" w:rsidR="00000000" w:rsidRPr="00000000">
        <w:rPr>
          <w:rFonts w:ascii="Arial Narrow" w:cs="Arial Narrow" w:eastAsia="Arial Narrow" w:hAnsi="Arial Narrow"/>
          <w:sz w:val="22"/>
          <w:szCs w:val="22"/>
          <w:rtl w:val="0"/>
        </w:rPr>
        <w:t xml:space="preserve">, si bien el Grupo no tratará directamente datos personales, deberá prever contractualmente su alcance y responsabilidades en tanto proveedor de una herramienta que será utilizada por terceros para gestionar información sensible. Se sugiere incluir en los contratos de licencia cláusulas específicas de limitación de responsabilidad, así como condiciones técnicas mínimas que faciliten el cumplimiento normativo por parte del licenciatario (por ejemplo, perfiles de acceso, logs de actividad, backups y mecanismos de restricción interna).</w:t>
      </w:r>
    </w:p>
    <w:p w:rsidR="00000000" w:rsidDel="00000000" w:rsidP="00000000" w:rsidRDefault="00000000" w:rsidRPr="00000000" w14:paraId="000000B4">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su parte, la unidad de </w:t>
      </w:r>
      <w:r w:rsidDel="00000000" w:rsidR="00000000" w:rsidRPr="00000000">
        <w:rPr>
          <w:rFonts w:ascii="Arial Narrow" w:cs="Arial Narrow" w:eastAsia="Arial Narrow" w:hAnsi="Arial Narrow"/>
          <w:sz w:val="22"/>
          <w:szCs w:val="22"/>
          <w:u w:val="single"/>
          <w:rtl w:val="0"/>
        </w:rPr>
        <w:t xml:space="preserve">Tarjetas de Crédito</w:t>
      </w:r>
      <w:r w:rsidDel="00000000" w:rsidR="00000000" w:rsidRPr="00000000">
        <w:rPr>
          <w:rFonts w:ascii="Arial Narrow" w:cs="Arial Narrow" w:eastAsia="Arial Narrow" w:hAnsi="Arial Narrow"/>
          <w:sz w:val="22"/>
          <w:szCs w:val="22"/>
          <w:rtl w:val="0"/>
        </w:rPr>
        <w:t xml:space="preserve"> podría verse involucrada dentro de la cadena de tratamiento de datos personales, especialmente en procesos vinculados a la personalización, fabricación o distribución de las tarjetas. En ese caso, se recomienda establecer protocolos internos de trazabilidad, seguridad y confidencialidad, así como prever cláusulas contractuales reforzadas con terceros que regulen el flujo de datos, las responsabilidades ante incidentes y los mecanismos de resguardo de la información.</w:t>
      </w:r>
    </w:p>
    <w:p w:rsidR="00000000" w:rsidDel="00000000" w:rsidP="00000000" w:rsidRDefault="00000000" w:rsidRPr="00000000" w14:paraId="000000B5">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todos los casos, el enfoque debe ser preventivo, asegurando la conservación, integridad y confidencialidad de los datos tratados o facilitados por terceros, aún cuando la empresa no actúe como responsable principal del tratamiento.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Narrow" w:cs="Arial Narrow" w:eastAsia="Arial Narrow" w:hAnsi="Arial Narrow"/>
          <w:b w:val="1"/>
          <w:color w:val="073763"/>
          <w:sz w:val="26"/>
          <w:szCs w:val="26"/>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720"/>
        <w:jc w:val="both"/>
        <w:rPr>
          <w:rFonts w:ascii="Arial Narrow" w:cs="Arial Narrow" w:eastAsia="Arial Narrow" w:hAnsi="Arial Narrow"/>
          <w:b w:val="1"/>
          <w:color w:val="073763"/>
          <w:sz w:val="26"/>
          <w:szCs w:val="26"/>
          <w:u w:val="single"/>
        </w:rPr>
      </w:pPr>
      <w:r w:rsidDel="00000000" w:rsidR="00000000" w:rsidRPr="00000000">
        <w:rPr>
          <w:rFonts w:ascii="Arial Narrow" w:cs="Arial Narrow" w:eastAsia="Arial Narrow" w:hAnsi="Arial Narrow"/>
          <w:b w:val="1"/>
          <w:color w:val="073763"/>
          <w:sz w:val="26"/>
          <w:szCs w:val="26"/>
          <w:rtl w:val="0"/>
        </w:rPr>
        <w:t xml:space="preserve">F.</w:t>
      </w:r>
      <w:r w:rsidDel="00000000" w:rsidR="00000000" w:rsidRPr="00000000">
        <w:rPr>
          <w:rFonts w:ascii="Arial Narrow" w:cs="Arial Narrow" w:eastAsia="Arial Narrow" w:hAnsi="Arial Narrow"/>
          <w:b w:val="1"/>
          <w:color w:val="073763"/>
          <w:sz w:val="26"/>
          <w:szCs w:val="26"/>
          <w:rtl w:val="0"/>
        </w:rPr>
        <w:t xml:space="preserve"> </w:t>
      </w:r>
      <w:r w:rsidDel="00000000" w:rsidR="00000000" w:rsidRPr="00000000">
        <w:rPr>
          <w:rFonts w:ascii="Arial Narrow" w:cs="Arial Narrow" w:eastAsia="Arial Narrow" w:hAnsi="Arial Narrow"/>
          <w:b w:val="1"/>
          <w:color w:val="073763"/>
          <w:sz w:val="26"/>
          <w:szCs w:val="26"/>
          <w:u w:val="single"/>
          <w:rtl w:val="0"/>
        </w:rPr>
        <w:t xml:space="preserve">Recursos Humanos y Cumplimiento Laboral</w:t>
      </w:r>
    </w:p>
    <w:p w:rsidR="00000000" w:rsidDel="00000000" w:rsidP="00000000" w:rsidRDefault="00000000" w:rsidRPr="00000000" w14:paraId="000000B8">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Del análisis realizado sobre la estructura laboral y contractual de la empresa, se identificaron inicialmente debilidades relevantes en materia de formalización, trazabilidad documental y resguardo de la información estratégica, que requerían atención prioritaria.</w:t>
      </w:r>
    </w:p>
    <w:p w:rsidR="00000000" w:rsidDel="00000000" w:rsidP="00000000" w:rsidRDefault="00000000" w:rsidRPr="00000000" w14:paraId="000000B9">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documentación laboral presentaba un enfoque informal, con contratos básicos y sin contemplar herramientas clave que permitan prever conflictos, proteger activos intangibles o asegurar el cumplimiento normativo. Tampoco existía una diferenciación clara entre los distintos tipos de vínculo (laboral, prestación de servicios, comercial), lo que podía derivar en contingencias legales o disputas innecesarias.</w:t>
      </w:r>
    </w:p>
    <w:p w:rsidR="00000000" w:rsidDel="00000000" w:rsidP="00000000" w:rsidRDefault="00000000" w:rsidRPr="00000000" w14:paraId="000000BA">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Frente a ello, se avanzó en la </w:t>
      </w:r>
      <w:r w:rsidDel="00000000" w:rsidR="00000000" w:rsidRPr="00000000">
        <w:rPr>
          <w:rFonts w:ascii="Arial Narrow" w:cs="Arial Narrow" w:eastAsia="Arial Narrow" w:hAnsi="Arial Narrow"/>
          <w:b w:val="1"/>
          <w:sz w:val="22"/>
          <w:szCs w:val="22"/>
          <w:rtl w:val="0"/>
        </w:rPr>
        <w:t xml:space="preserve">mejora y rediseño de los principales instrumentos contractuales</w:t>
      </w:r>
      <w:r w:rsidDel="00000000" w:rsidR="00000000" w:rsidRPr="00000000">
        <w:rPr>
          <w:rFonts w:ascii="Arial Narrow" w:cs="Arial Narrow" w:eastAsia="Arial Narrow" w:hAnsi="Arial Narrow"/>
          <w:sz w:val="22"/>
          <w:szCs w:val="22"/>
          <w:rtl w:val="0"/>
        </w:rPr>
        <w:t xml:space="preserve">, tanto en el plano interno como en los acuerdos con terceros:</w:t>
      </w:r>
    </w:p>
    <w:p w:rsidR="00000000" w:rsidDel="00000000" w:rsidP="00000000" w:rsidRDefault="00000000" w:rsidRPr="00000000" w14:paraId="000000BB">
      <w:pPr>
        <w:pStyle w:val="Heading4"/>
        <w:keepNext w:val="0"/>
        <w:keepLines w:val="0"/>
        <w:spacing w:before="240" w:line="276" w:lineRule="auto"/>
        <w:ind w:left="720" w:hanging="360"/>
        <w:rPr>
          <w:rFonts w:ascii="Arial Narrow" w:cs="Arial Narrow" w:eastAsia="Arial Narrow" w:hAnsi="Arial Narrow"/>
          <w:b w:val="1"/>
          <w:i w:val="0"/>
          <w:color w:val="000000"/>
          <w:sz w:val="22"/>
          <w:szCs w:val="22"/>
        </w:rPr>
      </w:pPr>
      <w:bookmarkStart w:colFirst="0" w:colLast="0" w:name="_heading=h.aw8pvye0omw5" w:id="12"/>
      <w:bookmarkEnd w:id="12"/>
      <w:r w:rsidDel="00000000" w:rsidR="00000000" w:rsidRPr="00000000">
        <w:rPr>
          <w:rFonts w:ascii="Arial Narrow" w:cs="Arial Narrow" w:eastAsia="Arial Narrow" w:hAnsi="Arial Narrow"/>
          <w:b w:val="1"/>
          <w:i w:val="0"/>
          <w:color w:val="000000"/>
          <w:sz w:val="22"/>
          <w:szCs w:val="22"/>
          <w:rtl w:val="0"/>
        </w:rPr>
        <w:t xml:space="preserve">1. Empleados y Régimen Laboral</w:t>
      </w:r>
    </w:p>
    <w:p w:rsidR="00000000" w:rsidDel="00000000" w:rsidP="00000000" w:rsidRDefault="00000000" w:rsidRPr="00000000" w14:paraId="000000BC">
      <w:pPr>
        <w:numPr>
          <w:ilvl w:val="0"/>
          <w:numId w:val="7"/>
        </w:numPr>
        <w:spacing w:after="0" w:afterAutospacing="0" w:before="24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elaboraron </w:t>
      </w:r>
      <w:r w:rsidDel="00000000" w:rsidR="00000000" w:rsidRPr="00000000">
        <w:rPr>
          <w:rFonts w:ascii="Arial Narrow" w:cs="Arial Narrow" w:eastAsia="Arial Narrow" w:hAnsi="Arial Narrow"/>
          <w:b w:val="1"/>
          <w:sz w:val="22"/>
          <w:szCs w:val="22"/>
          <w:rtl w:val="0"/>
        </w:rPr>
        <w:t xml:space="preserve">nuevos modelos de contrato de trabajo</w:t>
      </w:r>
      <w:r w:rsidDel="00000000" w:rsidR="00000000" w:rsidRPr="00000000">
        <w:rPr>
          <w:rFonts w:ascii="Arial Narrow" w:cs="Arial Narrow" w:eastAsia="Arial Narrow" w:hAnsi="Arial Narrow"/>
          <w:sz w:val="22"/>
          <w:szCs w:val="22"/>
          <w:rtl w:val="0"/>
        </w:rPr>
        <w:t xml:space="preserve"> adaptados a esquemas presenciales e híbridos, con la inclusión de cláusulas robustas de confidencialidad, propiedad intelectual y —en particular— no competencia post laboral. Esta última prevé restricciones temporales y geográficas razonables, orientadas a impedir que personal con acceso a información clave utilice ese conocimiento en perjuicio del Grupo.</w:t>
      </w:r>
    </w:p>
    <w:p w:rsidR="00000000" w:rsidDel="00000000" w:rsidP="00000000" w:rsidRDefault="00000000" w:rsidRPr="00000000" w14:paraId="000000BD">
      <w:pPr>
        <w:numPr>
          <w:ilvl w:val="0"/>
          <w:numId w:val="7"/>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incorporaron </w:t>
      </w:r>
      <w:r w:rsidDel="00000000" w:rsidR="00000000" w:rsidRPr="00000000">
        <w:rPr>
          <w:rFonts w:ascii="Arial Narrow" w:cs="Arial Narrow" w:eastAsia="Arial Narrow" w:hAnsi="Arial Narrow"/>
          <w:b w:val="1"/>
          <w:sz w:val="22"/>
          <w:szCs w:val="22"/>
          <w:rtl w:val="0"/>
        </w:rPr>
        <w:t xml:space="preserve">cláusulas de penalidad y multa</w:t>
      </w:r>
      <w:r w:rsidDel="00000000" w:rsidR="00000000" w:rsidRPr="00000000">
        <w:rPr>
          <w:rFonts w:ascii="Arial Narrow" w:cs="Arial Narrow" w:eastAsia="Arial Narrow" w:hAnsi="Arial Narrow"/>
          <w:sz w:val="22"/>
          <w:szCs w:val="22"/>
          <w:rtl w:val="0"/>
        </w:rPr>
        <w:t xml:space="preserve"> en caso de incumplimiento de las obligaciones de confidencialidad y no competencia, calculadas sobre un valor porcentual de la retribución anual del empleado, con carácter de cláusula penal líquida, a fin de otorgar previsibilidad y efecto disuasorio.</w:t>
      </w:r>
    </w:p>
    <w:p w:rsidR="00000000" w:rsidDel="00000000" w:rsidP="00000000" w:rsidRDefault="00000000" w:rsidRPr="00000000" w14:paraId="000000BE">
      <w:pPr>
        <w:numPr>
          <w:ilvl w:val="0"/>
          <w:numId w:val="7"/>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implementó un </w:t>
      </w:r>
      <w:r w:rsidDel="00000000" w:rsidR="00000000" w:rsidRPr="00000000">
        <w:rPr>
          <w:rFonts w:ascii="Arial Narrow" w:cs="Arial Narrow" w:eastAsia="Arial Narrow" w:hAnsi="Arial Narrow"/>
          <w:b w:val="1"/>
          <w:sz w:val="22"/>
          <w:szCs w:val="22"/>
          <w:rtl w:val="0"/>
        </w:rPr>
        <w:t xml:space="preserve">modelo de contrato de comodato</w:t>
      </w:r>
      <w:r w:rsidDel="00000000" w:rsidR="00000000" w:rsidRPr="00000000">
        <w:rPr>
          <w:rFonts w:ascii="Arial Narrow" w:cs="Arial Narrow" w:eastAsia="Arial Narrow" w:hAnsi="Arial Narrow"/>
          <w:sz w:val="22"/>
          <w:szCs w:val="22"/>
          <w:rtl w:val="0"/>
        </w:rPr>
        <w:t xml:space="preserve"> para formalizar la entrega de notebooks, celulares y otros bienes al personal, protegiendo el patrimonio de la empresa y delimitando responsabilidades frente a daños o pérdida.</w:t>
      </w:r>
    </w:p>
    <w:p w:rsidR="00000000" w:rsidDel="00000000" w:rsidP="00000000" w:rsidRDefault="00000000" w:rsidRPr="00000000" w14:paraId="000000BF">
      <w:pPr>
        <w:numPr>
          <w:ilvl w:val="0"/>
          <w:numId w:val="7"/>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propuso e implementó un </w:t>
      </w:r>
      <w:r w:rsidDel="00000000" w:rsidR="00000000" w:rsidRPr="00000000">
        <w:rPr>
          <w:rFonts w:ascii="Arial Narrow" w:cs="Arial Narrow" w:eastAsia="Arial Narrow" w:hAnsi="Arial Narrow"/>
          <w:b w:val="1"/>
          <w:sz w:val="22"/>
          <w:szCs w:val="22"/>
          <w:rtl w:val="0"/>
        </w:rPr>
        <w:t xml:space="preserve">Reglamento Interno con régimen disciplinario gradual</w:t>
      </w:r>
      <w:r w:rsidDel="00000000" w:rsidR="00000000" w:rsidRPr="00000000">
        <w:rPr>
          <w:rFonts w:ascii="Arial Narrow" w:cs="Arial Narrow" w:eastAsia="Arial Narrow" w:hAnsi="Arial Narrow"/>
          <w:sz w:val="22"/>
          <w:szCs w:val="22"/>
          <w:rtl w:val="0"/>
        </w:rPr>
        <w:t xml:space="preserve">, actualmente en proceso de implementación, que permitirá sostener sanciones laborales ante incumplimientos reiterados o faltas graves, y que mejora la posición de la empresa ante eventuales reclamos.</w:t>
      </w:r>
    </w:p>
    <w:p w:rsidR="00000000" w:rsidDel="00000000" w:rsidP="00000000" w:rsidRDefault="00000000" w:rsidRPr="00000000" w14:paraId="000000C0">
      <w:pPr>
        <w:numPr>
          <w:ilvl w:val="0"/>
          <w:numId w:val="7"/>
        </w:numPr>
        <w:spacing w:after="24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incorporó un </w:t>
      </w:r>
      <w:r w:rsidDel="00000000" w:rsidR="00000000" w:rsidRPr="00000000">
        <w:rPr>
          <w:rFonts w:ascii="Arial Narrow" w:cs="Arial Narrow" w:eastAsia="Arial Narrow" w:hAnsi="Arial Narrow"/>
          <w:b w:val="1"/>
          <w:sz w:val="22"/>
          <w:szCs w:val="22"/>
          <w:rtl w:val="0"/>
        </w:rPr>
        <w:t xml:space="preserve">Protocolo de Denuncias internas</w:t>
      </w:r>
      <w:r w:rsidDel="00000000" w:rsidR="00000000" w:rsidRPr="00000000">
        <w:rPr>
          <w:rFonts w:ascii="Arial Narrow" w:cs="Arial Narrow" w:eastAsia="Arial Narrow" w:hAnsi="Arial Narrow"/>
          <w:sz w:val="22"/>
          <w:szCs w:val="22"/>
          <w:rtl w:val="0"/>
        </w:rPr>
        <w:t xml:space="preserve">, con canales seguros y trazables, que permite atender situaciones irregulares con criterios mínimos de compliance, y responder adecuadamente ante eventuales exigencias de clientes corporativos.</w:t>
        <w:br w:type="textWrapping"/>
      </w:r>
    </w:p>
    <w:p w:rsidR="00000000" w:rsidDel="00000000" w:rsidP="00000000" w:rsidRDefault="00000000" w:rsidRPr="00000000" w14:paraId="000000C1">
      <w:pPr>
        <w:pStyle w:val="Heading4"/>
        <w:keepNext w:val="0"/>
        <w:keepLines w:val="0"/>
        <w:spacing w:before="240" w:line="276" w:lineRule="auto"/>
        <w:ind w:left="720" w:hanging="360"/>
        <w:rPr>
          <w:rFonts w:ascii="Arial Narrow" w:cs="Arial Narrow" w:eastAsia="Arial Narrow" w:hAnsi="Arial Narrow"/>
          <w:b w:val="1"/>
          <w:i w:val="0"/>
          <w:color w:val="000000"/>
          <w:sz w:val="22"/>
          <w:szCs w:val="22"/>
        </w:rPr>
      </w:pPr>
      <w:bookmarkStart w:colFirst="0" w:colLast="0" w:name="_heading=h.ndkpuiwixuf" w:id="13"/>
      <w:bookmarkEnd w:id="13"/>
      <w:r w:rsidDel="00000000" w:rsidR="00000000" w:rsidRPr="00000000">
        <w:rPr>
          <w:rFonts w:ascii="Arial Narrow" w:cs="Arial Narrow" w:eastAsia="Arial Narrow" w:hAnsi="Arial Narrow"/>
          <w:b w:val="1"/>
          <w:i w:val="0"/>
          <w:color w:val="000000"/>
          <w:sz w:val="22"/>
          <w:szCs w:val="22"/>
          <w:rtl w:val="0"/>
        </w:rPr>
        <w:t xml:space="preserve">2. Prestadores de Servicios y Contratados Estratégicos</w:t>
      </w:r>
    </w:p>
    <w:p w:rsidR="00000000" w:rsidDel="00000000" w:rsidP="00000000" w:rsidRDefault="00000000" w:rsidRPr="00000000" w14:paraId="000000C2">
      <w:pPr>
        <w:numPr>
          <w:ilvl w:val="0"/>
          <w:numId w:val="11"/>
        </w:numPr>
        <w:spacing w:after="0" w:afterAutospacing="0" w:before="24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revisaron y rediseñaron los </w:t>
      </w:r>
      <w:r w:rsidDel="00000000" w:rsidR="00000000" w:rsidRPr="00000000">
        <w:rPr>
          <w:rFonts w:ascii="Arial Narrow" w:cs="Arial Narrow" w:eastAsia="Arial Narrow" w:hAnsi="Arial Narrow"/>
          <w:b w:val="1"/>
          <w:sz w:val="22"/>
          <w:szCs w:val="22"/>
          <w:rtl w:val="0"/>
        </w:rPr>
        <w:t xml:space="preserve">contratos de prestación de servicios</w:t>
      </w:r>
      <w:r w:rsidDel="00000000" w:rsidR="00000000" w:rsidRPr="00000000">
        <w:rPr>
          <w:rFonts w:ascii="Arial Narrow" w:cs="Arial Narrow" w:eastAsia="Arial Narrow" w:hAnsi="Arial Narrow"/>
          <w:sz w:val="22"/>
          <w:szCs w:val="22"/>
          <w:rtl w:val="0"/>
        </w:rPr>
        <w:t xml:space="preserve">, incluyendo acuerdos con proveedores estratégicos, desarrolladores, consultores y figuras de referral fee. Se incorporaron cláusulas de </w:t>
      </w:r>
      <w:r w:rsidDel="00000000" w:rsidR="00000000" w:rsidRPr="00000000">
        <w:rPr>
          <w:rFonts w:ascii="Arial Narrow" w:cs="Arial Narrow" w:eastAsia="Arial Narrow" w:hAnsi="Arial Narrow"/>
          <w:b w:val="1"/>
          <w:sz w:val="22"/>
          <w:szCs w:val="22"/>
          <w:rtl w:val="0"/>
        </w:rPr>
        <w:t xml:space="preserve">confidencialidad</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b w:val="1"/>
          <w:sz w:val="22"/>
          <w:szCs w:val="22"/>
          <w:rtl w:val="0"/>
        </w:rPr>
        <w:t xml:space="preserve">no divulgación</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b w:val="1"/>
          <w:sz w:val="22"/>
          <w:szCs w:val="22"/>
          <w:rtl w:val="0"/>
        </w:rPr>
        <w:t xml:space="preserve">no captación de clientes</w:t>
      </w:r>
      <w:r w:rsidDel="00000000" w:rsidR="00000000" w:rsidRPr="00000000">
        <w:rPr>
          <w:rFonts w:ascii="Arial Narrow" w:cs="Arial Narrow" w:eastAsia="Arial Narrow" w:hAnsi="Arial Narrow"/>
          <w:sz w:val="22"/>
          <w:szCs w:val="22"/>
          <w:rtl w:val="0"/>
        </w:rPr>
        <w:t xml:space="preserve"> y </w:t>
      </w:r>
      <w:r w:rsidDel="00000000" w:rsidR="00000000" w:rsidRPr="00000000">
        <w:rPr>
          <w:rFonts w:ascii="Arial Narrow" w:cs="Arial Narrow" w:eastAsia="Arial Narrow" w:hAnsi="Arial Narrow"/>
          <w:b w:val="1"/>
          <w:sz w:val="22"/>
          <w:szCs w:val="22"/>
          <w:rtl w:val="0"/>
        </w:rPr>
        <w:t xml:space="preserve">no competencia</w:t>
      </w:r>
      <w:r w:rsidDel="00000000" w:rsidR="00000000" w:rsidRPr="00000000">
        <w:rPr>
          <w:rFonts w:ascii="Arial Narrow" w:cs="Arial Narrow" w:eastAsia="Arial Narrow" w:hAnsi="Arial Narrow"/>
          <w:sz w:val="22"/>
          <w:szCs w:val="22"/>
          <w:rtl w:val="0"/>
        </w:rPr>
        <w:t xml:space="preserve">, con redacción clara y efectiva.</w:t>
      </w:r>
    </w:p>
    <w:p w:rsidR="00000000" w:rsidDel="00000000" w:rsidP="00000000" w:rsidRDefault="00000000" w:rsidRPr="00000000" w14:paraId="000000C3">
      <w:pPr>
        <w:numPr>
          <w:ilvl w:val="0"/>
          <w:numId w:val="11"/>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Los contratos incluyen previsiones expresas de </w:t>
      </w:r>
      <w:r w:rsidDel="00000000" w:rsidR="00000000" w:rsidRPr="00000000">
        <w:rPr>
          <w:rFonts w:ascii="Arial Narrow" w:cs="Arial Narrow" w:eastAsia="Arial Narrow" w:hAnsi="Arial Narrow"/>
          <w:b w:val="1"/>
          <w:sz w:val="22"/>
          <w:szCs w:val="22"/>
          <w:rtl w:val="0"/>
        </w:rPr>
        <w:t xml:space="preserve">cláusula penal por violación de deberes de reserva o desvío de oportunidades comerciales</w:t>
      </w:r>
      <w:r w:rsidDel="00000000" w:rsidR="00000000" w:rsidRPr="00000000">
        <w:rPr>
          <w:rFonts w:ascii="Arial Narrow" w:cs="Arial Narrow" w:eastAsia="Arial Narrow" w:hAnsi="Arial Narrow"/>
          <w:sz w:val="22"/>
          <w:szCs w:val="22"/>
          <w:rtl w:val="0"/>
        </w:rPr>
        <w:t xml:space="preserve">, con penalidades automáticas ante incumplimiento. Estas cláusulas funcionan como instrumento disuasorio y como vía rápida de resarcimiento en caso de filtración de datos sensibles o uso indebido de información estratégica.</w:t>
      </w:r>
    </w:p>
    <w:p w:rsidR="00000000" w:rsidDel="00000000" w:rsidP="00000000" w:rsidRDefault="00000000" w:rsidRPr="00000000" w14:paraId="000000C4">
      <w:pPr>
        <w:numPr>
          <w:ilvl w:val="0"/>
          <w:numId w:val="11"/>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incorporaron </w:t>
      </w:r>
      <w:r w:rsidDel="00000000" w:rsidR="00000000" w:rsidRPr="00000000">
        <w:rPr>
          <w:rFonts w:ascii="Arial Narrow" w:cs="Arial Narrow" w:eastAsia="Arial Narrow" w:hAnsi="Arial Narrow"/>
          <w:b w:val="1"/>
          <w:sz w:val="22"/>
          <w:szCs w:val="22"/>
          <w:rtl w:val="0"/>
        </w:rPr>
        <w:t xml:space="preserve">NDA (Non-Disclosure Agreements)</w:t>
      </w:r>
      <w:r w:rsidDel="00000000" w:rsidR="00000000" w:rsidRPr="00000000">
        <w:rPr>
          <w:rFonts w:ascii="Arial Narrow" w:cs="Arial Narrow" w:eastAsia="Arial Narrow" w:hAnsi="Arial Narrow"/>
          <w:sz w:val="22"/>
          <w:szCs w:val="22"/>
          <w:rtl w:val="0"/>
        </w:rPr>
        <w:t xml:space="preserve"> como instrumentos independientes, aplicables a todo vínculo con acceso a información crítica, incluso en fases preliminares o exploratorias de negocio. Estos NDA contienen compromisos de no uso, no archivo, y confidencialidad reforzada, con vigencia posterior al término del contrato.</w:t>
      </w:r>
    </w:p>
    <w:p w:rsidR="00000000" w:rsidDel="00000000" w:rsidP="00000000" w:rsidRDefault="00000000" w:rsidRPr="00000000" w14:paraId="000000C5">
      <w:pPr>
        <w:numPr>
          <w:ilvl w:val="0"/>
          <w:numId w:val="11"/>
        </w:numPr>
        <w:spacing w:after="24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los contratos de referidos (Referral Fee), se regularon condiciones de pago, exclusividad y tratamiento de leads, con cláusulas específicas que impiden el contacto directo del tercero con los clientes del Grupo sin autorización expresa.</w:t>
      </w:r>
    </w:p>
    <w:p w:rsidR="00000000" w:rsidDel="00000000" w:rsidP="00000000" w:rsidRDefault="00000000" w:rsidRPr="00000000" w14:paraId="000000C6">
      <w:pPr>
        <w:spacing w:after="240" w:before="240" w:line="276" w:lineRule="auto"/>
        <w:ind w:left="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partir de estas mejoras, la empresa cuenta hoy con una estructura contractual más consolidada, estandarizada y alineada con la complejidad de su operación actual y futura. Se pasó de un esquema </w:t>
      </w:r>
      <w:r w:rsidDel="00000000" w:rsidR="00000000" w:rsidRPr="00000000">
        <w:rPr>
          <w:rFonts w:ascii="Arial Narrow" w:cs="Arial Narrow" w:eastAsia="Arial Narrow" w:hAnsi="Arial Narrow"/>
          <w:sz w:val="22"/>
          <w:szCs w:val="22"/>
          <w:shd w:fill="f4cccc" w:val="clear"/>
          <w:rtl w:val="0"/>
        </w:rPr>
        <w:t xml:space="preserve">informal y reactivo</w:t>
      </w:r>
      <w:r w:rsidDel="00000000" w:rsidR="00000000" w:rsidRPr="00000000">
        <w:rPr>
          <w:rFonts w:ascii="Arial Narrow" w:cs="Arial Narrow" w:eastAsia="Arial Narrow" w:hAnsi="Arial Narrow"/>
          <w:sz w:val="22"/>
          <w:szCs w:val="22"/>
          <w:rtl w:val="0"/>
        </w:rPr>
        <w:t xml:space="preserve">, a un </w:t>
      </w:r>
      <w:r w:rsidDel="00000000" w:rsidR="00000000" w:rsidRPr="00000000">
        <w:rPr>
          <w:rFonts w:ascii="Arial Narrow" w:cs="Arial Narrow" w:eastAsia="Arial Narrow" w:hAnsi="Arial Narrow"/>
          <w:sz w:val="22"/>
          <w:szCs w:val="22"/>
          <w:shd w:fill="d9ead3" w:val="clear"/>
          <w:rtl w:val="0"/>
        </w:rPr>
        <w:t xml:space="preserve">modelo preventivo,</w:t>
      </w:r>
      <w:r w:rsidDel="00000000" w:rsidR="00000000" w:rsidRPr="00000000">
        <w:rPr>
          <w:rFonts w:ascii="Arial Narrow" w:cs="Arial Narrow" w:eastAsia="Arial Narrow" w:hAnsi="Arial Narrow"/>
          <w:sz w:val="22"/>
          <w:szCs w:val="22"/>
          <w:rtl w:val="0"/>
        </w:rPr>
        <w:t xml:space="preserve"> que permite anticipar escenarios de conflicto, proteger información crítica y dar cumplimiento a estándares propios de grupos corporativos en expansión.</w:t>
      </w:r>
    </w:p>
    <w:p w:rsidR="00000000" w:rsidDel="00000000" w:rsidP="00000000" w:rsidRDefault="00000000" w:rsidRPr="00000000" w14:paraId="000000C7">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desafío siguiente será consolidar estas herramientas a través de procesos de revisión periódica, capacitación interna y acompañamiento a medida que el equipo y la operatoria se diversifiquen.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C9">
      <w:pPr>
        <w:spacing w:line="276" w:lineRule="auto"/>
        <w:ind w:firstLine="720"/>
        <w:jc w:val="both"/>
        <w:rPr>
          <w:rFonts w:ascii="Arial Narrow" w:cs="Arial Narrow" w:eastAsia="Arial Narrow" w:hAnsi="Arial Narrow"/>
          <w:b w:val="1"/>
          <w:color w:val="073763"/>
          <w:sz w:val="22"/>
          <w:szCs w:val="22"/>
          <w:u w:val="single"/>
        </w:rPr>
      </w:pPr>
      <w:r w:rsidDel="00000000" w:rsidR="00000000" w:rsidRPr="00000000">
        <w:rPr>
          <w:rFonts w:ascii="Arial Narrow" w:cs="Arial Narrow" w:eastAsia="Arial Narrow" w:hAnsi="Arial Narrow"/>
          <w:b w:val="1"/>
          <w:color w:val="073763"/>
          <w:sz w:val="26"/>
          <w:szCs w:val="26"/>
          <w:rtl w:val="0"/>
        </w:rPr>
        <w:t xml:space="preserve">G. </w:t>
      </w:r>
      <w:r w:rsidDel="00000000" w:rsidR="00000000" w:rsidRPr="00000000">
        <w:rPr>
          <w:rFonts w:ascii="Arial Narrow" w:cs="Arial Narrow" w:eastAsia="Arial Narrow" w:hAnsi="Arial Narrow"/>
          <w:b w:val="1"/>
          <w:color w:val="073763"/>
          <w:sz w:val="26"/>
          <w:szCs w:val="26"/>
          <w:u w:val="single"/>
          <w:rtl w:val="0"/>
        </w:rPr>
        <w:t xml:space="preserve">Riesgos Legales y Litigios</w:t>
      </w:r>
      <w:r w:rsidDel="00000000" w:rsidR="00000000" w:rsidRPr="00000000">
        <w:rPr>
          <w:rtl w:val="0"/>
        </w:rPr>
      </w:r>
    </w:p>
    <w:p w:rsidR="00000000" w:rsidDel="00000000" w:rsidP="00000000" w:rsidRDefault="00000000" w:rsidRPr="00000000" w14:paraId="000000CA">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relación con el análisis sobre la situación judicial de las siguientes personas jurídicas:</w:t>
      </w:r>
    </w:p>
    <w:p w:rsidR="00000000" w:rsidDel="00000000" w:rsidP="00000000" w:rsidRDefault="00000000" w:rsidRPr="00000000" w14:paraId="000000CB">
      <w:pPr>
        <w:numPr>
          <w:ilvl w:val="0"/>
          <w:numId w:val="2"/>
        </w:numPr>
        <w:spacing w:after="0" w:afterAutospacing="0" w:before="24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color w:val="222222"/>
          <w:sz w:val="22"/>
          <w:szCs w:val="22"/>
          <w:rtl w:val="0"/>
        </w:rPr>
        <w:t xml:space="preserve">Supply Solutions S.A. CUIT 30-717131483</w:t>
      </w:r>
    </w:p>
    <w:p w:rsidR="00000000" w:rsidDel="00000000" w:rsidP="00000000" w:rsidRDefault="00000000" w:rsidRPr="00000000" w14:paraId="000000CC">
      <w:pPr>
        <w:numPr>
          <w:ilvl w:val="0"/>
          <w:numId w:val="2"/>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color w:val="222222"/>
          <w:sz w:val="22"/>
          <w:szCs w:val="22"/>
          <w:rtl w:val="0"/>
        </w:rPr>
        <w:t xml:space="preserve">Grupo GJ SRL CUIT 30-71530310-4</w:t>
      </w:r>
    </w:p>
    <w:p w:rsidR="00000000" w:rsidDel="00000000" w:rsidP="00000000" w:rsidRDefault="00000000" w:rsidRPr="00000000" w14:paraId="000000CD">
      <w:pPr>
        <w:numPr>
          <w:ilvl w:val="0"/>
          <w:numId w:val="2"/>
        </w:numPr>
        <w:spacing w:after="24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color w:val="222222"/>
          <w:sz w:val="22"/>
          <w:szCs w:val="22"/>
          <w:rtl w:val="0"/>
        </w:rPr>
        <w:t xml:space="preserve">SYP Latam SRL CUIT 30-71649542-2</w:t>
      </w:r>
      <w:r w:rsidDel="00000000" w:rsidR="00000000" w:rsidRPr="00000000">
        <w:rPr>
          <w:rtl w:val="0"/>
        </w:rPr>
      </w:r>
    </w:p>
    <w:p w:rsidR="00000000" w:rsidDel="00000000" w:rsidP="00000000" w:rsidRDefault="00000000" w:rsidRPr="00000000" w14:paraId="000000CE">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Informamos que, conforme a la consulta realizada en los registros públicos disponibles del Poder Judicial de la Ciudad Autónoma de Buenos Aires (CABA), no se han detectado causas judiciales activas en las que dichas entidades figuren como parte al momento del presente relevamiento.</w:t>
      </w:r>
      <w:r w:rsidDel="00000000" w:rsidR="00000000" w:rsidRPr="00000000">
        <w:rPr>
          <w:rtl w:val="0"/>
        </w:rPr>
      </w:r>
    </w:p>
    <w:p w:rsidR="00000000" w:rsidDel="00000000" w:rsidP="00000000" w:rsidRDefault="00000000" w:rsidRPr="00000000" w14:paraId="000000CF">
      <w:pPr>
        <w:spacing w:line="276" w:lineRule="auto"/>
        <w:jc w:val="both"/>
        <w:rPr>
          <w:rFonts w:ascii="Arial Narrow" w:cs="Arial Narrow" w:eastAsia="Arial Narrow" w:hAnsi="Arial Narrow"/>
          <w:b w:val="1"/>
          <w:color w:val="073763"/>
          <w:sz w:val="22"/>
          <w:szCs w:val="22"/>
          <w:u w:val="single"/>
        </w:rPr>
      </w:pPr>
      <w:r w:rsidDel="00000000" w:rsidR="00000000" w:rsidRPr="00000000">
        <w:rPr>
          <w:rtl w:val="0"/>
        </w:rPr>
      </w:r>
    </w:p>
    <w:p w:rsidR="00000000" w:rsidDel="00000000" w:rsidP="00000000" w:rsidRDefault="00000000" w:rsidRPr="00000000" w14:paraId="000000D0">
      <w:pPr>
        <w:spacing w:line="276" w:lineRule="auto"/>
        <w:ind w:firstLine="720"/>
        <w:jc w:val="both"/>
        <w:rPr>
          <w:rFonts w:ascii="Arial Narrow" w:cs="Arial Narrow" w:eastAsia="Arial Narrow" w:hAnsi="Arial Narrow"/>
          <w:b w:val="1"/>
          <w:color w:val="073763"/>
          <w:sz w:val="26"/>
          <w:szCs w:val="26"/>
          <w:u w:val="single"/>
        </w:rPr>
      </w:pPr>
      <w:r w:rsidDel="00000000" w:rsidR="00000000" w:rsidRPr="00000000">
        <w:rPr>
          <w:rFonts w:ascii="Arial Narrow" w:cs="Arial Narrow" w:eastAsia="Arial Narrow" w:hAnsi="Arial Narrow"/>
          <w:b w:val="1"/>
          <w:color w:val="073763"/>
          <w:sz w:val="26"/>
          <w:szCs w:val="26"/>
          <w:rtl w:val="0"/>
        </w:rPr>
        <w:t xml:space="preserve">H. </w:t>
      </w:r>
      <w:r w:rsidDel="00000000" w:rsidR="00000000" w:rsidRPr="00000000">
        <w:rPr>
          <w:rFonts w:ascii="Arial Narrow" w:cs="Arial Narrow" w:eastAsia="Arial Narrow" w:hAnsi="Arial Narrow"/>
          <w:b w:val="1"/>
          <w:color w:val="073763"/>
          <w:sz w:val="26"/>
          <w:szCs w:val="26"/>
          <w:u w:val="single"/>
          <w:rtl w:val="0"/>
        </w:rPr>
        <w:t xml:space="preserve">Tributario</w:t>
      </w:r>
    </w:p>
    <w:p w:rsidR="00000000" w:rsidDel="00000000" w:rsidP="00000000" w:rsidRDefault="00000000" w:rsidRPr="00000000" w14:paraId="000000D1">
      <w:pPr>
        <w:spacing w:line="276" w:lineRule="auto"/>
        <w:ind w:firstLine="720"/>
        <w:jc w:val="both"/>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sz w:val="22"/>
          <w:szCs w:val="22"/>
          <w:rtl w:val="0"/>
        </w:rPr>
        <w:t xml:space="preserve">1. </w:t>
      </w:r>
      <w:r w:rsidDel="00000000" w:rsidR="00000000" w:rsidRPr="00000000">
        <w:rPr>
          <w:rFonts w:ascii="Arial Narrow" w:cs="Arial Narrow" w:eastAsia="Arial Narrow" w:hAnsi="Arial Narrow"/>
          <w:b w:val="1"/>
          <w:sz w:val="22"/>
          <w:szCs w:val="22"/>
          <w:u w:val="single"/>
          <w:rtl w:val="0"/>
        </w:rPr>
        <w:t xml:space="preserve">Sociedades analizadas</w:t>
      </w:r>
    </w:p>
    <w:p w:rsidR="00000000" w:rsidDel="00000000" w:rsidP="00000000" w:rsidRDefault="00000000" w:rsidRPr="00000000" w14:paraId="000000D2">
      <w:pPr>
        <w:numPr>
          <w:ilvl w:val="0"/>
          <w:numId w:val="26"/>
        </w:numPr>
        <w:spacing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Supply Solutions S.A. (“la Compañía”)</w:t>
      </w:r>
    </w:p>
    <w:p w:rsidR="00000000" w:rsidDel="00000000" w:rsidP="00000000" w:rsidRDefault="00000000" w:rsidRPr="00000000" w14:paraId="000000D3">
      <w:pPr>
        <w:spacing w:line="276" w:lineRule="auto"/>
        <w:ind w:firstLine="720"/>
        <w:jc w:val="both"/>
        <w:rPr>
          <w:rFonts w:ascii="Arial Narrow" w:cs="Arial Narrow" w:eastAsia="Arial Narrow" w:hAnsi="Arial Narrow"/>
          <w:b w:val="1"/>
          <w:sz w:val="22"/>
          <w:szCs w:val="22"/>
          <w:u w:val="single"/>
        </w:rPr>
      </w:pPr>
      <w:r w:rsidDel="00000000" w:rsidR="00000000" w:rsidRPr="00000000">
        <w:rPr>
          <w:rFonts w:ascii="Arial Narrow" w:cs="Arial Narrow" w:eastAsia="Arial Narrow" w:hAnsi="Arial Narrow"/>
          <w:b w:val="1"/>
          <w:sz w:val="22"/>
          <w:szCs w:val="22"/>
          <w:rtl w:val="0"/>
        </w:rPr>
        <w:t xml:space="preserve">2. </w:t>
      </w:r>
      <w:r w:rsidDel="00000000" w:rsidR="00000000" w:rsidRPr="00000000">
        <w:rPr>
          <w:rFonts w:ascii="Arial Narrow" w:cs="Arial Narrow" w:eastAsia="Arial Narrow" w:hAnsi="Arial Narrow"/>
          <w:b w:val="1"/>
          <w:sz w:val="22"/>
          <w:szCs w:val="22"/>
          <w:u w:val="single"/>
          <w:rtl w:val="0"/>
        </w:rPr>
        <w:t xml:space="preserve">Objetivos</w:t>
      </w:r>
    </w:p>
    <w:p w:rsidR="00000000" w:rsidDel="00000000" w:rsidP="00000000" w:rsidRDefault="00000000" w:rsidRPr="00000000" w14:paraId="000000D4">
      <w:pPr>
        <w:numPr>
          <w:ilvl w:val="1"/>
          <w:numId w:val="18"/>
        </w:numPr>
        <w:spacing w:after="0" w:after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Revisar los criterios de liquidación en los distintos tributos a nivel nacional, provincial y municipal.</w:t>
      </w:r>
    </w:p>
    <w:p w:rsidR="00000000" w:rsidDel="00000000" w:rsidP="00000000" w:rsidRDefault="00000000" w:rsidRPr="00000000" w14:paraId="000000D5">
      <w:pPr>
        <w:numPr>
          <w:ilvl w:val="1"/>
          <w:numId w:val="18"/>
        </w:numPr>
        <w:spacing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Plantear mejoras de planificación tributaria.</w:t>
      </w:r>
    </w:p>
    <w:p w:rsidR="00000000" w:rsidDel="00000000" w:rsidP="00000000" w:rsidRDefault="00000000" w:rsidRPr="00000000" w14:paraId="000000D6">
      <w:pPr>
        <w:spacing w:line="276" w:lineRule="auto"/>
        <w:ind w:firstLine="72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3. </w:t>
      </w:r>
      <w:r w:rsidDel="00000000" w:rsidR="00000000" w:rsidRPr="00000000">
        <w:rPr>
          <w:rFonts w:ascii="Arial Narrow" w:cs="Arial Narrow" w:eastAsia="Arial Narrow" w:hAnsi="Arial Narrow"/>
          <w:b w:val="1"/>
          <w:sz w:val="22"/>
          <w:szCs w:val="22"/>
          <w:u w:val="single"/>
          <w:rtl w:val="0"/>
        </w:rPr>
        <w:t xml:space="preserve">Hallazgos </w:t>
      </w:r>
      <w:r w:rsidDel="00000000" w:rsidR="00000000" w:rsidRPr="00000000">
        <w:rPr>
          <w:rtl w:val="0"/>
        </w:rPr>
      </w:r>
    </w:p>
    <w:p w:rsidR="00000000" w:rsidDel="00000000" w:rsidP="00000000" w:rsidRDefault="00000000" w:rsidRPr="00000000" w14:paraId="000000D7">
      <w:pPr>
        <w:spacing w:line="276" w:lineRule="auto"/>
        <w:ind w:left="720" w:firstLine="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3.1. Criterios erróneos en la determinación de coeficientes unificados en el Convenio Multilateral (CM)</w:t>
      </w:r>
    </w:p>
    <w:p w:rsidR="00000000" w:rsidDel="00000000" w:rsidP="00000000" w:rsidRDefault="00000000" w:rsidRPr="00000000" w14:paraId="000000D8">
      <w:pPr>
        <w:numPr>
          <w:ilvl w:val="0"/>
          <w:numId w:val="5"/>
        </w:numPr>
        <w:spacing w:after="0" w:after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La Compañía asigna ingresos y gastos frente al CM en forma simplificada.</w:t>
      </w:r>
    </w:p>
    <w:p w:rsidR="00000000" w:rsidDel="00000000" w:rsidP="00000000" w:rsidRDefault="00000000" w:rsidRPr="00000000" w14:paraId="000000D9">
      <w:pPr>
        <w:numPr>
          <w:ilvl w:val="0"/>
          <w:numId w:val="5"/>
        </w:numPr>
        <w:spacing w:after="0" w:after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Por ejemplo, los Gastos Bancarios y Gastos de Papelería se asignan 50% en CABA y Provincia de Buenos Aires, los Otros Gastos un 70% a CABA y 30% a Provincia de Buenos Aires.</w:t>
      </w:r>
    </w:p>
    <w:p w:rsidR="00000000" w:rsidDel="00000000" w:rsidP="00000000" w:rsidRDefault="00000000" w:rsidRPr="00000000" w14:paraId="000000DA">
      <w:pPr>
        <w:numPr>
          <w:ilvl w:val="0"/>
          <w:numId w:val="5"/>
        </w:numPr>
        <w:spacing w:after="0" w:after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Los restantes rubros se atribuyen al 100% a CABA o a Provincia de Buenos Aires, según corresponda.</w:t>
      </w:r>
    </w:p>
    <w:p w:rsidR="00000000" w:rsidDel="00000000" w:rsidP="00000000" w:rsidRDefault="00000000" w:rsidRPr="00000000" w14:paraId="000000DB">
      <w:pPr>
        <w:numPr>
          <w:ilvl w:val="0"/>
          <w:numId w:val="5"/>
        </w:numPr>
        <w:spacing w:after="0" w:after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Este no es el mecanismo instrumentado en el CM para atribuir los gastos entre las distintas jurisdicciones, sino el método de asignación especifica (directa o indirecta), solo pudiendo excluirse los gastos de poca significación, no siendo el caso.</w:t>
      </w:r>
    </w:p>
    <w:p w:rsidR="00000000" w:rsidDel="00000000" w:rsidP="00000000" w:rsidRDefault="00000000" w:rsidRPr="00000000" w14:paraId="000000DC">
      <w:pPr>
        <w:numPr>
          <w:ilvl w:val="0"/>
          <w:numId w:val="5"/>
        </w:numPr>
        <w:spacing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En tal sentido, el art.4º CM establece: </w:t>
      </w:r>
    </w:p>
    <w:p w:rsidR="00000000" w:rsidDel="00000000" w:rsidP="00000000" w:rsidRDefault="00000000" w:rsidRPr="00000000" w14:paraId="000000DD">
      <w:pPr>
        <w:spacing w:line="276" w:lineRule="auto"/>
        <w:ind w:left="216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entenderá que un gasto es efectivamente soportado en una jurisdicción, cuando tenga una relación directa con la actividad que en la misma se desarrolle (por ejemplo: de dirección, de administración, de fabricación, etcétera), aún cuando la erogación que él representa se efectúe en otra. Así, los sueldos, jornales y otras remuneraciones se consideran soportados en la jurisdicción en que se prestan los servicios a que dichos gastos se refieren.</w:t>
      </w:r>
    </w:p>
    <w:p w:rsidR="00000000" w:rsidDel="00000000" w:rsidP="00000000" w:rsidRDefault="00000000" w:rsidRPr="00000000" w14:paraId="000000DE">
      <w:pPr>
        <w:spacing w:line="276" w:lineRule="auto"/>
        <w:ind w:left="216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Los gastos que no puedan ser atribuidos con certeza, se distribuirán en la misma proporción que los demás, siempre que sean de escasa significación con respecto a éstos. En caso contrario, el contribuyente deberá distribuirlo mediante estimación razonablemente fundada.”.</w:t>
      </w:r>
    </w:p>
    <w:p w:rsidR="00000000" w:rsidDel="00000000" w:rsidP="00000000" w:rsidRDefault="00000000" w:rsidRPr="00000000" w14:paraId="000000DF">
      <w:pPr>
        <w:spacing w:line="276" w:lineRule="auto"/>
        <w:ind w:left="216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lo tanto, sugerimos una revisión para determinar nuevos coeficientes que cumplan con la normativa sustantiva aplicable.</w:t>
      </w:r>
    </w:p>
    <w:p w:rsidR="00000000" w:rsidDel="00000000" w:rsidP="00000000" w:rsidRDefault="00000000" w:rsidRPr="00000000" w14:paraId="000000E0">
      <w:pPr>
        <w:spacing w:line="276" w:lineRule="auto"/>
        <w:ind w:firstLine="72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3.2. Ajuste por Inflación Impositivo (“el AxII”) </w:t>
      </w:r>
    </w:p>
    <w:p w:rsidR="00000000" w:rsidDel="00000000" w:rsidP="00000000" w:rsidRDefault="00000000" w:rsidRPr="00000000" w14:paraId="000000E1">
      <w:pPr>
        <w:numPr>
          <w:ilvl w:val="0"/>
          <w:numId w:val="16"/>
        </w:numPr>
        <w:spacing w:after="0" w:after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La Compañía calcula erróneamente el AxII.</w:t>
      </w:r>
    </w:p>
    <w:p w:rsidR="00000000" w:rsidDel="00000000" w:rsidP="00000000" w:rsidRDefault="00000000" w:rsidRPr="00000000" w14:paraId="000000E2">
      <w:pPr>
        <w:numPr>
          <w:ilvl w:val="0"/>
          <w:numId w:val="16"/>
        </w:numPr>
        <w:spacing w:after="0" w:after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En lugar de calcularlo conforme lo establece el Título VI de la Ley de Impuesto a las Ganancias (arts.105 a 108 Ley), lo calculan como el RECPAM sobre las cuentas de resultado.</w:t>
      </w:r>
    </w:p>
    <w:p w:rsidR="00000000" w:rsidDel="00000000" w:rsidP="00000000" w:rsidRDefault="00000000" w:rsidRPr="00000000" w14:paraId="000000E3">
      <w:pPr>
        <w:numPr>
          <w:ilvl w:val="0"/>
          <w:numId w:val="16"/>
        </w:numPr>
        <w:spacing w:after="0" w:after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Dado que el método contable del RECPAM es integral y por adición (ajuste rubro por rubro), mientras que el AXII es global y por sustracción (ajuste global sobre el activo menos el pasivo monetario de punta a punta más un ajuste dinámico sobre movimientos de partidas no monetarias dentro del ejercicio), la metodología seguida por la Compañía es erróneo porque “desgaja” una parte de la metodología contable para construir la impositiva, cuando son incompatibles entre sí.</w:t>
      </w:r>
    </w:p>
    <w:p w:rsidR="00000000" w:rsidDel="00000000" w:rsidP="00000000" w:rsidRDefault="00000000" w:rsidRPr="00000000" w14:paraId="000000E4">
      <w:pPr>
        <w:numPr>
          <w:ilvl w:val="0"/>
          <w:numId w:val="16"/>
        </w:numPr>
        <w:spacing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La metodología legal consiste en:</w:t>
      </w:r>
    </w:p>
    <w:p w:rsidR="00000000" w:rsidDel="00000000" w:rsidP="00000000" w:rsidRDefault="00000000" w:rsidRPr="00000000" w14:paraId="000000E5">
      <w:pPr>
        <w:spacing w:line="276" w:lineRule="auto"/>
        <w:ind w:left="216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Partir del resultado histórico: $ 255.214.944</w:t>
      </w:r>
    </w:p>
    <w:p w:rsidR="00000000" w:rsidDel="00000000" w:rsidP="00000000" w:rsidRDefault="00000000" w:rsidRPr="00000000" w14:paraId="000000E6">
      <w:pPr>
        <w:spacing w:line="276" w:lineRule="auto"/>
        <w:ind w:left="216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 Anular el cargo del impuesto a las ganancias: $ 57.048.504</w:t>
      </w:r>
    </w:p>
    <w:p w:rsidR="00000000" w:rsidDel="00000000" w:rsidP="00000000" w:rsidRDefault="00000000" w:rsidRPr="00000000" w14:paraId="000000E7">
      <w:pPr>
        <w:spacing w:line="276" w:lineRule="auto"/>
        <w:ind w:left="216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 Calcular el AxII en sus dos capítulos: Estático y Dinámico, a saber (estimado):</w:t>
      </w:r>
    </w:p>
    <w:p w:rsidR="00000000" w:rsidDel="00000000" w:rsidP="00000000" w:rsidRDefault="00000000" w:rsidRPr="00000000" w14:paraId="000000E8">
      <w:pPr>
        <w:spacing w:line="276" w:lineRule="auto"/>
        <w:ind w:left="216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b.i. Estático:   Pérdida: ($ 50.951.467) </w:t>
      </w:r>
    </w:p>
    <w:p w:rsidR="00000000" w:rsidDel="00000000" w:rsidP="00000000" w:rsidRDefault="00000000" w:rsidRPr="00000000" w14:paraId="000000E9">
      <w:pPr>
        <w:spacing w:line="276" w:lineRule="auto"/>
        <w:ind w:left="216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b.ii. Dinámico: Ganancia: $ 73.423.181</w:t>
      </w:r>
    </w:p>
    <w:p w:rsidR="00000000" w:rsidDel="00000000" w:rsidP="00000000" w:rsidRDefault="00000000" w:rsidRPr="00000000" w14:paraId="000000EA">
      <w:pPr>
        <w:spacing w:line="276" w:lineRule="auto"/>
        <w:ind w:left="144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 Resultado con AxII: $ 334.735.162</w:t>
      </w:r>
    </w:p>
    <w:p w:rsidR="00000000" w:rsidDel="00000000" w:rsidP="00000000" w:rsidRDefault="00000000" w:rsidRPr="00000000" w14:paraId="000000EB">
      <w:pPr>
        <w:numPr>
          <w:ilvl w:val="0"/>
          <w:numId w:val="24"/>
        </w:numPr>
        <w:spacing w:after="0" w:afterAutospacing="0" w:line="276" w:lineRule="auto"/>
        <w:ind w:left="72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Cabe indicar que la Compañía parte de un resultado ajustado por inflación = $ 166.662.420.</w:t>
      </w:r>
    </w:p>
    <w:p w:rsidR="00000000" w:rsidDel="00000000" w:rsidP="00000000" w:rsidRDefault="00000000" w:rsidRPr="00000000" w14:paraId="000000EC">
      <w:pPr>
        <w:numPr>
          <w:ilvl w:val="0"/>
          <w:numId w:val="24"/>
        </w:numPr>
        <w:spacing w:line="276" w:lineRule="auto"/>
        <w:ind w:left="720" w:hanging="360"/>
        <w:jc w:val="both"/>
        <w:rPr>
          <w:rFonts w:ascii="Arial Narrow" w:cs="Arial Narrow" w:eastAsia="Arial Narrow" w:hAnsi="Arial Narrow"/>
          <w:sz w:val="22"/>
          <w:szCs w:val="22"/>
          <w:u w:val="none"/>
        </w:rPr>
      </w:pPr>
      <w:bookmarkStart w:colFirst="0" w:colLast="0" w:name="_heading=h.nwfqtel03w9f" w:id="14"/>
      <w:bookmarkEnd w:id="14"/>
      <w:r w:rsidDel="00000000" w:rsidR="00000000" w:rsidRPr="00000000">
        <w:rPr>
          <w:rFonts w:ascii="Arial Narrow" w:cs="Arial Narrow" w:eastAsia="Arial Narrow" w:hAnsi="Arial Narrow"/>
          <w:sz w:val="22"/>
          <w:szCs w:val="22"/>
          <w:rtl w:val="0"/>
        </w:rPr>
        <w:t xml:space="preserve">Se observa una diferencia en la base imponible equivalente a $ 168.072.742, lo que implica una diferencia de impuesto a las ganancias (a ingresar) estimado en </w:t>
      </w:r>
      <w:r w:rsidDel="00000000" w:rsidR="00000000" w:rsidRPr="00000000">
        <w:rPr>
          <w:rFonts w:ascii="Arial Narrow" w:cs="Arial Narrow" w:eastAsia="Arial Narrow" w:hAnsi="Arial Narrow"/>
          <w:b w:val="1"/>
          <w:sz w:val="22"/>
          <w:szCs w:val="22"/>
          <w:rtl w:val="0"/>
        </w:rPr>
        <w:t xml:space="preserve">$ 48.686.645 más intereses y eventuales sanciones</w:t>
      </w:r>
      <w:r w:rsidDel="00000000" w:rsidR="00000000" w:rsidRPr="00000000">
        <w:rPr>
          <w:rFonts w:ascii="Arial Narrow" w:cs="Arial Narrow" w:eastAsia="Arial Narrow" w:hAnsi="Arial Narrow"/>
          <w:sz w:val="22"/>
          <w:szCs w:val="22"/>
          <w:rtl w:val="0"/>
        </w:rPr>
        <w:t xml:space="preserve">.</w:t>
      </w:r>
    </w:p>
    <w:p w:rsidR="00000000" w:rsidDel="00000000" w:rsidP="00000000" w:rsidRDefault="00000000" w:rsidRPr="00000000" w14:paraId="000000ED">
      <w:pPr>
        <w:spacing w:line="276" w:lineRule="auto"/>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EE">
      <w:pPr>
        <w:spacing w:line="276" w:lineRule="auto"/>
        <w:ind w:left="720" w:firstLine="0"/>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3.3. Costos comunes sin redistribución entre la Compañía y otras sociedades vinculadas (“las Vinculadas”)</w:t>
      </w:r>
    </w:p>
    <w:p w:rsidR="00000000" w:rsidDel="00000000" w:rsidP="00000000" w:rsidRDefault="00000000" w:rsidRPr="00000000" w14:paraId="000000EF">
      <w:pPr>
        <w:numPr>
          <w:ilvl w:val="0"/>
          <w:numId w:val="8"/>
        </w:numPr>
        <w:spacing w:after="0" w:after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De acuerdo a lo comentado, si bien la Compañía y las Vinculadas actúan frente a terceros como sociedades independientes, en la práctica ambas sociedades comparten costos comunes.</w:t>
      </w:r>
    </w:p>
    <w:p w:rsidR="00000000" w:rsidDel="00000000" w:rsidP="00000000" w:rsidRDefault="00000000" w:rsidRPr="00000000" w14:paraId="000000F0">
      <w:pPr>
        <w:numPr>
          <w:ilvl w:val="0"/>
          <w:numId w:val="8"/>
        </w:numPr>
        <w:spacing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Según nuestro entendimiento, la Compañía u otra Vinculada asumen tales costos en cada caso, sin re-facturarlos a las otras sociedades del grupo, lo que genera las siguientes contingencias:</w:t>
      </w:r>
    </w:p>
    <w:p w:rsidR="00000000" w:rsidDel="00000000" w:rsidP="00000000" w:rsidRDefault="00000000" w:rsidRPr="00000000" w14:paraId="000000F1">
      <w:pPr>
        <w:spacing w:line="276" w:lineRule="auto"/>
        <w:ind w:left="216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Impuesto a las Ganancias: al computar gastos no vinculados causalmente con la generación de ganancias gravadas en la sociedad que asume el pago.</w:t>
      </w:r>
    </w:p>
    <w:p w:rsidR="00000000" w:rsidDel="00000000" w:rsidP="00000000" w:rsidRDefault="00000000" w:rsidRPr="00000000" w14:paraId="000000F2">
      <w:pPr>
        <w:spacing w:line="276" w:lineRule="auto"/>
        <w:ind w:left="2160" w:firstLine="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 IVA: al computar IVA Crédito Fiscal por los bienes y servicios no vinculados con ingresos gravados en el IVA en cabeza de la sociedad que asume el pago.</w:t>
      </w:r>
    </w:p>
    <w:p w:rsidR="00000000" w:rsidDel="00000000" w:rsidP="00000000" w:rsidRDefault="00000000" w:rsidRPr="00000000" w14:paraId="000000F3">
      <w:pPr>
        <w:numPr>
          <w:ilvl w:val="0"/>
          <w:numId w:val="17"/>
        </w:numPr>
        <w:spacing w:line="276" w:lineRule="auto"/>
        <w:ind w:left="72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Asimismo, en el caso de re-facturar la porción de gastos a las otras sociedades, tal refacturación está sujeta al Impuesto sobre los Ingresos Brutos (“IIBB”) lo que genera un sobrecosto con una alícuota promedio del 5%.</w:t>
      </w:r>
    </w:p>
    <w:p w:rsidR="00000000" w:rsidDel="00000000" w:rsidP="00000000" w:rsidRDefault="00000000" w:rsidRPr="00000000" w14:paraId="000000F4">
      <w:pPr>
        <w:spacing w:line="276" w:lineRule="auto"/>
        <w:ind w:firstLine="720"/>
        <w:jc w:val="both"/>
        <w:rPr>
          <w:rFonts w:ascii="Arial Narrow" w:cs="Arial Narrow" w:eastAsia="Arial Narrow" w:hAnsi="Arial Narrow"/>
          <w:sz w:val="22"/>
          <w:szCs w:val="22"/>
          <w:u w:val="single"/>
        </w:rPr>
      </w:pPr>
      <w:r w:rsidDel="00000000" w:rsidR="00000000" w:rsidRPr="00000000">
        <w:rPr>
          <w:rFonts w:ascii="Arial Narrow" w:cs="Arial Narrow" w:eastAsia="Arial Narrow" w:hAnsi="Arial Narrow"/>
          <w:sz w:val="22"/>
          <w:szCs w:val="22"/>
          <w:u w:val="single"/>
          <w:rtl w:val="0"/>
        </w:rPr>
        <w:t xml:space="preserve">Recomendaciones </w:t>
      </w:r>
    </w:p>
    <w:p w:rsidR="00000000" w:rsidDel="00000000" w:rsidP="00000000" w:rsidRDefault="00000000" w:rsidRPr="00000000" w14:paraId="000000F5">
      <w:pPr>
        <w:numPr>
          <w:ilvl w:val="0"/>
          <w:numId w:val="32"/>
        </w:numPr>
        <w:spacing w:after="0" w:afterAutospacing="0"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Nuestra recomendación consiste en constituir una Agrupación de Colaboración (“la AC”)</w:t>
      </w:r>
    </w:p>
    <w:p w:rsidR="00000000" w:rsidDel="00000000" w:rsidP="00000000" w:rsidRDefault="00000000" w:rsidRPr="00000000" w14:paraId="000000F6">
      <w:pPr>
        <w:numPr>
          <w:ilvl w:val="0"/>
          <w:numId w:val="32"/>
        </w:numPr>
        <w:spacing w:line="276" w:lineRule="auto"/>
        <w:ind w:left="1440" w:hanging="360"/>
        <w:jc w:val="both"/>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Se acompaña una explicación detallada vía Anexo I.    </w:t>
      </w:r>
    </w:p>
    <w:p w:rsidR="00000000" w:rsidDel="00000000" w:rsidP="00000000" w:rsidRDefault="00000000" w:rsidRPr="00000000" w14:paraId="000000F7">
      <w:pPr>
        <w:spacing w:after="240" w:before="240" w:line="276" w:lineRule="auto"/>
        <w:jc w:val="both"/>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Ley de Economía del Conocimiento</w:t>
      </w:r>
    </w:p>
    <w:p w:rsidR="00000000" w:rsidDel="00000000" w:rsidP="00000000" w:rsidRDefault="00000000" w:rsidRPr="00000000" w14:paraId="000000F8">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Con el objetivo de explorar oportunidades estratégicas para la unidad de desarrollo tecnológico, se incorpora como Anexo II un análisis específico del Régimen de Promoción de la Economía del Conocimiento, el cual detalla las actividades alcanzadas, los requisitos de acceso y los beneficios fiscales disponibles para empresas que desarrollen servicios informáticos y digitales como actividad principal. Entre los principales incentivos se destacan la estabilidad fiscal hasta el 2029, la conversión de contribuciones patronales en bonos de crédito fiscal, la reducción del Impuesto a las Ganancias y la exclusión de regímenes de retención en operaciones de exportación. Asimismo, se detallan los criterios de elegibilidad vinculados a mejoras de calidad, inversión en Investigación y Desarrollo, capacitación del personal y perfil exportador, los cuales resultan particularmente relevantes para Supply Solutions en su etapa de expansión tecnológica</w:t>
      </w:r>
    </w:p>
    <w:p w:rsidR="00000000" w:rsidDel="00000000" w:rsidP="00000000" w:rsidRDefault="00000000" w:rsidRPr="00000000" w14:paraId="000000F9">
      <w:pPr>
        <w:pStyle w:val="Heading3"/>
        <w:keepNext w:val="0"/>
        <w:keepLines w:val="0"/>
        <w:spacing w:before="280" w:line="276" w:lineRule="auto"/>
        <w:ind w:left="720" w:firstLine="0"/>
        <w:jc w:val="both"/>
        <w:rPr>
          <w:rFonts w:ascii="Arial Narrow" w:cs="Arial Narrow" w:eastAsia="Arial Narrow" w:hAnsi="Arial Narrow"/>
          <w:sz w:val="22"/>
          <w:szCs w:val="22"/>
        </w:rPr>
      </w:pPr>
      <w:bookmarkStart w:colFirst="0" w:colLast="0" w:name="_heading=h.6pnrzomjdwx" w:id="15"/>
      <w:bookmarkEnd w:id="15"/>
      <w:r w:rsidDel="00000000" w:rsidR="00000000" w:rsidRPr="00000000">
        <w:rPr>
          <w:rFonts w:ascii="Arial Narrow" w:cs="Arial Narrow" w:eastAsia="Arial Narrow" w:hAnsi="Arial Narrow"/>
          <w:b w:val="1"/>
          <w:color w:val="073763"/>
          <w:sz w:val="26"/>
          <w:szCs w:val="26"/>
          <w:u w:val="single"/>
          <w:rtl w:val="0"/>
        </w:rPr>
        <w:t xml:space="preserve">Conclusiones.-</w:t>
      </w:r>
      <w:r w:rsidDel="00000000" w:rsidR="00000000" w:rsidRPr="00000000">
        <w:rPr>
          <w:rtl w:val="0"/>
        </w:rPr>
      </w:r>
    </w:p>
    <w:p w:rsidR="00000000" w:rsidDel="00000000" w:rsidP="00000000" w:rsidRDefault="00000000" w:rsidRPr="00000000" w14:paraId="000000FA">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presente diagnóstico permitió identificar una serie de aspectos clave que deben ser atendidos para acompañar con mayor solidez la etapa de crecimiento que atraviesa Supply Solutions. La empresa se encuentra en un momento de expansión que requiere estructuras más claras, marcos contractuales consistentes y herramientas jurídicas que aporten previsibilidad, resguardo y alineación estratégica.</w:t>
      </w:r>
    </w:p>
    <w:p w:rsidR="00000000" w:rsidDel="00000000" w:rsidP="00000000" w:rsidRDefault="00000000" w:rsidRPr="00000000" w14:paraId="000000FB">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Durante este proceso se registraron avances concretos y decisiones bien orientadas, que trazan un camino claro hacia la profesionalización de la gestión. Sobre esa base, los puntos principales a consolidar son los siguientes:</w:t>
      </w:r>
    </w:p>
    <w:p w:rsidR="00000000" w:rsidDel="00000000" w:rsidP="00000000" w:rsidRDefault="00000000" w:rsidRPr="00000000" w14:paraId="000000FC">
      <w:pPr>
        <w:numPr>
          <w:ilvl w:val="0"/>
          <w:numId w:val="6"/>
        </w:numPr>
        <w:spacing w:after="0" w:afterAutospacing="0" w:before="240" w:line="276" w:lineRule="auto"/>
        <w:ind w:left="720" w:hanging="360"/>
        <w:rPr>
          <w:rFonts w:ascii="Arial Narrow" w:cs="Arial Narrow" w:eastAsia="Arial Narrow" w:hAnsi="Arial Narrow"/>
          <w:sz w:val="18"/>
          <w:szCs w:val="18"/>
        </w:rPr>
      </w:pPr>
      <w:r w:rsidDel="00000000" w:rsidR="00000000" w:rsidRPr="00000000">
        <w:rPr>
          <w:rFonts w:ascii="Arial Narrow" w:cs="Arial Narrow" w:eastAsia="Arial Narrow" w:hAnsi="Arial Narrow"/>
          <w:sz w:val="22"/>
          <w:szCs w:val="22"/>
          <w:rtl w:val="0"/>
        </w:rPr>
        <w:t xml:space="preserve">Reorganizar la estructura societaria bajo un esquema más eficiente, articulado a través de una sociedad holding con unidades operativas diferenciadas por vertical de negocio.</w:t>
      </w:r>
    </w:p>
    <w:p w:rsidR="00000000" w:rsidDel="00000000" w:rsidP="00000000" w:rsidRDefault="00000000" w:rsidRPr="00000000" w14:paraId="000000FD">
      <w:pPr>
        <w:numPr>
          <w:ilvl w:val="0"/>
          <w:numId w:val="6"/>
        </w:numPr>
        <w:spacing w:after="0" w:afterAutospacing="0" w:before="0" w:beforeAutospacing="0" w:line="276" w:lineRule="auto"/>
        <w:ind w:left="720" w:hanging="360"/>
        <w:rPr>
          <w:rFonts w:ascii="Arial Narrow" w:cs="Arial Narrow" w:eastAsia="Arial Narrow" w:hAnsi="Arial Narrow"/>
          <w:sz w:val="18"/>
          <w:szCs w:val="18"/>
        </w:rPr>
      </w:pPr>
      <w:r w:rsidDel="00000000" w:rsidR="00000000" w:rsidRPr="00000000">
        <w:rPr>
          <w:rFonts w:ascii="Arial Narrow" w:cs="Arial Narrow" w:eastAsia="Arial Narrow" w:hAnsi="Arial Narrow"/>
          <w:sz w:val="22"/>
          <w:szCs w:val="22"/>
          <w:rtl w:val="0"/>
        </w:rPr>
        <w:t xml:space="preserve">Formalizar la titularidad de activos estratégicos —marca, dominio web y software— para asegurar su resguardo legal, su valorización y su correcta inserción en la estructura patrimonial del Grupo.</w:t>
      </w:r>
    </w:p>
    <w:p w:rsidR="00000000" w:rsidDel="00000000" w:rsidP="00000000" w:rsidRDefault="00000000" w:rsidRPr="00000000" w14:paraId="000000FE">
      <w:pPr>
        <w:numPr>
          <w:ilvl w:val="0"/>
          <w:numId w:val="6"/>
        </w:numPr>
        <w:spacing w:after="0" w:afterAutospacing="0" w:before="0" w:beforeAutospacing="0" w:line="276" w:lineRule="auto"/>
        <w:ind w:left="720" w:hanging="360"/>
        <w:rPr>
          <w:rFonts w:ascii="Arial Narrow" w:cs="Arial Narrow" w:eastAsia="Arial Narrow" w:hAnsi="Arial Narrow"/>
          <w:sz w:val="18"/>
          <w:szCs w:val="18"/>
        </w:rPr>
      </w:pPr>
      <w:r w:rsidDel="00000000" w:rsidR="00000000" w:rsidRPr="00000000">
        <w:rPr>
          <w:rFonts w:ascii="Arial Narrow" w:cs="Arial Narrow" w:eastAsia="Arial Narrow" w:hAnsi="Arial Narrow"/>
          <w:sz w:val="22"/>
          <w:szCs w:val="22"/>
          <w:rtl w:val="0"/>
        </w:rPr>
        <w:t xml:space="preserve">Diseñar e implementar un Acuerdo de Accionistas que regule el funcionamiento interno del Grupo, defina condiciones de entrada y salida de socios, establezca mecanismos de valuación, y contemple restricciones razonables de competencia.</w:t>
      </w:r>
    </w:p>
    <w:p w:rsidR="00000000" w:rsidDel="00000000" w:rsidP="00000000" w:rsidRDefault="00000000" w:rsidRPr="00000000" w14:paraId="000000FF">
      <w:pPr>
        <w:numPr>
          <w:ilvl w:val="0"/>
          <w:numId w:val="6"/>
        </w:numPr>
        <w:spacing w:after="0" w:afterAutospacing="0" w:before="0" w:beforeAutospacing="0" w:line="276" w:lineRule="auto"/>
        <w:ind w:left="720" w:hanging="360"/>
        <w:rPr>
          <w:rFonts w:ascii="Arial Narrow" w:cs="Arial Narrow" w:eastAsia="Arial Narrow" w:hAnsi="Arial Narrow"/>
          <w:sz w:val="18"/>
          <w:szCs w:val="18"/>
        </w:rPr>
      </w:pPr>
      <w:r w:rsidDel="00000000" w:rsidR="00000000" w:rsidRPr="00000000">
        <w:rPr>
          <w:rFonts w:ascii="Arial Narrow" w:cs="Arial Narrow" w:eastAsia="Arial Narrow" w:hAnsi="Arial Narrow"/>
          <w:sz w:val="22"/>
          <w:szCs w:val="22"/>
          <w:rtl w:val="0"/>
        </w:rPr>
        <w:t xml:space="preserve">Avanzar con la formalización de contratos comerciales y de servicios estratégicos, dotando a cada vínculo de condiciones claras, cláusulas de confidencialidad y penalidades frente a incumplimientos. El volumen y diversidad de estas relaciones sugiere la conveniencia de un seguimiento jurídico coordinado e integrado, tanto en la redacción como en la negociación y ejecución de los acuerdos.</w:t>
      </w:r>
    </w:p>
    <w:p w:rsidR="00000000" w:rsidDel="00000000" w:rsidP="00000000" w:rsidRDefault="00000000" w:rsidRPr="00000000" w14:paraId="00000100">
      <w:pPr>
        <w:numPr>
          <w:ilvl w:val="0"/>
          <w:numId w:val="6"/>
        </w:numPr>
        <w:spacing w:after="0" w:afterAutospacing="0" w:before="0" w:beforeAutospacing="0" w:line="276" w:lineRule="auto"/>
        <w:ind w:left="720" w:hanging="360"/>
        <w:rPr>
          <w:rFonts w:ascii="Arial Narrow" w:cs="Arial Narrow" w:eastAsia="Arial Narrow" w:hAnsi="Arial Narrow"/>
          <w:sz w:val="18"/>
          <w:szCs w:val="18"/>
        </w:rPr>
      </w:pPr>
      <w:r w:rsidDel="00000000" w:rsidR="00000000" w:rsidRPr="00000000">
        <w:rPr>
          <w:rFonts w:ascii="Arial Narrow" w:cs="Arial Narrow" w:eastAsia="Arial Narrow" w:hAnsi="Arial Narrow"/>
          <w:sz w:val="22"/>
          <w:szCs w:val="22"/>
          <w:rtl w:val="0"/>
        </w:rPr>
        <w:t xml:space="preserve">Consolidar la nueva estructura laboral mediante contratos adecuados, protocolos internos y herramientas de cumplimiento, reemplazando los esquemas informales previos y facilitando la previsibilidad en la gestión del equipo.</w:t>
      </w:r>
    </w:p>
    <w:p w:rsidR="00000000" w:rsidDel="00000000" w:rsidP="00000000" w:rsidRDefault="00000000" w:rsidRPr="00000000" w14:paraId="00000101">
      <w:pPr>
        <w:numPr>
          <w:ilvl w:val="0"/>
          <w:numId w:val="6"/>
        </w:numPr>
        <w:spacing w:after="0" w:afterAutospacing="0" w:before="0" w:beforeAutospacing="0" w:line="276" w:lineRule="auto"/>
        <w:ind w:left="720" w:hanging="360"/>
        <w:rPr>
          <w:rFonts w:ascii="Arial Narrow" w:cs="Arial Narrow" w:eastAsia="Arial Narrow" w:hAnsi="Arial Narrow"/>
          <w:sz w:val="18"/>
          <w:szCs w:val="18"/>
        </w:rPr>
      </w:pPr>
      <w:r w:rsidDel="00000000" w:rsidR="00000000" w:rsidRPr="00000000">
        <w:rPr>
          <w:rFonts w:ascii="Arial Narrow" w:cs="Arial Narrow" w:eastAsia="Arial Narrow" w:hAnsi="Arial Narrow"/>
          <w:sz w:val="22"/>
          <w:szCs w:val="22"/>
          <w:rtl w:val="0"/>
        </w:rPr>
        <w:t xml:space="preserve">Incorporar una planificación estratégica formal, revisable trimestralmente, con objetivos definidos por unidad, responsables asignados y mecanismos de seguimiento institucionalizados.</w:t>
      </w:r>
    </w:p>
    <w:p w:rsidR="00000000" w:rsidDel="00000000" w:rsidP="00000000" w:rsidRDefault="00000000" w:rsidRPr="00000000" w14:paraId="00000102">
      <w:pPr>
        <w:numPr>
          <w:ilvl w:val="0"/>
          <w:numId w:val="6"/>
        </w:numPr>
        <w:spacing w:after="240" w:before="0" w:beforeAutospacing="0" w:line="276" w:lineRule="auto"/>
        <w:ind w:left="720" w:hanging="360"/>
        <w:rPr>
          <w:rFonts w:ascii="Arial Narrow" w:cs="Arial Narrow" w:eastAsia="Arial Narrow" w:hAnsi="Arial Narrow"/>
          <w:sz w:val="18"/>
          <w:szCs w:val="18"/>
        </w:rPr>
      </w:pPr>
      <w:r w:rsidDel="00000000" w:rsidR="00000000" w:rsidRPr="00000000">
        <w:rPr>
          <w:rFonts w:ascii="Arial Narrow" w:cs="Arial Narrow" w:eastAsia="Arial Narrow" w:hAnsi="Arial Narrow"/>
          <w:sz w:val="22"/>
          <w:szCs w:val="22"/>
          <w:rtl w:val="0"/>
        </w:rPr>
        <w:t xml:space="preserve">Diseñar un organigrama funcional con perfiles clave, delimitar roles estratégicos y avanzar hacia un esquema de gobierno más claro, como paso necesario para sostener el crecimiento con estructura y profesionalismo.</w:t>
      </w:r>
    </w:p>
    <w:p w:rsidR="00000000" w:rsidDel="00000000" w:rsidP="00000000" w:rsidRDefault="00000000" w:rsidRPr="00000000" w14:paraId="00000103">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Estos puntos no sólo permiten corregir situaciones puntuales o reducir riesgos, sino que contribuyen a dotar al Grupo de una estructura más ordenada y coherente con su escala actual. El trabajo realizado hasta aquí representa un primer paso hacia una etapa de mayor formalidad y consistencia operativa.</w:t>
      </w:r>
    </w:p>
    <w:p w:rsidR="00000000" w:rsidDel="00000000" w:rsidP="00000000" w:rsidRDefault="00000000" w:rsidRPr="00000000" w14:paraId="00000104">
      <w:pPr>
        <w:spacing w:after="240" w:before="240" w:line="276" w:lineRule="auto"/>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esta línea, las decisiones que se adopten a partir de ahora podrán estar mejor respaldadas, y más alineadas con los objetivos de crecimiento y con una visión de largo plazo que requiere herramientas claras, previsibilidad y seguimiento.</w:t>
      </w:r>
    </w:p>
    <w:p w:rsidR="00000000" w:rsidDel="00000000" w:rsidP="00000000" w:rsidRDefault="00000000" w:rsidRPr="00000000" w14:paraId="00000105">
      <w:pPr>
        <w:pStyle w:val="Heading3"/>
        <w:keepNext w:val="0"/>
        <w:keepLines w:val="0"/>
        <w:spacing w:before="280" w:line="276" w:lineRule="auto"/>
        <w:ind w:left="720" w:firstLine="0"/>
        <w:jc w:val="both"/>
        <w:rPr>
          <w:rFonts w:ascii="Arial Narrow" w:cs="Arial Narrow" w:eastAsia="Arial Narrow" w:hAnsi="Arial Narrow"/>
          <w:b w:val="1"/>
          <w:color w:val="073763"/>
          <w:sz w:val="26"/>
          <w:szCs w:val="26"/>
          <w:u w:val="single"/>
        </w:rPr>
      </w:pPr>
      <w:bookmarkStart w:colFirst="0" w:colLast="0" w:name="_heading=h.gkbae24zcdtj" w:id="16"/>
      <w:bookmarkEnd w:id="16"/>
      <w:r w:rsidDel="00000000" w:rsidR="00000000" w:rsidRPr="00000000">
        <w:rPr>
          <w:rFonts w:ascii="Arial Narrow" w:cs="Arial Narrow" w:eastAsia="Arial Narrow" w:hAnsi="Arial Narrow"/>
          <w:b w:val="1"/>
          <w:color w:val="073763"/>
          <w:sz w:val="26"/>
          <w:szCs w:val="26"/>
          <w:u w:val="single"/>
          <w:rtl w:val="0"/>
        </w:rPr>
        <w:t xml:space="preserve">Acciones Prioritarias</w:t>
      </w:r>
    </w:p>
    <w:p w:rsidR="00000000" w:rsidDel="00000000" w:rsidP="00000000" w:rsidRDefault="00000000" w:rsidRPr="00000000" w14:paraId="00000106">
      <w:pPr>
        <w:numPr>
          <w:ilvl w:val="0"/>
          <w:numId w:val="20"/>
        </w:numPr>
        <w:spacing w:after="0" w:afterAutospacing="0" w:before="24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Constituir las sociedades operativas correspondientes a las unidades IT y Retail, y adecuar los objetos sociales de las sociedades existentes para reflejar su actividad real.</w:t>
      </w:r>
    </w:p>
    <w:p w:rsidR="00000000" w:rsidDel="00000000" w:rsidP="00000000" w:rsidRDefault="00000000" w:rsidRPr="00000000" w14:paraId="00000107">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Diseñar e instrumentar un Acuerdo de Accionistas que incluya:</w:t>
      </w:r>
    </w:p>
    <w:p w:rsidR="00000000" w:rsidDel="00000000" w:rsidP="00000000" w:rsidRDefault="00000000" w:rsidRPr="00000000" w14:paraId="00000108">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Ingreso/salida de socios.</w:t>
      </w:r>
    </w:p>
    <w:p w:rsidR="00000000" w:rsidDel="00000000" w:rsidP="00000000" w:rsidRDefault="00000000" w:rsidRPr="00000000" w14:paraId="00000109">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Drag along / tag along.</w:t>
      </w:r>
    </w:p>
    <w:p w:rsidR="00000000" w:rsidDel="00000000" w:rsidP="00000000" w:rsidRDefault="00000000" w:rsidRPr="00000000" w14:paraId="0000010A">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Rescate de acciones y cláusula de no competencia.</w:t>
      </w:r>
    </w:p>
    <w:p w:rsidR="00000000" w:rsidDel="00000000" w:rsidP="00000000" w:rsidRDefault="00000000" w:rsidRPr="00000000" w14:paraId="0000010B">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Mecanismos de </w:t>
      </w:r>
      <w:r w:rsidDel="00000000" w:rsidR="00000000" w:rsidRPr="00000000">
        <w:rPr>
          <w:rFonts w:ascii="Arial Narrow" w:cs="Arial Narrow" w:eastAsia="Arial Narrow" w:hAnsi="Arial Narrow"/>
          <w:sz w:val="22"/>
          <w:szCs w:val="22"/>
          <w:rtl w:val="0"/>
        </w:rPr>
        <w:t xml:space="preserve">valuación</w:t>
      </w:r>
      <w:r w:rsidDel="00000000" w:rsidR="00000000" w:rsidRPr="00000000">
        <w:rPr>
          <w:rFonts w:ascii="Arial Narrow" w:cs="Arial Narrow" w:eastAsia="Arial Narrow" w:hAnsi="Arial Narrow"/>
          <w:sz w:val="22"/>
          <w:szCs w:val="22"/>
          <w:rtl w:val="0"/>
        </w:rPr>
        <w:t xml:space="preserve"> y protocolo de inversiones futuras.</w:t>
      </w:r>
    </w:p>
    <w:p w:rsidR="00000000" w:rsidDel="00000000" w:rsidP="00000000" w:rsidRDefault="00000000" w:rsidRPr="00000000" w14:paraId="0000010C">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Definir e implementar un esquema de gobernanza (Protocolo o designación de CEO) que </w:t>
      </w:r>
      <w:r w:rsidDel="00000000" w:rsidR="00000000" w:rsidRPr="00000000">
        <w:rPr>
          <w:rFonts w:ascii="Arial Narrow" w:cs="Arial Narrow" w:eastAsia="Arial Narrow" w:hAnsi="Arial Narrow"/>
          <w:sz w:val="22"/>
          <w:szCs w:val="22"/>
          <w:rtl w:val="0"/>
        </w:rPr>
        <w:t xml:space="preserve">centralice</w:t>
      </w:r>
      <w:r w:rsidDel="00000000" w:rsidR="00000000" w:rsidRPr="00000000">
        <w:rPr>
          <w:rFonts w:ascii="Arial Narrow" w:cs="Arial Narrow" w:eastAsia="Arial Narrow" w:hAnsi="Arial Narrow"/>
          <w:sz w:val="22"/>
          <w:szCs w:val="22"/>
          <w:rtl w:val="0"/>
        </w:rPr>
        <w:t xml:space="preserve"> la toma de decisiones estratégicas del Grupo.</w:t>
      </w:r>
    </w:p>
    <w:p w:rsidR="00000000" w:rsidDel="00000000" w:rsidP="00000000" w:rsidRDefault="00000000" w:rsidRPr="00000000" w14:paraId="0000010D">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Ejecutar los contratos comerciales y de prestación de servicios sobre los modelos revisados:</w:t>
      </w:r>
    </w:p>
    <w:p w:rsidR="00000000" w:rsidDel="00000000" w:rsidP="00000000" w:rsidRDefault="00000000" w:rsidRPr="00000000" w14:paraId="0000010E">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Incluir cláusulas de confidencialidad, exclusividad, no captación de clientes, no competencia y penalidades por incumplimiento.</w:t>
      </w:r>
    </w:p>
    <w:p w:rsidR="00000000" w:rsidDel="00000000" w:rsidP="00000000" w:rsidRDefault="00000000" w:rsidRPr="00000000" w14:paraId="0000010F">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Firmar acuerdos con clientes, proveedores, </w:t>
      </w:r>
      <w:r w:rsidDel="00000000" w:rsidR="00000000" w:rsidRPr="00000000">
        <w:rPr>
          <w:rFonts w:ascii="Arial Narrow" w:cs="Arial Narrow" w:eastAsia="Arial Narrow" w:hAnsi="Arial Narrow"/>
          <w:i w:val="1"/>
          <w:sz w:val="22"/>
          <w:szCs w:val="22"/>
          <w:rtl w:val="0"/>
        </w:rPr>
        <w:t xml:space="preserve">referrals </w:t>
      </w:r>
      <w:r w:rsidDel="00000000" w:rsidR="00000000" w:rsidRPr="00000000">
        <w:rPr>
          <w:rFonts w:ascii="Arial Narrow" w:cs="Arial Narrow" w:eastAsia="Arial Narrow" w:hAnsi="Arial Narrow"/>
          <w:sz w:val="22"/>
          <w:szCs w:val="22"/>
          <w:rtl w:val="0"/>
        </w:rPr>
        <w:t xml:space="preserve">y colaboradores estratégicos.</w:t>
      </w:r>
    </w:p>
    <w:p w:rsidR="00000000" w:rsidDel="00000000" w:rsidP="00000000" w:rsidRDefault="00000000" w:rsidRPr="00000000" w14:paraId="00000110">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Registrar la marca “SUPPLY SOLUTIONS” y su logotipo ante el INPI.</w:t>
      </w:r>
    </w:p>
    <w:p w:rsidR="00000000" w:rsidDel="00000000" w:rsidP="00000000" w:rsidRDefault="00000000" w:rsidRPr="00000000" w14:paraId="00000111">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Formalizar la cesión del dominio web a favor de una sociedad del Grupo o de la futura holding.</w:t>
      </w:r>
    </w:p>
    <w:p w:rsidR="00000000" w:rsidDel="00000000" w:rsidP="00000000" w:rsidRDefault="00000000" w:rsidRPr="00000000" w14:paraId="00000112">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Completar el registro del software en EE.UU.:</w:t>
      </w:r>
    </w:p>
    <w:p w:rsidR="00000000" w:rsidDel="00000000" w:rsidP="00000000" w:rsidRDefault="00000000" w:rsidRPr="00000000" w14:paraId="00000113">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Documentar cesión de derechos.</w:t>
      </w:r>
    </w:p>
    <w:p w:rsidR="00000000" w:rsidDel="00000000" w:rsidP="00000000" w:rsidRDefault="00000000" w:rsidRPr="00000000" w14:paraId="00000114">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Emitir licencias de uso internas con regalías a favor de la sociedad titular.</w:t>
      </w:r>
    </w:p>
    <w:p w:rsidR="00000000" w:rsidDel="00000000" w:rsidP="00000000" w:rsidRDefault="00000000" w:rsidRPr="00000000" w14:paraId="00000115">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Dejar asentada esta estructura en los pactos societarios.</w:t>
      </w:r>
    </w:p>
    <w:p w:rsidR="00000000" w:rsidDel="00000000" w:rsidP="00000000" w:rsidRDefault="00000000" w:rsidRPr="00000000" w14:paraId="00000116">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Implementar una Política de Protección de Datos conforme a la Ley 25.326:</w:t>
      </w:r>
    </w:p>
    <w:p w:rsidR="00000000" w:rsidDel="00000000" w:rsidP="00000000" w:rsidRDefault="00000000" w:rsidRPr="00000000" w14:paraId="00000117">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Establecer responsables, alcances, medidas técnicas.</w:t>
      </w:r>
    </w:p>
    <w:p w:rsidR="00000000" w:rsidDel="00000000" w:rsidP="00000000" w:rsidRDefault="00000000" w:rsidRPr="00000000" w14:paraId="00000118">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Desarrollar un protocolo de brechas de seguridad.</w:t>
      </w:r>
    </w:p>
    <w:p w:rsidR="00000000" w:rsidDel="00000000" w:rsidP="00000000" w:rsidRDefault="00000000" w:rsidRPr="00000000" w14:paraId="00000119">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Incluir previsiones contractuales específicas en unidades B2B y Tarjetas.</w:t>
      </w:r>
    </w:p>
    <w:p w:rsidR="00000000" w:rsidDel="00000000" w:rsidP="00000000" w:rsidRDefault="00000000" w:rsidRPr="00000000" w14:paraId="0000011A">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Aplicar los nuevos modelos de contrato laboral y de comodato al personal activo.</w:t>
      </w:r>
    </w:p>
    <w:p w:rsidR="00000000" w:rsidDel="00000000" w:rsidP="00000000" w:rsidRDefault="00000000" w:rsidRPr="00000000" w14:paraId="0000011B">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Implementar el Reglamento Interno y el Protocolo de Denuncias como parte de la gestión operativa.</w:t>
      </w:r>
    </w:p>
    <w:p w:rsidR="00000000" w:rsidDel="00000000" w:rsidP="00000000" w:rsidRDefault="00000000" w:rsidRPr="00000000" w14:paraId="0000011C">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Iniciar la elaboración de políticas de gestión del talento:</w:t>
      </w:r>
    </w:p>
    <w:p w:rsidR="00000000" w:rsidDel="00000000" w:rsidP="00000000" w:rsidRDefault="00000000" w:rsidRPr="00000000" w14:paraId="0000011D">
      <w:pPr>
        <w:numPr>
          <w:ilvl w:val="1"/>
          <w:numId w:val="20"/>
        </w:numPr>
        <w:spacing w:after="0" w:afterAutospacing="0" w:before="0" w:beforeAutospacing="0" w:line="276" w:lineRule="auto"/>
        <w:ind w:left="1440" w:hanging="360"/>
        <w:rPr>
          <w:rFonts w:ascii="Arial Narrow" w:cs="Arial Narrow" w:eastAsia="Arial Narrow" w:hAnsi="Arial Narrow"/>
          <w:sz w:val="22"/>
          <w:szCs w:val="22"/>
          <w:u w:val="none"/>
        </w:rPr>
      </w:pPr>
      <w:r w:rsidDel="00000000" w:rsidR="00000000" w:rsidRPr="00000000">
        <w:rPr>
          <w:rFonts w:ascii="Arial Narrow" w:cs="Arial Narrow" w:eastAsia="Arial Narrow" w:hAnsi="Arial Narrow"/>
          <w:sz w:val="22"/>
          <w:szCs w:val="22"/>
          <w:rtl w:val="0"/>
        </w:rPr>
        <w:t xml:space="preserve">Diseñar un </w:t>
      </w:r>
      <w:r w:rsidDel="00000000" w:rsidR="00000000" w:rsidRPr="00000000">
        <w:rPr>
          <w:rFonts w:ascii="Arial Narrow" w:cs="Arial Narrow" w:eastAsia="Arial Narrow" w:hAnsi="Arial Narrow"/>
          <w:b w:val="1"/>
          <w:sz w:val="22"/>
          <w:szCs w:val="22"/>
          <w:rtl w:val="0"/>
        </w:rPr>
        <w:t xml:space="preserve">organigrama formal del Grupo</w:t>
      </w:r>
      <w:r w:rsidDel="00000000" w:rsidR="00000000" w:rsidRPr="00000000">
        <w:rPr>
          <w:rFonts w:ascii="Arial Narrow" w:cs="Arial Narrow" w:eastAsia="Arial Narrow" w:hAnsi="Arial Narrow"/>
          <w:sz w:val="22"/>
          <w:szCs w:val="22"/>
          <w:rtl w:val="0"/>
        </w:rPr>
        <w:t xml:space="preserve">, diferenciando funciones estratégicas (dirección, planeamiento, desarrollo de negocios) de las funciones operativas y administrativas por unidad.</w:t>
      </w:r>
    </w:p>
    <w:p w:rsidR="00000000" w:rsidDel="00000000" w:rsidP="00000000" w:rsidRDefault="00000000" w:rsidRPr="00000000" w14:paraId="0000011E">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Evaluación de desempeño.</w:t>
      </w:r>
    </w:p>
    <w:p w:rsidR="00000000" w:rsidDel="00000000" w:rsidP="00000000" w:rsidRDefault="00000000" w:rsidRPr="00000000" w14:paraId="0000011F">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Bonos por cumplimiento.</w:t>
      </w:r>
    </w:p>
    <w:p w:rsidR="00000000" w:rsidDel="00000000" w:rsidP="00000000" w:rsidRDefault="00000000" w:rsidRPr="00000000" w14:paraId="00000120">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Primeros tramos del plan de carrera.</w:t>
        <w:br w:type="textWrapping"/>
      </w:r>
    </w:p>
    <w:p w:rsidR="00000000" w:rsidDel="00000000" w:rsidP="00000000" w:rsidRDefault="00000000" w:rsidRPr="00000000" w14:paraId="00000121">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Corregir el cálculo del Ajuste por Inflación Impositivo (AxII) y revisar la asignación de ingresos y gastos bajo Convenio Multilateral.</w:t>
      </w:r>
    </w:p>
    <w:p w:rsidR="00000000" w:rsidDel="00000000" w:rsidP="00000000" w:rsidRDefault="00000000" w:rsidRPr="00000000" w14:paraId="00000122">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Implementar un sistema de </w:t>
      </w:r>
      <w:r w:rsidDel="00000000" w:rsidR="00000000" w:rsidRPr="00000000">
        <w:rPr>
          <w:rFonts w:ascii="Arial Narrow" w:cs="Arial Narrow" w:eastAsia="Arial Narrow" w:hAnsi="Arial Narrow"/>
          <w:sz w:val="22"/>
          <w:szCs w:val="22"/>
          <w:rtl w:val="0"/>
        </w:rPr>
        <w:t xml:space="preserve">refacturación</w:t>
      </w:r>
      <w:r w:rsidDel="00000000" w:rsidR="00000000" w:rsidRPr="00000000">
        <w:rPr>
          <w:rFonts w:ascii="Arial Narrow" w:cs="Arial Narrow" w:eastAsia="Arial Narrow" w:hAnsi="Arial Narrow"/>
          <w:sz w:val="22"/>
          <w:szCs w:val="22"/>
          <w:rtl w:val="0"/>
        </w:rPr>
        <w:t xml:space="preserve"> de costos comunes entre sociedades, preferentemente mediante una Agrupación de Colaboración.</w:t>
      </w:r>
    </w:p>
    <w:p w:rsidR="00000000" w:rsidDel="00000000" w:rsidP="00000000" w:rsidRDefault="00000000" w:rsidRPr="00000000" w14:paraId="00000123">
      <w:pPr>
        <w:numPr>
          <w:ilvl w:val="0"/>
          <w:numId w:val="20"/>
        </w:numPr>
        <w:spacing w:after="0" w:afterAutospacing="0" w:before="0" w:beforeAutospacing="0" w:line="276"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Establecer una rutina de control legal preventivo:</w:t>
      </w:r>
    </w:p>
    <w:p w:rsidR="00000000" w:rsidDel="00000000" w:rsidP="00000000" w:rsidRDefault="00000000" w:rsidRPr="00000000" w14:paraId="00000124">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Auditoría interna semestral de cumplimiento documental.</w:t>
      </w:r>
    </w:p>
    <w:p w:rsidR="00000000" w:rsidDel="00000000" w:rsidP="00000000" w:rsidRDefault="00000000" w:rsidRPr="00000000" w14:paraId="00000125">
      <w:pPr>
        <w:numPr>
          <w:ilvl w:val="1"/>
          <w:numId w:val="20"/>
        </w:numPr>
        <w:spacing w:after="0" w:afterAutospacing="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Control de vencimientos societarios.</w:t>
      </w:r>
    </w:p>
    <w:p w:rsidR="00000000" w:rsidDel="00000000" w:rsidP="00000000" w:rsidRDefault="00000000" w:rsidRPr="00000000" w14:paraId="00000126">
      <w:pPr>
        <w:numPr>
          <w:ilvl w:val="1"/>
          <w:numId w:val="20"/>
        </w:numPr>
        <w:spacing w:after="240" w:before="0" w:beforeAutospacing="0" w:line="276" w:lineRule="auto"/>
        <w:ind w:left="144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Revisión periódica de poderes, contratos y estructura de gobernanza.</w:t>
      </w:r>
    </w:p>
    <w:p w:rsidR="00000000" w:rsidDel="00000000" w:rsidP="00000000" w:rsidRDefault="00000000" w:rsidRPr="00000000" w14:paraId="00000127">
      <w:pPr>
        <w:spacing w:line="276" w:lineRule="auto"/>
        <w:jc w:val="both"/>
        <w:rPr>
          <w:rFonts w:ascii="Arial Narrow" w:cs="Arial Narrow" w:eastAsia="Arial Narrow" w:hAnsi="Arial Narrow"/>
          <w:sz w:val="22"/>
          <w:szCs w:val="22"/>
        </w:rPr>
      </w:pP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-909636</wp:posOffset>
          </wp:positionH>
          <wp:positionV relativeFrom="paragraph">
            <wp:posOffset>128332</wp:posOffset>
          </wp:positionV>
          <wp:extent cx="7796213" cy="867329"/>
          <wp:effectExtent b="0" l="0" r="0" t="0"/>
          <wp:wrapNone/>
          <wp:docPr id="1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96213" cy="867329"/>
                  </a:xfrm>
                  <a:prstGeom prst="rect"/>
                  <a:ln/>
                </pic:spPr>
              </pic:pic>
            </a:graphicData>
          </a:graphic>
        </wp:anchor>
      </w:drawing>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A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2C35C4"/>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2C35C4"/>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2C35C4"/>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2C35C4"/>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2C35C4"/>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2C35C4"/>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2C35C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C35C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C35C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C35C4"/>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2C35C4"/>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2C35C4"/>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2C35C4"/>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2C35C4"/>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2C35C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C35C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C35C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C35C4"/>
    <w:rPr>
      <w:rFonts w:cstheme="majorBidi" w:eastAsiaTheme="majorEastAsia"/>
      <w:color w:val="272727" w:themeColor="text1" w:themeTint="0000D8"/>
    </w:rPr>
  </w:style>
  <w:style w:type="paragraph" w:styleId="Ttulo">
    <w:name w:val="Title"/>
    <w:basedOn w:val="Normal"/>
    <w:next w:val="Normal"/>
    <w:link w:val="TtuloCar"/>
    <w:uiPriority w:val="10"/>
    <w:qFormat w:val="1"/>
    <w:rsid w:val="002C35C4"/>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2C35C4"/>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2C35C4"/>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2C35C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C35C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C35C4"/>
    <w:rPr>
      <w:i w:val="1"/>
      <w:iCs w:val="1"/>
      <w:color w:val="404040" w:themeColor="text1" w:themeTint="0000BF"/>
    </w:rPr>
  </w:style>
  <w:style w:type="paragraph" w:styleId="Prrafodelista">
    <w:name w:val="List Paragraph"/>
    <w:basedOn w:val="Normal"/>
    <w:uiPriority w:val="34"/>
    <w:qFormat w:val="1"/>
    <w:rsid w:val="002C35C4"/>
    <w:pPr>
      <w:ind w:left="720"/>
      <w:contextualSpacing w:val="1"/>
    </w:pPr>
  </w:style>
  <w:style w:type="character" w:styleId="nfasisintenso">
    <w:name w:val="Intense Emphasis"/>
    <w:basedOn w:val="Fuentedeprrafopredeter"/>
    <w:uiPriority w:val="21"/>
    <w:qFormat w:val="1"/>
    <w:rsid w:val="002C35C4"/>
    <w:rPr>
      <w:i w:val="1"/>
      <w:iCs w:val="1"/>
      <w:color w:val="2f5496" w:themeColor="accent1" w:themeShade="0000BF"/>
    </w:rPr>
  </w:style>
  <w:style w:type="paragraph" w:styleId="Citadestacada">
    <w:name w:val="Intense Quote"/>
    <w:basedOn w:val="Normal"/>
    <w:next w:val="Normal"/>
    <w:link w:val="CitadestacadaCar"/>
    <w:uiPriority w:val="30"/>
    <w:qFormat w:val="1"/>
    <w:rsid w:val="002C35C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2C35C4"/>
    <w:rPr>
      <w:i w:val="1"/>
      <w:iCs w:val="1"/>
      <w:color w:val="2f5496" w:themeColor="accent1" w:themeShade="0000BF"/>
    </w:rPr>
  </w:style>
  <w:style w:type="character" w:styleId="Referenciaintensa">
    <w:name w:val="Intense Reference"/>
    <w:basedOn w:val="Fuentedeprrafopredeter"/>
    <w:uiPriority w:val="32"/>
    <w:qFormat w:val="1"/>
    <w:rsid w:val="002C35C4"/>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2C35C4"/>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2C35C4"/>
  </w:style>
  <w:style w:type="paragraph" w:styleId="Piedepgina">
    <w:name w:val="footer"/>
    <w:basedOn w:val="Normal"/>
    <w:link w:val="PiedepginaCar"/>
    <w:uiPriority w:val="99"/>
    <w:unhideWhenUsed w:val="1"/>
    <w:rsid w:val="002C35C4"/>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2C35C4"/>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Rp1jaOKfBwsAvlvN+SLYz+d/jQ==">CgMxLjAyDmgua2pocmhwMTBuazltMg5oLjl6aHRhN3gwaXBtbjIOaC5jcDA0dHFjczZldjgyDmgudGtiYjZxNnhuZHNlMg5oLmtsNzVidTZhNW81ZDIOaC5za2FndTM3ZDJsOTkyDmgucXZ5M3hwNnpkcHc3Mg5oLmhiaHBocDJqc28zcTINaC5yNjN5MmV2YmZsaTIOaC5ocGUxcmdveHJhcjMyDmguYmxoNjhmZndoZWszMg5oLjNoZDBlNzZnZzZ1aDIOaC5hdzhwdnllMG9tdzUyDWgubmRrcHVpd2l4dWYyDmgubndmcXRlbDAzdzlmMg1oLjZwbnJ6b21qZHd4Mg5oLmdrYmFlMjR6Y2R0ajgAaigKFHN1Z2dlc3QudXJyd3Z0dHdmbmhyEhBUYXRpYW5hIEVwc3p0ZWluciExMGhjemJyTzVVV1E4dlV0TTQ3LTMyZEt5ZjZrWkE4R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2025-03-07T18:44:00Z</dcterms:created>
  <dc:creator>Mercedes Propato</dc:creator>
</cp:coreProperties>
</file>