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after="0" w:before="480" w:line="276" w:lineRule="auto"/>
        <w:ind w:left="0" w:firstLine="0"/>
        <w:jc w:val="both"/>
        <w:rPr>
          <w:rFonts w:ascii="PT Sans Narrow" w:cs="PT Sans Narrow" w:eastAsia="PT Sans Narrow" w:hAnsi="PT Sans Narrow"/>
          <w:b w:val="1"/>
          <w:color w:val="073763"/>
          <w:sz w:val="36"/>
          <w:szCs w:val="36"/>
          <w:u w:val="single"/>
        </w:rPr>
      </w:pPr>
      <w:r w:rsidDel="00000000" w:rsidR="00000000" w:rsidRPr="00000000">
        <w:rPr>
          <w:rFonts w:ascii="PT Sans Narrow" w:cs="PT Sans Narrow" w:eastAsia="PT Sans Narrow" w:hAnsi="PT Sans Narrow"/>
          <w:b w:val="1"/>
          <w:color w:val="073763"/>
          <w:sz w:val="36"/>
          <w:szCs w:val="36"/>
          <w:u w:val="single"/>
          <w:rtl w:val="0"/>
        </w:rPr>
        <w:t xml:space="preserve">Dictamen Legal</w:t>
      </w:r>
    </w:p>
    <w:p w:rsidR="00000000" w:rsidDel="00000000" w:rsidP="00000000" w:rsidRDefault="00000000" w:rsidRPr="00000000" w14:paraId="00000002">
      <w:pPr>
        <w:tabs>
          <w:tab w:val="left" w:leader="none" w:pos="1155"/>
        </w:tabs>
        <w:spacing w:before="120" w:line="288" w:lineRule="auto"/>
        <w:ind w:left="0" w:firstLine="0"/>
        <w:jc w:val="both"/>
        <w:rPr>
          <w:rFonts w:ascii="PT Sans Narrow" w:cs="PT Sans Narrow" w:eastAsia="PT Sans Narrow" w:hAnsi="PT Sans Narrow"/>
          <w:b w:val="1"/>
          <w:color w:val="073763"/>
          <w:sz w:val="36"/>
          <w:szCs w:val="36"/>
        </w:rPr>
      </w:pPr>
      <w:bookmarkStart w:colFirst="0" w:colLast="0" w:name="_gjdgxs" w:id="0"/>
      <w:bookmarkEnd w:id="0"/>
      <w:r w:rsidDel="00000000" w:rsidR="00000000" w:rsidRPr="00000000">
        <w:rPr>
          <w:rFonts w:ascii="PT Sans Narrow" w:cs="PT Sans Narrow" w:eastAsia="PT Sans Narrow" w:hAnsi="PT Sans Narrow"/>
          <w:color w:val="695d46"/>
          <w:rtl w:val="0"/>
        </w:rPr>
        <w:t xml:space="preserve">En favor de B1 Simple.</w:t>
      </w:r>
      <w:r w:rsidDel="00000000" w:rsidR="00000000" w:rsidRPr="00000000">
        <w:rPr>
          <w:rtl w:val="0"/>
        </w:rPr>
      </w:r>
    </w:p>
    <w:p w:rsidR="00000000" w:rsidDel="00000000" w:rsidP="00000000" w:rsidRDefault="00000000" w:rsidRPr="00000000" w14:paraId="00000003">
      <w:pPr>
        <w:tabs>
          <w:tab w:val="left" w:leader="none" w:pos="1155"/>
        </w:tabs>
        <w:spacing w:before="120" w:line="288" w:lineRule="auto"/>
        <w:ind w:left="0" w:firstLine="0"/>
        <w:jc w:val="both"/>
        <w:rPr>
          <w:rFonts w:ascii="PT Sans Narrow" w:cs="PT Sans Narrow" w:eastAsia="PT Sans Narrow" w:hAnsi="PT Sans Narrow"/>
          <w:b w:val="1"/>
          <w:color w:val="073763"/>
          <w:sz w:val="36"/>
          <w:szCs w:val="36"/>
        </w:rPr>
      </w:pPr>
      <w:bookmarkStart w:colFirst="0" w:colLast="0" w:name="_22ljswzb6cz2" w:id="1"/>
      <w:bookmarkEnd w:id="1"/>
      <w:r w:rsidDel="00000000" w:rsidR="00000000" w:rsidRPr="00000000">
        <w:rPr>
          <w:rtl w:val="0"/>
        </w:rPr>
      </w:r>
    </w:p>
    <w:p w:rsidR="00000000" w:rsidDel="00000000" w:rsidP="00000000" w:rsidRDefault="00000000" w:rsidRPr="00000000" w14:paraId="00000004">
      <w:pPr>
        <w:spacing w:after="120" w:before="120" w:line="360" w:lineRule="auto"/>
        <w:jc w:val="both"/>
        <w:rPr>
          <w:rFonts w:ascii="PT Sans Narrow" w:cs="PT Sans Narrow" w:eastAsia="PT Sans Narrow" w:hAnsi="PT Sans Narrow"/>
          <w:b w:val="1"/>
          <w:color w:val="073763"/>
          <w:sz w:val="30"/>
          <w:szCs w:val="30"/>
          <w:u w:val="single"/>
        </w:rPr>
      </w:pPr>
      <w:r w:rsidDel="00000000" w:rsidR="00000000" w:rsidRPr="00000000">
        <w:rPr>
          <w:rFonts w:ascii="PT Sans Narrow" w:cs="PT Sans Narrow" w:eastAsia="PT Sans Narrow" w:hAnsi="PT Sans Narrow"/>
          <w:b w:val="1"/>
          <w:color w:val="073763"/>
          <w:sz w:val="30"/>
          <w:szCs w:val="30"/>
          <w:u w:val="single"/>
          <w:rtl w:val="0"/>
        </w:rPr>
        <w:t xml:space="preserve">1. Introducción.</w:t>
      </w:r>
    </w:p>
    <w:p w:rsidR="00000000" w:rsidDel="00000000" w:rsidP="00000000" w:rsidRDefault="00000000" w:rsidRPr="00000000" w14:paraId="00000005">
      <w:pPr>
        <w:spacing w:after="120" w:before="12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1.1. El presente informe tiene como objetivo analizar las distintas alternativas para incorporar una cláusula de cesión en los contratos de licencia SAP, con el fin de garantizar la transferencia de clientes de SEIDOR/ITPS a B1 Simple en caso de que esta última se convierta en partner directo de SAP. Se evaluarán las ventajas y desventajas de cada opción, y se recomendará la alternativa que mejor se ajuste a los intereses de B1 Simple.</w:t>
      </w:r>
    </w:p>
    <w:p w:rsidR="00000000" w:rsidDel="00000000" w:rsidP="00000000" w:rsidRDefault="00000000" w:rsidRPr="00000000" w14:paraId="00000006">
      <w:pPr>
        <w:spacing w:after="120" w:before="12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1.2. P</w:t>
      </w:r>
      <w:r w:rsidDel="00000000" w:rsidR="00000000" w:rsidRPr="00000000">
        <w:rPr>
          <w:rFonts w:ascii="Roboto" w:cs="Roboto" w:eastAsia="Roboto" w:hAnsi="Roboto"/>
          <w:sz w:val="20"/>
          <w:szCs w:val="20"/>
          <w:rtl w:val="0"/>
        </w:rPr>
        <w:t xml:space="preserve">or otro lado, se presenta un análisis comparativo de dos contratos de licencia de software:</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20" w:line="360" w:lineRule="auto"/>
        <w:ind w:left="720" w:hanging="360"/>
        <w:jc w:val="both"/>
        <w:rPr>
          <w:rFonts w:ascii="Roboto" w:cs="Roboto" w:eastAsia="Roboto" w:hAnsi="Roboto"/>
          <w:color w:val="000000"/>
          <w:sz w:val="20"/>
          <w:szCs w:val="20"/>
        </w:rPr>
      </w:pPr>
      <w:r w:rsidDel="00000000" w:rsidR="00000000" w:rsidRPr="00000000">
        <w:rPr>
          <w:rFonts w:ascii="Roboto" w:cs="Roboto" w:eastAsia="Roboto" w:hAnsi="Roboto"/>
          <w:sz w:val="20"/>
          <w:szCs w:val="20"/>
          <w:rtl w:val="0"/>
        </w:rPr>
        <w:t xml:space="preserve">Contrato de Suscripción SAP Business One (SAAS) por SEIDOR</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hd w:fill="ffffff" w:val="clear"/>
        <w:spacing w:after="120" w:before="0" w:beforeAutospacing="0" w:line="360" w:lineRule="auto"/>
        <w:ind w:left="720" w:hanging="360"/>
        <w:jc w:val="both"/>
        <w:rPr>
          <w:rFonts w:ascii="Roboto" w:cs="Roboto" w:eastAsia="Roboto" w:hAnsi="Roboto"/>
          <w:color w:val="000000"/>
          <w:sz w:val="20"/>
          <w:szCs w:val="20"/>
        </w:rPr>
      </w:pPr>
      <w:r w:rsidDel="00000000" w:rsidR="00000000" w:rsidRPr="00000000">
        <w:rPr>
          <w:rFonts w:ascii="Roboto" w:cs="Roboto" w:eastAsia="Roboto" w:hAnsi="Roboto"/>
          <w:sz w:val="20"/>
          <w:szCs w:val="20"/>
          <w:rtl w:val="0"/>
        </w:rPr>
        <w:t xml:space="preserve">Contrato de Licencia de Uso en Modalidad Cloud de SAP Business One por IT PROVIDERS S.R.L.</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Ello, con el objetivo de determinar cuál de los dos contratos resulta más favorable para el Licenciante (SAP), considerando aspectos clave como derechos, obligaciones, limitaciones de responsabilidad y condiciones de uso.</w:t>
      </w:r>
    </w:p>
    <w:p w:rsidR="00000000" w:rsidDel="00000000" w:rsidP="00000000" w:rsidRDefault="00000000" w:rsidRPr="00000000" w14:paraId="0000000A">
      <w:pPr>
        <w:spacing w:after="120" w:before="120"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360" w:lineRule="auto"/>
        <w:jc w:val="both"/>
        <w:rPr>
          <w:rFonts w:ascii="PT Sans Narrow" w:cs="PT Sans Narrow" w:eastAsia="PT Sans Narrow" w:hAnsi="PT Sans Narrow"/>
          <w:b w:val="1"/>
          <w:color w:val="073763"/>
          <w:sz w:val="30"/>
          <w:szCs w:val="30"/>
          <w:u w:val="single"/>
        </w:rPr>
      </w:pPr>
      <w:bookmarkStart w:colFirst="0" w:colLast="0" w:name="_tlqqyyothpyw" w:id="2"/>
      <w:bookmarkEnd w:id="2"/>
      <w:r w:rsidDel="00000000" w:rsidR="00000000" w:rsidRPr="00000000">
        <w:rPr>
          <w:rFonts w:ascii="PT Sans Narrow" w:cs="PT Sans Narrow" w:eastAsia="PT Sans Narrow" w:hAnsi="PT Sans Narrow"/>
          <w:b w:val="1"/>
          <w:color w:val="073763"/>
          <w:sz w:val="30"/>
          <w:szCs w:val="30"/>
          <w:u w:val="single"/>
          <w:rtl w:val="0"/>
        </w:rPr>
        <w:t xml:space="preserve">2. Análisis.</w:t>
      </w:r>
    </w:p>
    <w:p w:rsidR="00000000" w:rsidDel="00000000" w:rsidP="00000000" w:rsidRDefault="00000000" w:rsidRPr="00000000" w14:paraId="0000000C">
      <w:pPr>
        <w:spacing w:after="240" w:before="24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1.1. Se han considerado tres opciones principales:</w:t>
      </w:r>
    </w:p>
    <w:p w:rsidR="00000000" w:rsidDel="00000000" w:rsidP="00000000" w:rsidRDefault="00000000" w:rsidRPr="00000000" w14:paraId="0000000D">
      <w:pPr>
        <w:numPr>
          <w:ilvl w:val="0"/>
          <w:numId w:val="1"/>
        </w:numPr>
        <w:spacing w:after="0" w:afterAutospacing="0" w:before="24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Incorporación de una cláusula de cesión en el Contrato de Partnership entre SEIDOR/ITPS y B1 Simple + Anexo:</w:t>
      </w:r>
      <w:r w:rsidDel="00000000" w:rsidR="00000000" w:rsidRPr="00000000">
        <w:rPr>
          <w:rFonts w:ascii="Roboto" w:cs="Roboto" w:eastAsia="Roboto" w:hAnsi="Roboto"/>
          <w:sz w:val="20"/>
          <w:szCs w:val="20"/>
          <w:rtl w:val="0"/>
        </w:rPr>
        <w:t xml:space="preserve"> Esta opción implica incluir una cláusula que establezca con claridad que, en caso de que B1 Simple se convirtiera en partner directo de SAP, todos los licenciatarios de SEIDOR/ITPS, que hayan firmado el contrato mediante la intervención de B1 Simple, serán automáticamente transferidos a B1 Simple como clientes directos. Además, se incorporará al contrato el acuerdo template de cesión como Anexo, al cual deben sujetarse las Partes.</w:t>
      </w:r>
      <w:r w:rsidDel="00000000" w:rsidR="00000000" w:rsidRPr="00000000">
        <w:rPr>
          <w:rtl w:val="0"/>
        </w:rPr>
      </w:r>
    </w:p>
    <w:p w:rsidR="00000000" w:rsidDel="00000000" w:rsidP="00000000" w:rsidRDefault="00000000" w:rsidRPr="00000000" w14:paraId="0000000E">
      <w:pPr>
        <w:numPr>
          <w:ilvl w:val="0"/>
          <w:numId w:val="1"/>
        </w:numPr>
        <w:spacing w:after="0" w:afterAutospacing="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Incorporación de una cláusula de cesión en los contratos de licencia entre SEIDOR/ITPS y los licenciatarios + Anexo:</w:t>
      </w:r>
      <w:r w:rsidDel="00000000" w:rsidR="00000000" w:rsidRPr="00000000">
        <w:rPr>
          <w:rFonts w:ascii="Roboto" w:cs="Roboto" w:eastAsia="Roboto" w:hAnsi="Roboto"/>
          <w:sz w:val="20"/>
          <w:szCs w:val="20"/>
          <w:rtl w:val="0"/>
        </w:rPr>
        <w:t xml:space="preserve"> Esta opción implica incluir una cláusula que otorgue a B1 Simple el derecho a adquirir los Contratos de Licencia suscritos con los licenciatarios, que hayan firmado el contrato mediante la intervención de B1 Simple en caso de convertirse en partner directo de SAP, no pudiendo oponerse el licenciatario a la cesión prevista y debiendo sujetarse al modelo de Acuerdo de Cesión adjunto como Anexo.</w:t>
      </w:r>
      <w:r w:rsidDel="00000000" w:rsidR="00000000" w:rsidRPr="00000000">
        <w:rPr>
          <w:rtl w:val="0"/>
        </w:rPr>
      </w:r>
    </w:p>
    <w:p w:rsidR="00000000" w:rsidDel="00000000" w:rsidP="00000000" w:rsidRDefault="00000000" w:rsidRPr="00000000" w14:paraId="0000000F">
      <w:pPr>
        <w:numPr>
          <w:ilvl w:val="0"/>
          <w:numId w:val="1"/>
        </w:numPr>
        <w:spacing w:after="24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Incorporación de cláusula de cesión en el Contrato de Partnership entre SEIDOR/ITPS y B1 Simple + referencia al modelo de contrato de cesión de SAP: </w:t>
      </w:r>
      <w:r w:rsidDel="00000000" w:rsidR="00000000" w:rsidRPr="00000000">
        <w:rPr>
          <w:rFonts w:ascii="Roboto" w:cs="Roboto" w:eastAsia="Roboto" w:hAnsi="Roboto"/>
          <w:sz w:val="20"/>
          <w:szCs w:val="20"/>
          <w:rtl w:val="0"/>
        </w:rPr>
        <w:t xml:space="preserve">Esta opción, con el fin de ser más “disimulada”, implica incluir la cláusula anteriormente descrita en la opción 1, haciendo únicamente referencia al modelo de Acuerdo de Cesión de SAP. A diferencia de las opciones anteriores, no se adjuntaría el Acuerdo de Cesión como Anexo.</w:t>
      </w:r>
      <w:r w:rsidDel="00000000" w:rsidR="00000000" w:rsidRPr="00000000">
        <w:rPr>
          <w:rtl w:val="0"/>
        </w:rPr>
      </w:r>
    </w:p>
    <w:p w:rsidR="00000000" w:rsidDel="00000000" w:rsidP="00000000" w:rsidRDefault="00000000" w:rsidRPr="00000000" w14:paraId="00000010">
      <w:pPr>
        <w:spacing w:after="240" w:before="240" w:line="360" w:lineRule="auto"/>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1.2. Se ha realizado el siguiente análisis comparativo de los puntos centrales de cada contrato:</w:t>
      </w:r>
    </w:p>
    <w:p w:rsidR="00000000" w:rsidDel="00000000" w:rsidP="00000000" w:rsidRDefault="00000000" w:rsidRPr="00000000" w14:paraId="00000011">
      <w:pPr>
        <w:numPr>
          <w:ilvl w:val="0"/>
          <w:numId w:val="8"/>
        </w:numPr>
        <w:spacing w:after="240" w:before="240" w:line="360" w:lineRule="auto"/>
        <w:ind w:left="720" w:hanging="360"/>
        <w:jc w:val="both"/>
        <w:rPr>
          <w:rFonts w:ascii="Roboto" w:cs="Roboto" w:eastAsia="Roboto" w:hAnsi="Roboto"/>
          <w:b w:val="1"/>
          <w:sz w:val="20"/>
          <w:szCs w:val="20"/>
          <w:u w:val="none"/>
        </w:rPr>
      </w:pPr>
      <w:r w:rsidDel="00000000" w:rsidR="00000000" w:rsidRPr="00000000">
        <w:rPr>
          <w:rFonts w:ascii="Roboto" w:cs="Roboto" w:eastAsia="Roboto" w:hAnsi="Roboto"/>
          <w:b w:val="1"/>
          <w:sz w:val="20"/>
          <w:szCs w:val="20"/>
          <w:rtl w:val="0"/>
        </w:rPr>
        <w:t xml:space="preserve">Estructura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b w:val="1"/>
          <w:sz w:val="20"/>
          <w:szCs w:val="20"/>
        </w:rPr>
      </w:pPr>
      <w:r w:rsidDel="00000000" w:rsidR="00000000" w:rsidRPr="00000000">
        <w:rPr>
          <w:rFonts w:ascii="Roboto" w:cs="Roboto" w:eastAsia="Roboto" w:hAnsi="Roboto"/>
          <w:sz w:val="20"/>
          <w:szCs w:val="20"/>
          <w:rtl w:val="0"/>
        </w:rPr>
        <w:t xml:space="preserve">La estructura de Carta Oferta de ITPS resulta más favorable en términos impositivos.</w:t>
      </w:r>
      <w:r w:rsidDel="00000000" w:rsidR="00000000" w:rsidRPr="00000000">
        <w:rPr>
          <w:rtl w:val="0"/>
        </w:rPr>
      </w:r>
    </w:p>
    <w:p w:rsidR="00000000" w:rsidDel="00000000" w:rsidP="00000000" w:rsidRDefault="00000000" w:rsidRPr="00000000" w14:paraId="00000013">
      <w:pPr>
        <w:numPr>
          <w:ilvl w:val="0"/>
          <w:numId w:val="8"/>
        </w:numPr>
        <w:spacing w:after="240" w:before="240" w:line="360" w:lineRule="auto"/>
        <w:ind w:left="720" w:hanging="360"/>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Definiciones</w:t>
      </w:r>
    </w:p>
    <w:p w:rsidR="00000000" w:rsidDel="00000000" w:rsidP="00000000" w:rsidRDefault="00000000" w:rsidRPr="00000000" w14:paraId="00000014">
      <w:pPr>
        <w:spacing w:after="240" w:before="240" w:line="360" w:lineRule="auto"/>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contrato de SEIDOR es más detallado, lo que puede ser beneficioso para evitar ambigüedades.</w:t>
      </w:r>
    </w:p>
    <w:p w:rsidR="00000000" w:rsidDel="00000000" w:rsidP="00000000" w:rsidRDefault="00000000" w:rsidRPr="00000000" w14:paraId="00000015">
      <w:pPr>
        <w:pStyle w:val="Heading3"/>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280" w:line="360" w:lineRule="auto"/>
        <w:ind w:left="720" w:hanging="360"/>
        <w:jc w:val="both"/>
        <w:rPr>
          <w:rFonts w:ascii="Roboto" w:cs="Roboto" w:eastAsia="Roboto" w:hAnsi="Roboto"/>
          <w:b w:val="1"/>
          <w:color w:val="000000"/>
          <w:sz w:val="20"/>
          <w:szCs w:val="20"/>
          <w:u w:val="none"/>
        </w:rPr>
      </w:pPr>
      <w:bookmarkStart w:colFirst="0" w:colLast="0" w:name="_n62opq7iewcu" w:id="3"/>
      <w:bookmarkEnd w:id="3"/>
      <w:r w:rsidDel="00000000" w:rsidR="00000000" w:rsidRPr="00000000">
        <w:rPr>
          <w:rFonts w:ascii="Roboto" w:cs="Roboto" w:eastAsia="Roboto" w:hAnsi="Roboto"/>
          <w:b w:val="1"/>
          <w:color w:val="000000"/>
          <w:sz w:val="20"/>
          <w:szCs w:val="20"/>
          <w:rtl w:val="0"/>
        </w:rPr>
        <w:t xml:space="preserve">Objeto del Contrato</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80" w:line="360" w:lineRule="auto"/>
        <w:jc w:val="both"/>
        <w:rPr>
          <w:rFonts w:ascii="Roboto" w:cs="Roboto" w:eastAsia="Roboto" w:hAnsi="Roboto"/>
          <w:color w:val="000000"/>
          <w:sz w:val="20"/>
          <w:szCs w:val="20"/>
        </w:rPr>
      </w:pPr>
      <w:bookmarkStart w:colFirst="0" w:colLast="0" w:name="_z6gaqtm89qsy" w:id="4"/>
      <w:bookmarkEnd w:id="4"/>
      <w:r w:rsidDel="00000000" w:rsidR="00000000" w:rsidRPr="00000000">
        <w:rPr>
          <w:rFonts w:ascii="Roboto" w:cs="Roboto" w:eastAsia="Roboto" w:hAnsi="Roboto"/>
          <w:color w:val="000000"/>
          <w:sz w:val="20"/>
          <w:szCs w:val="20"/>
          <w:rtl w:val="0"/>
        </w:rPr>
        <w:t xml:space="preserve">Ambos contratos cumplen con el objetivo de definir el objeto, aunque el de </w:t>
      </w:r>
      <w:r w:rsidDel="00000000" w:rsidR="00000000" w:rsidRPr="00000000">
        <w:rPr>
          <w:rFonts w:ascii="Roboto" w:cs="Roboto" w:eastAsia="Roboto" w:hAnsi="Roboto"/>
          <w:color w:val="000000"/>
          <w:sz w:val="20"/>
          <w:szCs w:val="20"/>
          <w:rtl w:val="0"/>
        </w:rPr>
        <w:t xml:space="preserve">SEIDOR es más específico.</w:t>
      </w:r>
      <w:r w:rsidDel="00000000" w:rsidR="00000000" w:rsidRPr="00000000">
        <w:rPr>
          <w:rFonts w:ascii="Roboto" w:cs="Roboto" w:eastAsia="Roboto" w:hAnsi="Roboto"/>
          <w:color w:val="000000"/>
          <w:sz w:val="20"/>
          <w:szCs w:val="20"/>
          <w:rtl w:val="0"/>
        </w:rPr>
        <w:t xml:space="preserve"> Por ejemplo, en el de SEIDOR se especifican detalladamente los servicios que no podrán entenderse como incluídos dentro del Objeto.</w:t>
      </w:r>
    </w:p>
    <w:p w:rsidR="00000000" w:rsidDel="00000000" w:rsidP="00000000" w:rsidRDefault="00000000" w:rsidRPr="00000000" w14:paraId="00000017">
      <w:pPr>
        <w:pStyle w:val="Heading3"/>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280" w:line="360" w:lineRule="auto"/>
        <w:ind w:left="720" w:hanging="360"/>
        <w:jc w:val="both"/>
        <w:rPr>
          <w:rFonts w:ascii="Roboto" w:cs="Roboto" w:eastAsia="Roboto" w:hAnsi="Roboto"/>
          <w:b w:val="1"/>
          <w:color w:val="000000"/>
          <w:sz w:val="20"/>
          <w:szCs w:val="20"/>
          <w:u w:val="none"/>
        </w:rPr>
      </w:pPr>
      <w:bookmarkStart w:colFirst="0" w:colLast="0" w:name="_hm7dpt8pq611" w:id="5"/>
      <w:bookmarkEnd w:id="5"/>
      <w:r w:rsidDel="00000000" w:rsidR="00000000" w:rsidRPr="00000000">
        <w:rPr>
          <w:rFonts w:ascii="Roboto" w:cs="Roboto" w:eastAsia="Roboto" w:hAnsi="Roboto"/>
          <w:b w:val="1"/>
          <w:color w:val="000000"/>
          <w:sz w:val="20"/>
          <w:szCs w:val="20"/>
          <w:rtl w:val="0"/>
        </w:rPr>
        <w:t xml:space="preserve">Obligaciones del Licenciante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80" w:line="360" w:lineRule="auto"/>
        <w:jc w:val="both"/>
        <w:rPr>
          <w:rFonts w:ascii="Roboto" w:cs="Roboto" w:eastAsia="Roboto" w:hAnsi="Roboto"/>
          <w:color w:val="000000"/>
          <w:sz w:val="20"/>
          <w:szCs w:val="20"/>
        </w:rPr>
      </w:pPr>
      <w:bookmarkStart w:colFirst="0" w:colLast="0" w:name="_94i5q9zd0rn4" w:id="6"/>
      <w:bookmarkEnd w:id="6"/>
      <w:r w:rsidDel="00000000" w:rsidR="00000000" w:rsidRPr="00000000">
        <w:rPr>
          <w:rFonts w:ascii="Roboto" w:cs="Roboto" w:eastAsia="Roboto" w:hAnsi="Roboto"/>
          <w:color w:val="000000"/>
          <w:sz w:val="20"/>
          <w:szCs w:val="20"/>
          <w:rtl w:val="0"/>
        </w:rPr>
        <w:t xml:space="preserve">El contrato de SEIDOR proporciona mayor protección al Licenciante al establecer </w:t>
      </w:r>
      <w:r w:rsidDel="00000000" w:rsidR="00000000" w:rsidRPr="00000000">
        <w:rPr>
          <w:rFonts w:ascii="Roboto" w:cs="Roboto" w:eastAsia="Roboto" w:hAnsi="Roboto"/>
          <w:color w:val="000000"/>
          <w:sz w:val="20"/>
          <w:szCs w:val="20"/>
          <w:rtl w:val="0"/>
        </w:rPr>
        <w:t xml:space="preserve">obligaciones más claras.</w:t>
      </w:r>
      <w:r w:rsidDel="00000000" w:rsidR="00000000" w:rsidRPr="00000000">
        <w:rPr>
          <w:rFonts w:ascii="Roboto" w:cs="Roboto" w:eastAsia="Roboto" w:hAnsi="Roboto"/>
          <w:color w:val="000000"/>
          <w:sz w:val="20"/>
          <w:szCs w:val="20"/>
          <w:rtl w:val="0"/>
        </w:rPr>
        <w:t xml:space="preserve"> Por ejemplo, SEIDOR especifica tiempos de respuesta y resolución de incidentes en un SLA​, mientras que ITPS menciona garantías limitadas a seis meses y no detalla SLA específico.</w:t>
      </w:r>
    </w:p>
    <w:p w:rsidR="00000000" w:rsidDel="00000000" w:rsidP="00000000" w:rsidRDefault="00000000" w:rsidRPr="00000000" w14:paraId="00000019">
      <w:pPr>
        <w:pStyle w:val="Heading3"/>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280" w:line="360" w:lineRule="auto"/>
        <w:ind w:left="720" w:hanging="360"/>
        <w:jc w:val="both"/>
        <w:rPr>
          <w:rFonts w:ascii="Roboto" w:cs="Roboto" w:eastAsia="Roboto" w:hAnsi="Roboto"/>
          <w:b w:val="1"/>
          <w:color w:val="000000"/>
          <w:sz w:val="20"/>
          <w:szCs w:val="20"/>
          <w:u w:val="none"/>
        </w:rPr>
      </w:pPr>
      <w:bookmarkStart w:colFirst="0" w:colLast="0" w:name="_x1ezs87bva1h" w:id="7"/>
      <w:bookmarkEnd w:id="7"/>
      <w:r w:rsidDel="00000000" w:rsidR="00000000" w:rsidRPr="00000000">
        <w:rPr>
          <w:rFonts w:ascii="Roboto" w:cs="Roboto" w:eastAsia="Roboto" w:hAnsi="Roboto"/>
          <w:b w:val="1"/>
          <w:color w:val="000000"/>
          <w:sz w:val="20"/>
          <w:szCs w:val="20"/>
          <w:rtl w:val="0"/>
        </w:rPr>
        <w:t xml:space="preserve">Condiciones de Uso</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contrato de SEIDOR es más restrictivo mientras que el de ITPS permite un poco más de flexibilidad en el uso por parte de las Afiliadas, lo que puede ser visto como una ventaja competitiva.</w:t>
      </w:r>
    </w:p>
    <w:p w:rsidR="00000000" w:rsidDel="00000000" w:rsidP="00000000" w:rsidRDefault="00000000" w:rsidRPr="00000000" w14:paraId="0000001B">
      <w:pPr>
        <w:pStyle w:val="Heading3"/>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280" w:line="360" w:lineRule="auto"/>
        <w:ind w:left="720" w:hanging="360"/>
        <w:jc w:val="both"/>
        <w:rPr>
          <w:rFonts w:ascii="Roboto" w:cs="Roboto" w:eastAsia="Roboto" w:hAnsi="Roboto"/>
          <w:b w:val="1"/>
          <w:color w:val="000000"/>
          <w:sz w:val="20"/>
          <w:szCs w:val="20"/>
          <w:u w:val="none"/>
        </w:rPr>
      </w:pPr>
      <w:bookmarkStart w:colFirst="0" w:colLast="0" w:name="_jeoxfhuiu0gb" w:id="8"/>
      <w:bookmarkEnd w:id="8"/>
      <w:r w:rsidDel="00000000" w:rsidR="00000000" w:rsidRPr="00000000">
        <w:rPr>
          <w:rFonts w:ascii="Roboto" w:cs="Roboto" w:eastAsia="Roboto" w:hAnsi="Roboto"/>
          <w:b w:val="1"/>
          <w:color w:val="000000"/>
          <w:sz w:val="20"/>
          <w:szCs w:val="20"/>
          <w:rtl w:val="0"/>
        </w:rPr>
        <w:t xml:space="preserve">Precio y Forma de Pago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contrato de SEIDOR es más directo y estructurado en términos de precio y pago.</w:t>
      </w:r>
    </w:p>
    <w:p w:rsidR="00000000" w:rsidDel="00000000" w:rsidP="00000000" w:rsidRDefault="00000000" w:rsidRPr="00000000" w14:paraId="0000001D">
      <w:pPr>
        <w:pStyle w:val="Heading3"/>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280" w:line="360" w:lineRule="auto"/>
        <w:ind w:left="720" w:hanging="360"/>
        <w:jc w:val="both"/>
        <w:rPr>
          <w:rFonts w:ascii="Roboto" w:cs="Roboto" w:eastAsia="Roboto" w:hAnsi="Roboto"/>
          <w:b w:val="1"/>
          <w:color w:val="000000"/>
          <w:sz w:val="20"/>
          <w:szCs w:val="20"/>
          <w:u w:val="none"/>
        </w:rPr>
      </w:pPr>
      <w:bookmarkStart w:colFirst="0" w:colLast="0" w:name="_36t9cmwkimmw" w:id="9"/>
      <w:bookmarkEnd w:id="9"/>
      <w:r w:rsidDel="00000000" w:rsidR="00000000" w:rsidRPr="00000000">
        <w:rPr>
          <w:rFonts w:ascii="Roboto" w:cs="Roboto" w:eastAsia="Roboto" w:hAnsi="Roboto"/>
          <w:b w:val="1"/>
          <w:color w:val="000000"/>
          <w:sz w:val="20"/>
          <w:szCs w:val="20"/>
          <w:rtl w:val="0"/>
        </w:rPr>
        <w:t xml:space="preserve"> Limitación de Responsabilidad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Ambos contratos protegen al Licenciante, pero el de SEIDOR es más restrictivo en cuanto a la responsabilidad, limitando la misma claramente a daños directos, excluyendo daños indirectos y lucro cesante.</w:t>
      </w:r>
    </w:p>
    <w:p w:rsidR="00000000" w:rsidDel="00000000" w:rsidP="00000000" w:rsidRDefault="00000000" w:rsidRPr="00000000" w14:paraId="0000001F">
      <w:pPr>
        <w:pStyle w:val="Heading3"/>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80" w:line="360" w:lineRule="auto"/>
        <w:ind w:left="720" w:hanging="360"/>
        <w:jc w:val="both"/>
        <w:rPr>
          <w:rFonts w:ascii="Roboto" w:cs="Roboto" w:eastAsia="Roboto" w:hAnsi="Roboto"/>
          <w:b w:val="1"/>
          <w:color w:val="000000"/>
          <w:sz w:val="20"/>
          <w:szCs w:val="20"/>
          <w:u w:val="none"/>
        </w:rPr>
      </w:pPr>
      <w:bookmarkStart w:colFirst="0" w:colLast="0" w:name="_brk07yudaxjn" w:id="10"/>
      <w:bookmarkEnd w:id="10"/>
      <w:r w:rsidDel="00000000" w:rsidR="00000000" w:rsidRPr="00000000">
        <w:rPr>
          <w:rFonts w:ascii="Roboto" w:cs="Roboto" w:eastAsia="Roboto" w:hAnsi="Roboto"/>
          <w:b w:val="1"/>
          <w:color w:val="000000"/>
          <w:sz w:val="20"/>
          <w:szCs w:val="20"/>
          <w:rtl w:val="0"/>
        </w:rPr>
        <w:t xml:space="preserve">Duración y Terminación</w:t>
      </w:r>
      <w:r w:rsidDel="00000000" w:rsidR="00000000" w:rsidRPr="00000000">
        <w:rPr>
          <w:rtl w:val="0"/>
        </w:rPr>
      </w:r>
    </w:p>
    <w:p w:rsidR="00000000" w:rsidDel="00000000" w:rsidP="00000000" w:rsidRDefault="00000000" w:rsidRPr="00000000" w14:paraId="00000020">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Roboto" w:cs="Roboto" w:eastAsia="Roboto" w:hAnsi="Roboto"/>
          <w:i w:val="1"/>
          <w:sz w:val="20"/>
          <w:szCs w:val="20"/>
        </w:rPr>
      </w:pPr>
      <w:r w:rsidDel="00000000" w:rsidR="00000000" w:rsidRPr="00000000">
        <w:rPr>
          <w:rFonts w:ascii="Roboto" w:cs="Roboto" w:eastAsia="Roboto" w:hAnsi="Roboto"/>
          <w:i w:val="1"/>
          <w:sz w:val="20"/>
          <w:szCs w:val="20"/>
          <w:u w:val="single"/>
          <w:rtl w:val="0"/>
        </w:rPr>
        <w:t xml:space="preserve">Renovación automática:</w:t>
      </w:r>
    </w:p>
    <w:p w:rsidR="00000000" w:rsidDel="00000000" w:rsidP="00000000" w:rsidRDefault="00000000" w:rsidRPr="00000000" w14:paraId="0000002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ITPS</w:t>
      </w:r>
      <w:r w:rsidDel="00000000" w:rsidR="00000000" w:rsidRPr="00000000">
        <w:rPr>
          <w:rFonts w:ascii="Roboto" w:cs="Roboto" w:eastAsia="Roboto" w:hAnsi="Roboto"/>
          <w:sz w:val="20"/>
          <w:szCs w:val="20"/>
          <w:rtl w:val="0"/>
        </w:rPr>
        <w:t xml:space="preserve">: Más flexible al renovar solo por </w:t>
      </w:r>
      <w:r w:rsidDel="00000000" w:rsidR="00000000" w:rsidRPr="00000000">
        <w:rPr>
          <w:rFonts w:ascii="Roboto" w:cs="Roboto" w:eastAsia="Roboto" w:hAnsi="Roboto"/>
          <w:b w:val="1"/>
          <w:sz w:val="20"/>
          <w:szCs w:val="20"/>
          <w:rtl w:val="0"/>
        </w:rPr>
        <w:t xml:space="preserve">12 meses</w:t>
      </w:r>
      <w:r w:rsidDel="00000000" w:rsidR="00000000" w:rsidRPr="00000000">
        <w:rPr>
          <w:rFonts w:ascii="Roboto" w:cs="Roboto" w:eastAsia="Roboto" w:hAnsi="Roboto"/>
          <w:sz w:val="20"/>
          <w:szCs w:val="20"/>
          <w:rtl w:val="0"/>
        </w:rPr>
        <w:t xml:space="preserve"> y permitir cancelación con </w:t>
      </w:r>
      <w:r w:rsidDel="00000000" w:rsidR="00000000" w:rsidRPr="00000000">
        <w:rPr>
          <w:rFonts w:ascii="Roboto" w:cs="Roboto" w:eastAsia="Roboto" w:hAnsi="Roboto"/>
          <w:b w:val="1"/>
          <w:sz w:val="20"/>
          <w:szCs w:val="20"/>
          <w:rtl w:val="0"/>
        </w:rPr>
        <w:t xml:space="preserve">60 días</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2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SEIDOR</w:t>
      </w:r>
      <w:r w:rsidDel="00000000" w:rsidR="00000000" w:rsidRPr="00000000">
        <w:rPr>
          <w:rFonts w:ascii="Roboto" w:cs="Roboto" w:eastAsia="Roboto" w:hAnsi="Roboto"/>
          <w:sz w:val="20"/>
          <w:szCs w:val="20"/>
          <w:rtl w:val="0"/>
        </w:rPr>
        <w:t xml:space="preserve">: Renovación por </w:t>
      </w:r>
      <w:r w:rsidDel="00000000" w:rsidR="00000000" w:rsidRPr="00000000">
        <w:rPr>
          <w:rFonts w:ascii="Roboto" w:cs="Roboto" w:eastAsia="Roboto" w:hAnsi="Roboto"/>
          <w:b w:val="1"/>
          <w:sz w:val="20"/>
          <w:szCs w:val="20"/>
          <w:rtl w:val="0"/>
        </w:rPr>
        <w:t xml:space="preserve">36 meses</w:t>
      </w:r>
      <w:r w:rsidDel="00000000" w:rsidR="00000000" w:rsidRPr="00000000">
        <w:rPr>
          <w:rFonts w:ascii="Roboto" w:cs="Roboto" w:eastAsia="Roboto" w:hAnsi="Roboto"/>
          <w:sz w:val="20"/>
          <w:szCs w:val="20"/>
          <w:rtl w:val="0"/>
        </w:rPr>
        <w:t xml:space="preserve">, requiriendo </w:t>
      </w:r>
      <w:r w:rsidDel="00000000" w:rsidR="00000000" w:rsidRPr="00000000">
        <w:rPr>
          <w:rFonts w:ascii="Roboto" w:cs="Roboto" w:eastAsia="Roboto" w:hAnsi="Roboto"/>
          <w:b w:val="1"/>
          <w:sz w:val="20"/>
          <w:szCs w:val="20"/>
          <w:rtl w:val="0"/>
        </w:rPr>
        <w:t xml:space="preserve">90 días</w:t>
      </w:r>
      <w:r w:rsidDel="00000000" w:rsidR="00000000" w:rsidRPr="00000000">
        <w:rPr>
          <w:rFonts w:ascii="Roboto" w:cs="Roboto" w:eastAsia="Roboto" w:hAnsi="Roboto"/>
          <w:sz w:val="20"/>
          <w:szCs w:val="20"/>
          <w:rtl w:val="0"/>
        </w:rPr>
        <w:t xml:space="preserve"> para evitar la prórroga. Esto ofrece </w:t>
      </w:r>
      <w:r w:rsidDel="00000000" w:rsidR="00000000" w:rsidRPr="00000000">
        <w:rPr>
          <w:rFonts w:ascii="Roboto" w:cs="Roboto" w:eastAsia="Roboto" w:hAnsi="Roboto"/>
          <w:b w:val="1"/>
          <w:sz w:val="20"/>
          <w:szCs w:val="20"/>
          <w:rtl w:val="0"/>
        </w:rPr>
        <w:t xml:space="preserve">mayor estabilidad</w:t>
      </w:r>
      <w:r w:rsidDel="00000000" w:rsidR="00000000" w:rsidRPr="00000000">
        <w:rPr>
          <w:rFonts w:ascii="Roboto" w:cs="Roboto" w:eastAsia="Roboto" w:hAnsi="Roboto"/>
          <w:sz w:val="20"/>
          <w:szCs w:val="20"/>
          <w:rtl w:val="0"/>
        </w:rPr>
        <w:t xml:space="preserve">, pero puede ser visto como menos flexible.</w:t>
      </w:r>
    </w:p>
    <w:p w:rsidR="00000000" w:rsidDel="00000000" w:rsidP="00000000" w:rsidRDefault="00000000" w:rsidRPr="00000000" w14:paraId="0000002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Roboto" w:cs="Roboto" w:eastAsia="Roboto" w:hAnsi="Roboto"/>
          <w:i w:val="1"/>
          <w:sz w:val="20"/>
          <w:szCs w:val="20"/>
        </w:rPr>
      </w:pPr>
      <w:r w:rsidDel="00000000" w:rsidR="00000000" w:rsidRPr="00000000">
        <w:rPr>
          <w:rFonts w:ascii="Roboto" w:cs="Roboto" w:eastAsia="Roboto" w:hAnsi="Roboto"/>
          <w:i w:val="1"/>
          <w:sz w:val="20"/>
          <w:szCs w:val="20"/>
          <w:u w:val="single"/>
          <w:rtl w:val="0"/>
        </w:rPr>
        <w:t xml:space="preserve">Terminación anticipada:</w:t>
      </w:r>
    </w:p>
    <w:p w:rsidR="00000000" w:rsidDel="00000000" w:rsidP="00000000" w:rsidRDefault="00000000" w:rsidRPr="00000000" w14:paraId="00000024">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Ambos contemplan rescisión por falta de pago o incumplimiento.</w:t>
      </w:r>
    </w:p>
    <w:p w:rsidR="00000000" w:rsidDel="00000000" w:rsidP="00000000" w:rsidRDefault="00000000" w:rsidRPr="00000000" w14:paraId="00000025">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ITPS</w:t>
      </w:r>
      <w:r w:rsidDel="00000000" w:rsidR="00000000" w:rsidRPr="00000000">
        <w:rPr>
          <w:rFonts w:ascii="Roboto" w:cs="Roboto" w:eastAsia="Roboto" w:hAnsi="Roboto"/>
          <w:sz w:val="20"/>
          <w:szCs w:val="20"/>
          <w:rtl w:val="0"/>
        </w:rPr>
        <w:t xml:space="preserve"> añade un plazo para exportar datos, mientras que </w:t>
      </w:r>
      <w:r w:rsidDel="00000000" w:rsidR="00000000" w:rsidRPr="00000000">
        <w:rPr>
          <w:rFonts w:ascii="Roboto" w:cs="Roboto" w:eastAsia="Roboto" w:hAnsi="Roboto"/>
          <w:b w:val="1"/>
          <w:sz w:val="20"/>
          <w:szCs w:val="20"/>
          <w:rtl w:val="0"/>
        </w:rPr>
        <w:t xml:space="preserve">SEIDOR</w:t>
      </w:r>
      <w:r w:rsidDel="00000000" w:rsidR="00000000" w:rsidRPr="00000000">
        <w:rPr>
          <w:rFonts w:ascii="Roboto" w:cs="Roboto" w:eastAsia="Roboto" w:hAnsi="Roboto"/>
          <w:sz w:val="20"/>
          <w:szCs w:val="20"/>
          <w:rtl w:val="0"/>
        </w:rPr>
        <w:t xml:space="preserve"> no aborda este punto explícitamente.</w:t>
      </w:r>
    </w:p>
    <w:p w:rsidR="00000000" w:rsidDel="00000000" w:rsidP="00000000" w:rsidRDefault="00000000" w:rsidRPr="00000000" w14:paraId="00000026">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Roboto" w:cs="Roboto" w:eastAsia="Roboto" w:hAnsi="Roboto"/>
          <w:i w:val="1"/>
          <w:sz w:val="20"/>
          <w:szCs w:val="20"/>
        </w:rPr>
      </w:pPr>
      <w:r w:rsidDel="00000000" w:rsidR="00000000" w:rsidRPr="00000000">
        <w:rPr>
          <w:rFonts w:ascii="Roboto" w:cs="Roboto" w:eastAsia="Roboto" w:hAnsi="Roboto"/>
          <w:i w:val="1"/>
          <w:sz w:val="20"/>
          <w:szCs w:val="20"/>
          <w:u w:val="single"/>
          <w:rtl w:val="0"/>
        </w:rPr>
        <w:t xml:space="preserve">Impacto para el cliente:</w:t>
      </w:r>
    </w:p>
    <w:p w:rsidR="00000000" w:rsidDel="00000000" w:rsidP="00000000" w:rsidRDefault="00000000" w:rsidRPr="00000000" w14:paraId="0000002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rtl w:val="0"/>
        </w:rPr>
        <w:t xml:space="preserve">ITPS</w:t>
      </w:r>
      <w:r w:rsidDel="00000000" w:rsidR="00000000" w:rsidRPr="00000000">
        <w:rPr>
          <w:rFonts w:ascii="Roboto" w:cs="Roboto" w:eastAsia="Roboto" w:hAnsi="Roboto"/>
          <w:sz w:val="20"/>
          <w:szCs w:val="20"/>
          <w:rtl w:val="0"/>
        </w:rPr>
        <w:t xml:space="preserve"> permite decisiones más frecuentes y rápidas sobre continuidad.</w:t>
      </w:r>
    </w:p>
    <w:p w:rsidR="00000000" w:rsidDel="00000000" w:rsidP="00000000" w:rsidRDefault="00000000" w:rsidRPr="00000000" w14:paraId="0000002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Roboto" w:cs="Roboto" w:eastAsia="Roboto" w:hAnsi="Roboto"/>
          <w:sz w:val="20"/>
          <w:szCs w:val="20"/>
          <w:u w:val="none"/>
        </w:rPr>
      </w:pPr>
      <w:r w:rsidDel="00000000" w:rsidR="00000000" w:rsidRPr="00000000">
        <w:rPr>
          <w:rFonts w:ascii="Roboto" w:cs="Roboto" w:eastAsia="Roboto" w:hAnsi="Roboto"/>
          <w:b w:val="1"/>
          <w:sz w:val="20"/>
          <w:szCs w:val="20"/>
          <w:rtl w:val="0"/>
        </w:rPr>
        <w:t xml:space="preserve">SEIDOR</w:t>
      </w:r>
      <w:r w:rsidDel="00000000" w:rsidR="00000000" w:rsidRPr="00000000">
        <w:rPr>
          <w:rFonts w:ascii="Roboto" w:cs="Roboto" w:eastAsia="Roboto" w:hAnsi="Roboto"/>
          <w:sz w:val="20"/>
          <w:szCs w:val="20"/>
          <w:rtl w:val="0"/>
        </w:rPr>
        <w:t xml:space="preserve"> ofrece estabilidad contractual a largo plazo, pero podría ser más rígido para clientes con necesidades cambiantes.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A">
      <w:pPr>
        <w:pStyle w:val="Heading3"/>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280" w:line="360" w:lineRule="auto"/>
        <w:ind w:left="720" w:hanging="360"/>
        <w:jc w:val="both"/>
        <w:rPr>
          <w:rFonts w:ascii="Roboto" w:cs="Roboto" w:eastAsia="Roboto" w:hAnsi="Roboto"/>
          <w:b w:val="1"/>
          <w:color w:val="000000"/>
          <w:sz w:val="20"/>
          <w:szCs w:val="20"/>
          <w:u w:val="none"/>
        </w:rPr>
      </w:pPr>
      <w:bookmarkStart w:colFirst="0" w:colLast="0" w:name="_wzsmw7v53m8" w:id="11"/>
      <w:bookmarkEnd w:id="11"/>
      <w:r w:rsidDel="00000000" w:rsidR="00000000" w:rsidRPr="00000000">
        <w:rPr>
          <w:rFonts w:ascii="Roboto" w:cs="Roboto" w:eastAsia="Roboto" w:hAnsi="Roboto"/>
          <w:b w:val="1"/>
          <w:color w:val="000000"/>
          <w:sz w:val="20"/>
          <w:szCs w:val="20"/>
          <w:rtl w:val="0"/>
        </w:rPr>
        <w:t xml:space="preserve">Confidencialidad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contrato de SEIDOR ofrece una mayor protección en términos de confidencialidad.</w:t>
      </w:r>
      <w:r w:rsidDel="00000000" w:rsidR="00000000" w:rsidRPr="00000000">
        <w:rPr>
          <w:rtl w:val="0"/>
        </w:rPr>
      </w:r>
    </w:p>
    <w:p w:rsidR="00000000" w:rsidDel="00000000" w:rsidP="00000000" w:rsidRDefault="00000000" w:rsidRPr="00000000" w14:paraId="0000002C">
      <w:pPr>
        <w:spacing w:after="240" w:before="240" w:line="360" w:lineRule="auto"/>
        <w:jc w:val="both"/>
        <w:rPr>
          <w:rFonts w:ascii="PT Sans Narrow" w:cs="PT Sans Narrow" w:eastAsia="PT Sans Narrow" w:hAnsi="PT Sans Narrow"/>
          <w:b w:val="1"/>
          <w:color w:val="073763"/>
          <w:sz w:val="30"/>
          <w:szCs w:val="30"/>
          <w:u w:val="single"/>
        </w:rPr>
      </w:pPr>
      <w:r w:rsidDel="00000000" w:rsidR="00000000" w:rsidRPr="00000000">
        <w:rPr>
          <w:rFonts w:ascii="PT Sans Narrow" w:cs="PT Sans Narrow" w:eastAsia="PT Sans Narrow" w:hAnsi="PT Sans Narrow"/>
          <w:b w:val="1"/>
          <w:color w:val="073763"/>
          <w:sz w:val="30"/>
          <w:szCs w:val="30"/>
          <w:u w:val="single"/>
          <w:rtl w:val="0"/>
        </w:rPr>
        <w:t xml:space="preserve">3. Recomendación y conclusión.</w:t>
      </w:r>
    </w:p>
    <w:p w:rsidR="00000000" w:rsidDel="00000000" w:rsidP="00000000" w:rsidRDefault="00000000" w:rsidRPr="00000000" w14:paraId="0000002D">
      <w:pPr>
        <w:spacing w:after="240" w:before="24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3.1. La combinación de ambas cláusulas (opciones 1 y 2) ofrece un enfoque equilibrado y eficaz para garantizar la transferencia de los clientes de SEIDOR/ITPS a B1 Simple. Si bien la opción 3 resultaría una incorporación más “disimulada” y genérica, las opciones 1 y 2 proporcionan mayor seguridad jurídica, flexibilidad y transparencia en el proceso, protegiendo los intereses de todas las partes involucradas.</w:t>
      </w:r>
      <w:r w:rsidDel="00000000" w:rsidR="00000000" w:rsidRPr="00000000">
        <w:rPr>
          <w:rtl w:val="0"/>
        </w:rPr>
      </w:r>
    </w:p>
    <w:p w:rsidR="00000000" w:rsidDel="00000000" w:rsidP="00000000" w:rsidRDefault="00000000" w:rsidRPr="00000000" w14:paraId="0000002E">
      <w:pPr>
        <w:spacing w:after="240" w:before="24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3.2. </w:t>
      </w:r>
      <w:r w:rsidDel="00000000" w:rsidR="00000000" w:rsidRPr="00000000">
        <w:rPr>
          <w:rFonts w:ascii="Roboto" w:cs="Roboto" w:eastAsia="Roboto" w:hAnsi="Roboto"/>
          <w:sz w:val="20"/>
          <w:szCs w:val="20"/>
          <w:rtl w:val="0"/>
        </w:rPr>
        <w:t xml:space="preserve">Tras un análisis detallado de ambos contratos, se concluye que ambos contratos tienen enfoques diferentes: </w:t>
      </w:r>
      <w:r w:rsidDel="00000000" w:rsidR="00000000" w:rsidRPr="00000000">
        <w:rPr>
          <w:rFonts w:ascii="Roboto" w:cs="Roboto" w:eastAsia="Roboto" w:hAnsi="Roboto"/>
          <w:b w:val="1"/>
          <w:sz w:val="20"/>
          <w:szCs w:val="20"/>
          <w:rtl w:val="0"/>
        </w:rPr>
        <w:t xml:space="preserve">SEIDOR</w:t>
      </w:r>
      <w:r w:rsidDel="00000000" w:rsidR="00000000" w:rsidRPr="00000000">
        <w:rPr>
          <w:rFonts w:ascii="Roboto" w:cs="Roboto" w:eastAsia="Roboto" w:hAnsi="Roboto"/>
          <w:sz w:val="20"/>
          <w:szCs w:val="20"/>
          <w:rtl w:val="0"/>
        </w:rPr>
        <w:t xml:space="preserve"> se centra en seguridad jurídica, estructura rígida y protección del licenciante, mientras que </w:t>
      </w:r>
      <w:r w:rsidDel="00000000" w:rsidR="00000000" w:rsidRPr="00000000">
        <w:rPr>
          <w:rFonts w:ascii="Roboto" w:cs="Roboto" w:eastAsia="Roboto" w:hAnsi="Roboto"/>
          <w:b w:val="1"/>
          <w:sz w:val="20"/>
          <w:szCs w:val="20"/>
          <w:rtl w:val="0"/>
        </w:rPr>
        <w:t xml:space="preserve">ITPS</w:t>
      </w:r>
      <w:r w:rsidDel="00000000" w:rsidR="00000000" w:rsidRPr="00000000">
        <w:rPr>
          <w:rFonts w:ascii="Roboto" w:cs="Roboto" w:eastAsia="Roboto" w:hAnsi="Roboto"/>
          <w:sz w:val="20"/>
          <w:szCs w:val="20"/>
          <w:rtl w:val="0"/>
        </w:rPr>
        <w:t xml:space="preserve"> ofrece mayor flexibilidad operativa centrándose en el aspecto comercial. Consecuentemente, desde el aspecto de protección legal-contractual, el Contrato de Suscripción SAP Business One (SAAS) por SEIDOR es más favorable para el Licenciante. Este contrato proporciona una mayor claridad, protección de derechos, y limitaciones de responsabilidad que resguardan los intereses del Licenciante. Además, su estructura más rígida en términos de duración y condiciones de uso asegura una mayor estabilidad y control sobre el software licenciado. Sin embargo, se sugiere considerar la estructura de Carta Oferta de ITPS, la flexibilidad en el uso del software y demás aspectos comercialmente convenientes como posibles mejoras para el modelo de SEIDOR.</w:t>
      </w:r>
      <w:r w:rsidDel="00000000" w:rsidR="00000000" w:rsidRPr="00000000">
        <w:rPr>
          <w:rtl w:val="0"/>
        </w:rPr>
      </w:r>
    </w:p>
    <w:p w:rsidR="00000000" w:rsidDel="00000000" w:rsidP="00000000" w:rsidRDefault="00000000" w:rsidRPr="00000000" w14:paraId="0000002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Roboto" w:cs="Roboto" w:eastAsia="Roboto" w:hAnsi="Roboto"/>
          <w:color w:val="000000"/>
          <w:sz w:val="20"/>
          <w:szCs w:val="20"/>
        </w:rPr>
      </w:pPr>
      <w:bookmarkStart w:colFirst="0" w:colLast="0" w:name="_z504maoxot3u" w:id="12"/>
      <w:bookmarkEnd w:id="12"/>
      <w:r w:rsidDel="00000000" w:rsidR="00000000" w:rsidRPr="00000000">
        <w:rPr>
          <w:rFonts w:ascii="PT Sans Narrow" w:cs="PT Sans Narrow" w:eastAsia="PT Sans Narrow" w:hAnsi="PT Sans Narrow"/>
          <w:b w:val="1"/>
          <w:color w:val="073763"/>
          <w:sz w:val="30"/>
          <w:szCs w:val="30"/>
          <w:u w:val="single"/>
          <w:rtl w:val="0"/>
        </w:rPr>
        <w:t xml:space="preserve">4</w:t>
      </w:r>
      <w:r w:rsidDel="00000000" w:rsidR="00000000" w:rsidRPr="00000000">
        <w:rPr>
          <w:rFonts w:ascii="PT Sans Narrow" w:cs="PT Sans Narrow" w:eastAsia="PT Sans Narrow" w:hAnsi="PT Sans Narrow"/>
          <w:b w:val="1"/>
          <w:color w:val="073763"/>
          <w:sz w:val="30"/>
          <w:szCs w:val="30"/>
          <w:u w:val="single"/>
          <w:rtl w:val="0"/>
        </w:rPr>
        <w:t xml:space="preserve">. Recomendaciones Adicionales</w:t>
      </w:r>
      <w:r w:rsidDel="00000000" w:rsidR="00000000" w:rsidRPr="00000000">
        <w:rPr>
          <w:rFonts w:ascii="Roboto" w:cs="Roboto" w:eastAsia="Roboto" w:hAnsi="Roboto"/>
          <w:color w:val="0d0d0d"/>
          <w:sz w:val="20"/>
          <w:szCs w:val="20"/>
          <w:rtl w:val="0"/>
        </w:rPr>
        <w:t xml:space="preserve">.</w:t>
        <w:br w:type="textWrapping"/>
        <w:t xml:space="preserve">4.1. </w:t>
      </w:r>
      <w:r w:rsidDel="00000000" w:rsidR="00000000" w:rsidRPr="00000000">
        <w:rPr>
          <w:rFonts w:ascii="Roboto" w:cs="Roboto" w:eastAsia="Roboto" w:hAnsi="Roboto"/>
          <w:color w:val="000000"/>
          <w:sz w:val="20"/>
          <w:szCs w:val="20"/>
          <w:rtl w:val="0"/>
        </w:rPr>
        <w:t xml:space="preserve">Asimismo, al revisar el Acuerdo de Cesión modelo compartido notamos que la cláusula tercera presenta una señal de alerta significativa. Al establecer que el 'Partner Cesionario acepta en su totalidad los derechos y obligaciones del Partner Cedente sin requerir ningún tipo de garantía', se exime al cedente de cualquier responsabilidad futura relacionada con el contrato de licencia. Esta cláusula podría exponer al cesionario a riesgos legales considerables, especialmente si existen incumplimientos contractuales previos que no hayan sido revelados. </w:t>
      </w:r>
    </w:p>
    <w:p w:rsidR="00000000" w:rsidDel="00000000" w:rsidP="00000000" w:rsidRDefault="00000000" w:rsidRPr="00000000" w14:paraId="0000003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Roboto" w:cs="Roboto" w:eastAsia="Roboto" w:hAnsi="Roboto"/>
          <w:color w:val="000000"/>
          <w:sz w:val="20"/>
          <w:szCs w:val="20"/>
        </w:rPr>
      </w:pPr>
      <w:bookmarkStart w:colFirst="0" w:colLast="0" w:name="_tf97vyardwf9" w:id="13"/>
      <w:bookmarkEnd w:id="13"/>
      <w:r w:rsidDel="00000000" w:rsidR="00000000" w:rsidRPr="00000000">
        <w:rPr>
          <w:rFonts w:ascii="Roboto" w:cs="Roboto" w:eastAsia="Roboto" w:hAnsi="Roboto"/>
          <w:color w:val="000000"/>
          <w:sz w:val="20"/>
          <w:szCs w:val="20"/>
          <w:rtl w:val="0"/>
        </w:rPr>
        <w:t xml:space="preserve">Se sugiere especialmente consultar con SAP para explorar una posible modificación de la cláusula tercera del template de Acuerdo de Cesión. Se sugiere incluir cláusulas que responsabilicen al cedente a los fines de que el mismo responda por cualquier incumplimiento contractual anterior que afecte al cesionario.</w:t>
      </w:r>
    </w:p>
    <w:p w:rsidR="00000000" w:rsidDel="00000000" w:rsidP="00000000" w:rsidRDefault="00000000" w:rsidRPr="00000000" w14:paraId="0000003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Asimismo, se recomienda que eventualmente, ante una cesión, el cesionario lleve adelante una diligencia debida exhaustiva sobre el Contrato de Licencia y la situación jurídica del cedente antes de aceptar la transferencia.</w:t>
      </w:r>
    </w:p>
    <w:p w:rsidR="00000000" w:rsidDel="00000000" w:rsidP="00000000" w:rsidRDefault="00000000" w:rsidRPr="00000000" w14:paraId="0000003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3">
      <w:pPr>
        <w:jc w:val="both"/>
        <w:rPr>
          <w:rFonts w:ascii="Roboto" w:cs="Roboto" w:eastAsia="Roboto" w:hAnsi="Roboto"/>
          <w:sz w:val="20"/>
          <w:szCs w:val="20"/>
          <w:highlight w:val="white"/>
        </w:rPr>
      </w:pPr>
      <w:r w:rsidDel="00000000" w:rsidR="00000000" w:rsidRPr="00000000">
        <w:rPr>
          <w:rFonts w:ascii="Roboto" w:cs="Roboto" w:eastAsia="Roboto" w:hAnsi="Roboto"/>
          <w:sz w:val="20"/>
          <w:szCs w:val="20"/>
          <w:rtl w:val="0"/>
        </w:rPr>
        <w:t xml:space="preserve">Así también, en el marco de todas las opciones, se sugiere incorporar</w:t>
      </w:r>
      <w:r w:rsidDel="00000000" w:rsidR="00000000" w:rsidRPr="00000000">
        <w:rPr>
          <w:rFonts w:ascii="Roboto" w:cs="Roboto" w:eastAsia="Roboto" w:hAnsi="Roboto"/>
          <w:sz w:val="20"/>
          <w:szCs w:val="20"/>
          <w:highlight w:val="white"/>
          <w:rtl w:val="0"/>
        </w:rPr>
        <w:t xml:space="preserve">, como anexo al Contrato de Partnership, un listado de los clientes conseguidos por intervención de B1 Simple. Dicho anexo se podrá ir completando y/o ampliando a medida en que se vayan firmando nuevos contratos con clientes conseguidos por intervención de B1 Simple.</w:t>
      </w:r>
    </w:p>
    <w:p w:rsidR="00000000" w:rsidDel="00000000" w:rsidP="00000000" w:rsidRDefault="00000000" w:rsidRPr="00000000" w14:paraId="00000034">
      <w:pPr>
        <w:jc w:val="both"/>
        <w:rPr>
          <w:rFonts w:ascii="Roboto" w:cs="Roboto" w:eastAsia="Roboto" w:hAnsi="Roboto"/>
          <w:sz w:val="20"/>
          <w:szCs w:val="20"/>
        </w:rPr>
      </w:pPr>
      <w:r w:rsidDel="00000000" w:rsidR="00000000" w:rsidRPr="00000000">
        <w:rPr>
          <w:rFonts w:ascii="Roboto" w:cs="Roboto" w:eastAsia="Roboto" w:hAnsi="Roboto"/>
          <w:sz w:val="20"/>
          <w:szCs w:val="20"/>
          <w:highlight w:val="white"/>
          <w:rtl w:val="0"/>
        </w:rPr>
        <w:t xml:space="preserve">De esta manera, eventualmente B1 Simple podrá indicar cuáles son las cuentas que pasaran a su titularidad en el caso de llegar a ser partner directo de SAP.</w:t>
      </w:r>
      <w:r w:rsidDel="00000000" w:rsidR="00000000" w:rsidRPr="00000000">
        <w:rPr>
          <w:rtl w:val="0"/>
        </w:rPr>
      </w:r>
    </w:p>
    <w:p w:rsidR="00000000" w:rsidDel="00000000" w:rsidP="00000000" w:rsidRDefault="00000000" w:rsidRPr="00000000" w14:paraId="0000003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4.2. Por otro lado, aconsejamos proceder a la elaboración de un Contrato de Licencia propio de B1 Simple, en el cual se queden integrados los mejores aspectos de cada modelo y, adicionalmente, sean incorporadas cláusulas customizadas en virtud de las necesidades y deseos específicos de B1.</w:t>
      </w:r>
      <w:r w:rsidDel="00000000" w:rsidR="00000000" w:rsidRPr="00000000">
        <w:rPr>
          <w:rtl w:val="0"/>
        </w:rPr>
      </w:r>
    </w:p>
    <w:p w:rsidR="00000000" w:rsidDel="00000000" w:rsidP="00000000" w:rsidRDefault="00000000" w:rsidRPr="00000000" w14:paraId="00000037">
      <w:pPr>
        <w:shd w:fill="ffffff" w:val="clear"/>
        <w:spacing w:line="276" w:lineRule="auto"/>
        <w:jc w:val="both"/>
        <w:rPr>
          <w:rFonts w:ascii="Roboto" w:cs="Roboto" w:eastAsia="Roboto" w:hAnsi="Roboto"/>
          <w:sz w:val="20"/>
          <w:szCs w:val="20"/>
          <w:highlight w:val="white"/>
        </w:rPr>
        <w:sectPr>
          <w:headerReference r:id="rId6" w:type="default"/>
          <w:headerReference r:id="rId7" w:type="first"/>
          <w:footerReference r:id="rId8"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8">
      <w:pPr>
        <w:widowControl w:val="0"/>
        <w:spacing w:line="240" w:lineRule="auto"/>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9">
      <w:pPr>
        <w:widowControl w:val="0"/>
        <w:spacing w:line="240"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Sin otro más, saludamos muy atentamente.</w:t>
      </w:r>
    </w:p>
    <w:p w:rsidR="00000000" w:rsidDel="00000000" w:rsidP="00000000" w:rsidRDefault="00000000" w:rsidRPr="00000000" w14:paraId="0000003A">
      <w:pPr>
        <w:widowControl w:val="0"/>
        <w:spacing w:line="240" w:lineRule="auto"/>
        <w:jc w:val="right"/>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 El Equipo Legal de WNS &amp; Asociados.</w:t>
      </w:r>
    </w:p>
    <w:p w:rsidR="00000000" w:rsidDel="00000000" w:rsidP="00000000" w:rsidRDefault="00000000" w:rsidRPr="00000000" w14:paraId="0000003B">
      <w:pPr>
        <w:spacing w:after="120" w:before="120" w:line="360" w:lineRule="auto"/>
        <w:jc w:val="both"/>
        <w:rPr>
          <w:rFonts w:ascii="Roboto" w:cs="Roboto" w:eastAsia="Roboto" w:hAnsi="Roboto"/>
          <w:sz w:val="20"/>
          <w:szCs w:val="20"/>
        </w:rPr>
        <w:sectPr>
          <w:type w:val="continuous"/>
          <w:pgSz w:h="16834" w:w="11909" w:orient="portrait"/>
          <w:pgMar w:bottom="2292" w:top="573" w:left="1440" w:right="1367" w:header="0" w:footer="720"/>
        </w:sectPr>
      </w:pPr>
      <w:r w:rsidDel="00000000" w:rsidR="00000000" w:rsidRPr="00000000">
        <w:rPr>
          <w:rtl w:val="0"/>
        </w:rPr>
      </w:r>
    </w:p>
    <w:p w:rsidR="00000000" w:rsidDel="00000000" w:rsidP="00000000" w:rsidRDefault="00000000" w:rsidRPr="00000000" w14:paraId="0000003C">
      <w:pPr>
        <w:spacing w:after="120" w:before="120"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keepNext w:val="1"/>
        <w:keepLines w:val="1"/>
        <w:widowControl w:val="0"/>
        <w:spacing w:before="60" w:line="360" w:lineRule="auto"/>
        <w:jc w:val="both"/>
        <w:rPr>
          <w:rFonts w:ascii="Roboto" w:cs="Roboto" w:eastAsia="Roboto" w:hAnsi="Roboto"/>
          <w:sz w:val="20"/>
          <w:szCs w:val="20"/>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-1225386</wp:posOffset>
          </wp:positionH>
          <wp:positionV relativeFrom="paragraph">
            <wp:posOffset>-342899</wp:posOffset>
          </wp:positionV>
          <wp:extent cx="8177213" cy="112495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77213" cy="11249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Helvetica Neue" w:cs="Helvetica Neue" w:eastAsia="Helvetica Neue" w:hAnsi="Helvetica Neue"/>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