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360" w:lineRule="auto"/>
        <w:jc w:val="center"/>
        <w:rPr>
          <w:rFonts w:ascii="PT Sans Narrow" w:cs="PT Sans Narrow" w:eastAsia="PT Sans Narrow" w:hAnsi="PT Sans Narrow"/>
          <w:b w:val="1"/>
          <w:color w:val="17365d"/>
          <w:sz w:val="24"/>
          <w:szCs w:val="24"/>
          <w:u w:val="single"/>
        </w:rPr>
      </w:pPr>
      <w:r w:rsidDel="00000000" w:rsidR="00000000" w:rsidRPr="00000000">
        <w:rPr>
          <w:rFonts w:ascii="PT Sans Narrow" w:cs="PT Sans Narrow" w:eastAsia="PT Sans Narrow" w:hAnsi="PT Sans Narrow"/>
          <w:b w:val="1"/>
          <w:color w:val="17365d"/>
          <w:sz w:val="24"/>
          <w:szCs w:val="24"/>
          <w:u w:val="single"/>
          <w:rtl w:val="0"/>
        </w:rPr>
        <w:t xml:space="preserve">INFORME LEGAL – Análisis de Contingencias, Escenarios y Estrategia Societaria </w:t>
      </w:r>
    </w:p>
    <w:p w:rsidR="00000000" w:rsidDel="00000000" w:rsidP="00000000" w:rsidRDefault="00000000" w:rsidRPr="00000000" w14:paraId="00000002">
      <w:pPr>
        <w:spacing w:after="240" w:before="240" w:lineRule="auto"/>
        <w:rPr>
          <w:rFonts w:ascii="PT Sans Narrow" w:cs="PT Sans Narrow" w:eastAsia="PT Sans Narrow" w:hAnsi="PT Sans Narrow"/>
          <w:b w:val="1"/>
          <w:color w:val="073763"/>
          <w:sz w:val="24"/>
          <w:szCs w:val="24"/>
        </w:rPr>
      </w:pPr>
      <w:r w:rsidDel="00000000" w:rsidR="00000000" w:rsidRPr="00000000">
        <w:rPr>
          <w:rFonts w:ascii="PT Sans Narrow" w:cs="PT Sans Narrow" w:eastAsia="PT Sans Narrow" w:hAnsi="PT Sans Narrow"/>
          <w:b w:val="1"/>
          <w:color w:val="073763"/>
          <w:sz w:val="24"/>
          <w:szCs w:val="24"/>
          <w:rtl w:val="0"/>
        </w:rPr>
        <w:t xml:space="preserve">1. Introducción y Antecedentes</w:t>
      </w:r>
    </w:p>
    <w:p w:rsidR="00000000" w:rsidDel="00000000" w:rsidP="00000000" w:rsidRDefault="00000000" w:rsidRPr="00000000" w14:paraId="00000003">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el marco de la relación comercial entre Mantika, Inc., sociedad constituida y vigente conforme a las leyes de Canadá, y NeuralPlug AI S.A., sociedad constituida en la República Argentina, se proyectó formalmente la constitución de un grupo de negocios integrado (“Business Group”), conforme surge del </w:t>
      </w:r>
      <w:r w:rsidDel="00000000" w:rsidR="00000000" w:rsidRPr="00000000">
        <w:rPr>
          <w:rFonts w:ascii="Roboto" w:cs="Roboto" w:eastAsia="Roboto" w:hAnsi="Roboto"/>
          <w:i w:val="1"/>
          <w:sz w:val="20"/>
          <w:szCs w:val="20"/>
          <w:rtl w:val="0"/>
        </w:rPr>
        <w:t xml:space="preserve">Private Agreement Between Partners</w:t>
      </w:r>
      <w:r w:rsidDel="00000000" w:rsidR="00000000" w:rsidRPr="00000000">
        <w:rPr>
          <w:rFonts w:ascii="Roboto" w:cs="Roboto" w:eastAsia="Roboto" w:hAnsi="Roboto"/>
          <w:sz w:val="20"/>
          <w:szCs w:val="20"/>
          <w:rtl w:val="0"/>
        </w:rPr>
        <w:t xml:space="preserve"> elaborado en 2022, que describe la estructura accionaria y operativa de ambas sociedades, incluyendo la participación del Sr. Martín Schapiro en un veinte por ciento (20 %) del capital social de cada una.</w:t>
      </w:r>
    </w:p>
    <w:p w:rsidR="00000000" w:rsidDel="00000000" w:rsidP="00000000" w:rsidRDefault="00000000" w:rsidRPr="00000000" w14:paraId="00000004">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Sin embargo, dicho acuerdo nunca fue firmado, por lo que la relación entre las partes, así como la participación de Schapiro en el negocio, se sostiene únicamente en los hechos y en prácticas comerciales consolidadas, sin respaldo documental vinculante.</w:t>
      </w:r>
    </w:p>
    <w:p w:rsidR="00000000" w:rsidDel="00000000" w:rsidP="00000000" w:rsidRDefault="00000000" w:rsidRPr="00000000" w14:paraId="00000005">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la actualidad, NeuralPlug AI S.A. presenta la siguiente composición accionaria:</w:t>
      </w:r>
    </w:p>
    <w:p w:rsidR="00000000" w:rsidDel="00000000" w:rsidP="00000000" w:rsidRDefault="00000000" w:rsidRPr="00000000" w14:paraId="00000006">
      <w:pPr>
        <w:numPr>
          <w:ilvl w:val="0"/>
          <w:numId w:val="14"/>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Mirta </w:t>
      </w:r>
      <w:r w:rsidDel="00000000" w:rsidR="00000000" w:rsidRPr="00000000">
        <w:rPr>
          <w:rFonts w:ascii="Roboto" w:cs="Roboto" w:eastAsia="Roboto" w:hAnsi="Roboto"/>
          <w:sz w:val="20"/>
          <w:szCs w:val="20"/>
          <w:rtl w:val="0"/>
        </w:rPr>
        <w:t xml:space="preserve">Camji </w:t>
      </w:r>
      <w:r w:rsidDel="00000000" w:rsidR="00000000" w:rsidRPr="00000000">
        <w:rPr>
          <w:rFonts w:ascii="Roboto" w:cs="Roboto" w:eastAsia="Roboto" w:hAnsi="Roboto"/>
          <w:sz w:val="20"/>
          <w:szCs w:val="20"/>
          <w:rtl w:val="0"/>
        </w:rPr>
        <w:t xml:space="preserve">(madre de Schapiro): titular del 80% del capital social.</w:t>
        <w:br w:type="textWrapping"/>
      </w:r>
    </w:p>
    <w:p w:rsidR="00000000" w:rsidDel="00000000" w:rsidP="00000000" w:rsidRDefault="00000000" w:rsidRPr="00000000" w14:paraId="00000007">
      <w:pPr>
        <w:numPr>
          <w:ilvl w:val="0"/>
          <w:numId w:val="14"/>
        </w:numPr>
        <w:spacing w:after="24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Martín Schapiro: titular del 20% restante y presidente de la sociedad.</w:t>
        <w:br w:type="textWrapping"/>
      </w:r>
    </w:p>
    <w:p w:rsidR="00000000" w:rsidDel="00000000" w:rsidP="00000000" w:rsidRDefault="00000000" w:rsidRPr="00000000" w14:paraId="00000008">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Esta composición implica que el control societario local se encuentra, en los hechos y jurídicamente, en manos de Schapiro, dado su vínculo directo con la titular mayoritaria y su rol de presidente.</w:t>
      </w:r>
    </w:p>
    <w:p w:rsidR="00000000" w:rsidDel="00000000" w:rsidP="00000000" w:rsidRDefault="00000000" w:rsidRPr="00000000" w14:paraId="00000009">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la práctica:</w:t>
      </w:r>
    </w:p>
    <w:p w:rsidR="00000000" w:rsidDel="00000000" w:rsidP="00000000" w:rsidRDefault="00000000" w:rsidRPr="00000000" w14:paraId="0000000A">
      <w:pPr>
        <w:numPr>
          <w:ilvl w:val="0"/>
          <w:numId w:val="13"/>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Schapiro ejerce la presidencia y representación de NeuralPlug AI S.A., que actúa como base operativa en Argentina y Latinoamérica para los desarrollos de Mantika.</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mayor parte de las remuneraciones de los empleados de NeuralPlug se abonan directamente desde Mantika, Inc. en cuentas en el exterior, complementándose con pagos locales.</w:t>
        <w:br w:type="textWrapping"/>
      </w:r>
    </w:p>
    <w:p w:rsidR="00000000" w:rsidDel="00000000" w:rsidP="00000000" w:rsidRDefault="00000000" w:rsidRPr="00000000" w14:paraId="0000000C">
      <w:pPr>
        <w:numPr>
          <w:ilvl w:val="0"/>
          <w:numId w:val="13"/>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 decisiones estratégicas y de gestión se coordinan entre Schapiro y los socios extranjeros, quienes detentan el control económico de Mantika y, de hecho, de NeuralPlug.</w:t>
        <w:br w:type="textWrapping"/>
      </w:r>
    </w:p>
    <w:p w:rsidR="00000000" w:rsidDel="00000000" w:rsidP="00000000" w:rsidRDefault="00000000" w:rsidRPr="00000000" w14:paraId="0000000D">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ausencia de un instrumento societario firmado que refleje la estructura real expone a Schapiro a contingencias significativas:</w:t>
      </w:r>
    </w:p>
    <w:p w:rsidR="00000000" w:rsidDel="00000000" w:rsidP="00000000" w:rsidRDefault="00000000" w:rsidRPr="00000000" w14:paraId="0000000E">
      <w:pPr>
        <w:numPr>
          <w:ilvl w:val="0"/>
          <w:numId w:val="15"/>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Societarias: dificultad para acreditar derechos y participación accionaria en caso de conflicto.</w:t>
        <w:br w:type="textWrapping"/>
      </w:r>
    </w:p>
    <w:p w:rsidR="00000000" w:rsidDel="00000000" w:rsidP="00000000" w:rsidRDefault="00000000" w:rsidRPr="00000000" w14:paraId="0000000F">
      <w:pPr>
        <w:numPr>
          <w:ilvl w:val="0"/>
          <w:numId w:val="15"/>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Laborales: eventuales reclamos por falta de registración o pagos no declarados de remuneraciones.</w:t>
        <w:br w:type="textWrapping"/>
      </w:r>
    </w:p>
    <w:p w:rsidR="00000000" w:rsidDel="00000000" w:rsidP="00000000" w:rsidRDefault="00000000" w:rsidRPr="00000000" w14:paraId="00000010">
      <w:pPr>
        <w:numPr>
          <w:ilvl w:val="0"/>
          <w:numId w:val="15"/>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Fiscales: responsabilidades derivadas de la operatoria internacional de pagos y de la eventual subdeclaración de ingresos y egresos.</w:t>
      </w:r>
    </w:p>
    <w:p w:rsidR="00000000" w:rsidDel="00000000" w:rsidP="00000000" w:rsidRDefault="00000000" w:rsidRPr="00000000" w14:paraId="00000011">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presente informe se orienta a identificar y evaluar dichas contingencias y proponer estrategias para resguardar la posición de Schapiro frente a un escenario de conflicto con sus socios o de separación del grupo.</w:t>
      </w:r>
    </w:p>
    <w:p w:rsidR="00000000" w:rsidDel="00000000" w:rsidP="00000000" w:rsidRDefault="00000000" w:rsidRPr="00000000" w14:paraId="00000012">
      <w:pPr>
        <w:spacing w:after="240" w:before="240" w:lineRule="auto"/>
        <w:ind w:left="0" w:firstLine="0"/>
        <w:rPr>
          <w:rFonts w:ascii="PT Sans Narrow" w:cs="PT Sans Narrow" w:eastAsia="PT Sans Narrow" w:hAnsi="PT Sans Narrow"/>
          <w:b w:val="1"/>
          <w:color w:val="073763"/>
          <w:sz w:val="24"/>
          <w:szCs w:val="24"/>
        </w:rPr>
      </w:pPr>
      <w:r w:rsidDel="00000000" w:rsidR="00000000" w:rsidRPr="00000000">
        <w:rPr>
          <w:rFonts w:ascii="PT Sans Narrow" w:cs="PT Sans Narrow" w:eastAsia="PT Sans Narrow" w:hAnsi="PT Sans Narrow"/>
          <w:b w:val="1"/>
          <w:color w:val="073763"/>
          <w:sz w:val="24"/>
          <w:szCs w:val="24"/>
          <w:rtl w:val="0"/>
        </w:rPr>
        <w:t xml:space="preserve">2. Análisis de Contingencias</w:t>
      </w:r>
    </w:p>
    <w:p w:rsidR="00000000" w:rsidDel="00000000" w:rsidP="00000000" w:rsidRDefault="00000000" w:rsidRPr="00000000" w14:paraId="00000013">
      <w:pPr>
        <w:spacing w:after="240" w:before="240" w:lineRule="auto"/>
        <w:ind w:left="0" w:firstLine="0"/>
        <w:rPr>
          <w:rFonts w:ascii="PT Sans Narrow" w:cs="PT Sans Narrow" w:eastAsia="PT Sans Narrow" w:hAnsi="PT Sans Narrow"/>
          <w:b w:val="1"/>
          <w:color w:val="073763"/>
          <w:u w:val="single"/>
        </w:rPr>
      </w:pPr>
      <w:r w:rsidDel="00000000" w:rsidR="00000000" w:rsidRPr="00000000">
        <w:rPr>
          <w:rFonts w:ascii="PT Sans Narrow" w:cs="PT Sans Narrow" w:eastAsia="PT Sans Narrow" w:hAnsi="PT Sans Narrow"/>
          <w:b w:val="1"/>
          <w:color w:val="073763"/>
          <w:u w:val="single"/>
          <w:rtl w:val="0"/>
        </w:rPr>
        <w:t xml:space="preserve">2.1. Laboral</w:t>
      </w:r>
    </w:p>
    <w:p w:rsidR="00000000" w:rsidDel="00000000" w:rsidP="00000000" w:rsidRDefault="00000000" w:rsidRPr="00000000" w14:paraId="00000014">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 Situación contractual y de hecho</w:t>
        <w:br w:type="textWrapping"/>
      </w:r>
      <w:r w:rsidDel="00000000" w:rsidR="00000000" w:rsidRPr="00000000">
        <w:rPr>
          <w:rFonts w:ascii="Roboto" w:cs="Roboto" w:eastAsia="Roboto" w:hAnsi="Roboto"/>
          <w:sz w:val="20"/>
          <w:szCs w:val="20"/>
          <w:rtl w:val="0"/>
        </w:rPr>
        <w:t xml:space="preserve">La operatoria vigente entre Mantika, Inc. y NeuralPlug AI S.A. se desarrolla sobre la base de un acuerdo de hecho, dado que el </w:t>
      </w:r>
      <w:r w:rsidDel="00000000" w:rsidR="00000000" w:rsidRPr="00000000">
        <w:rPr>
          <w:rFonts w:ascii="Roboto" w:cs="Roboto" w:eastAsia="Roboto" w:hAnsi="Roboto"/>
          <w:i w:val="1"/>
          <w:sz w:val="20"/>
          <w:szCs w:val="20"/>
          <w:rtl w:val="0"/>
        </w:rPr>
        <w:t xml:space="preserve">Private Agreement Between Partners</w:t>
      </w:r>
      <w:r w:rsidDel="00000000" w:rsidR="00000000" w:rsidRPr="00000000">
        <w:rPr>
          <w:rFonts w:ascii="Roboto" w:cs="Roboto" w:eastAsia="Roboto" w:hAnsi="Roboto"/>
          <w:sz w:val="20"/>
          <w:szCs w:val="20"/>
          <w:rtl w:val="0"/>
        </w:rPr>
        <w:t xml:space="preserve"> de 2022, que contenía las pautas de integración y distribución accionaria, nunca fue firmado.</w:t>
      </w:r>
    </w:p>
    <w:p w:rsidR="00000000" w:rsidDel="00000000" w:rsidP="00000000" w:rsidRDefault="00000000" w:rsidRPr="00000000" w14:paraId="00000015">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consecuencia:</w:t>
      </w:r>
    </w:p>
    <w:p w:rsidR="00000000" w:rsidDel="00000000" w:rsidP="00000000" w:rsidRDefault="00000000" w:rsidRPr="00000000" w14:paraId="00000016">
      <w:pPr>
        <w:numPr>
          <w:ilvl w:val="0"/>
          <w:numId w:val="5"/>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relación entre las sociedades y la participación de Schapiro carecen de reconocimiento jurídico formal, limitándose en la práctica a su condición de presidente y titular del 20 % de las acciones formalmente inscritas en NeuralPlug.</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No existe instrumento que documente el control operativo y económico ejercido en conjunto con los socios extranjeros ni la existencia de un “grupo de negocios” a efectos legales.</w:t>
        <w:br w:type="textWrapping"/>
      </w:r>
    </w:p>
    <w:p w:rsidR="00000000" w:rsidDel="00000000" w:rsidP="00000000" w:rsidRDefault="00000000" w:rsidRPr="00000000" w14:paraId="00000018">
      <w:pPr>
        <w:numPr>
          <w:ilvl w:val="0"/>
          <w:numId w:val="5"/>
        </w:numPr>
        <w:spacing w:after="240" w:before="0" w:beforeAutospacing="0" w:lineRule="auto"/>
        <w:ind w:left="720" w:hanging="360"/>
        <w:jc w:val="both"/>
        <w:rPr>
          <w:b w:val="1"/>
        </w:rPr>
      </w:pPr>
      <w:r w:rsidDel="00000000" w:rsidR="00000000" w:rsidRPr="00000000">
        <w:rPr>
          <w:rFonts w:ascii="Roboto" w:cs="Roboto" w:eastAsia="Roboto" w:hAnsi="Roboto"/>
          <w:sz w:val="20"/>
          <w:szCs w:val="20"/>
          <w:rtl w:val="0"/>
        </w:rPr>
        <w:t xml:space="preserve">Esto genera incertidumbre sobre la responsabilidad de Schapiro frente a pasivos laborales: podría ser considerado empleador directo (por su rol en NeuralPlug) o solidario (por integrar de hecho un grupo económico), sin que exista un marco escrito que delimite y distribuya dichas responsabilidades entre las partes.</w:t>
      </w:r>
      <w:r w:rsidDel="00000000" w:rsidR="00000000" w:rsidRPr="00000000">
        <w:rPr>
          <w:b w:val="1"/>
          <w:rtl w:val="0"/>
        </w:rPr>
        <w:br w:type="textWrapping"/>
      </w:r>
    </w:p>
    <w:p w:rsidR="00000000" w:rsidDel="00000000" w:rsidP="00000000" w:rsidRDefault="00000000" w:rsidRPr="00000000" w14:paraId="00000019">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b) Pagos de remuneraciones desde el exterior</w:t>
      </w:r>
      <w:r w:rsidDel="00000000" w:rsidR="00000000" w:rsidRPr="00000000">
        <w:rPr>
          <w:rFonts w:ascii="Roboto" w:cs="Roboto" w:eastAsia="Roboto" w:hAnsi="Roboto"/>
          <w:sz w:val="20"/>
          <w:szCs w:val="20"/>
          <w:rtl w:val="0"/>
        </w:rPr>
        <w:br w:type="textWrapping"/>
        <w:t xml:space="preserve">De la información relevada surge que la mayor parte de las remuneraciones de los empleados de NeuralPlug se abona directamente desde Mantika, Inc. en cuentas radicadas en el exterior, complementándose con pagos locales realizados por NeuralPlug.</w:t>
      </w:r>
    </w:p>
    <w:p w:rsidR="00000000" w:rsidDel="00000000" w:rsidP="00000000" w:rsidRDefault="00000000" w:rsidRPr="00000000" w14:paraId="0000001A">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Principales riesgos derivados:</w:t>
      </w:r>
    </w:p>
    <w:p w:rsidR="00000000" w:rsidDel="00000000" w:rsidP="00000000" w:rsidRDefault="00000000" w:rsidRPr="00000000" w14:paraId="0000001B">
      <w:pPr>
        <w:numPr>
          <w:ilvl w:val="0"/>
          <w:numId w:val="9"/>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Falta de registración integral de remuneraciones</w:t>
        <w:br w:type="textWrapping"/>
      </w:r>
    </w:p>
    <w:p w:rsidR="00000000" w:rsidDel="00000000" w:rsidP="00000000" w:rsidRDefault="00000000" w:rsidRPr="00000000" w14:paraId="0000001C">
      <w:pPr>
        <w:numPr>
          <w:ilvl w:val="1"/>
          <w:numId w:val="9"/>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Ley de Contrato de Trabajo N° 20.744 y la Ley N° 24.013 exigen que el empleador registre la totalidad de las remuneraciones efectivamente percibidas por el trabajador, sin importar el origen de los fondos ni el lugar de pago.</w:t>
        <w:br w:type="textWrapping"/>
      </w:r>
    </w:p>
    <w:p w:rsidR="00000000" w:rsidDel="00000000" w:rsidP="00000000" w:rsidRDefault="00000000" w:rsidRPr="00000000" w14:paraId="0000001D">
      <w:pPr>
        <w:numPr>
          <w:ilvl w:val="1"/>
          <w:numId w:val="9"/>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pago parcial en el exterior, no informado en las declaraciones locales, puede ser calificado como subregistración salarial, generando multas (arts. 8, 9 y 10 L. 24.013) e indemnizaciones agravadas (art. 80 LCT).</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Responsabilidad solidaria por integración económica</w:t>
        <w:br w:type="textWrapping"/>
      </w:r>
    </w:p>
    <w:p w:rsidR="00000000" w:rsidDel="00000000" w:rsidP="00000000" w:rsidRDefault="00000000" w:rsidRPr="00000000" w14:paraId="0000001F">
      <w:pPr>
        <w:numPr>
          <w:ilvl w:val="1"/>
          <w:numId w:val="9"/>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Conforme el art. 30 LCT y la doctrina judicial sobre “grupo económico laboral”, Mantika, Inc. podría ser considerada co-empleadora junto a NeuralPlug, con responsabilidad solidaria frente a reclamos laborales.</w:t>
        <w:br w:type="textWrapping"/>
      </w:r>
    </w:p>
    <w:p w:rsidR="00000000" w:rsidDel="00000000" w:rsidP="00000000" w:rsidRDefault="00000000" w:rsidRPr="00000000" w14:paraId="00000020">
      <w:pPr>
        <w:numPr>
          <w:ilvl w:val="1"/>
          <w:numId w:val="9"/>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ausencia de un acuerdo escrito que distribuya responsabilidades aumenta la probabilidad de que todos los socios y administradores (incluido Schapiro) sean alcanzados por condenas solidarias (arts. 54 y 274 LGS).</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Contingencias fiscales y de seguridad social</w:t>
        <w:br w:type="textWrapping"/>
      </w:r>
    </w:p>
    <w:p w:rsidR="00000000" w:rsidDel="00000000" w:rsidP="00000000" w:rsidRDefault="00000000" w:rsidRPr="00000000" w14:paraId="00000022">
      <w:pPr>
        <w:numPr>
          <w:ilvl w:val="1"/>
          <w:numId w:val="9"/>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Los pagos desde el exterior no estarían sujetos a aportes y contribuciones al sistema de seguridad social argentino, lo que genera deuda con AFIP por montos omitidos, más intereses y multas (L. 17.250 y L. 11.683).</w:t>
        <w:br w:type="textWrapping"/>
      </w:r>
    </w:p>
    <w:p w:rsidR="00000000" w:rsidDel="00000000" w:rsidP="00000000" w:rsidRDefault="00000000" w:rsidRPr="00000000" w14:paraId="00000023">
      <w:pPr>
        <w:numPr>
          <w:ilvl w:val="1"/>
          <w:numId w:val="9"/>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superarse los mínimos punibles, podría configurarse un delito de evasión simple o agravada (arts. 1 y 2 L. 27.430 – Ley Penal Tributaria).</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Riesgo de reclamos individuales</w:t>
        <w:br w:type="textWrapping"/>
      </w:r>
    </w:p>
    <w:p w:rsidR="00000000" w:rsidDel="00000000" w:rsidP="00000000" w:rsidRDefault="00000000" w:rsidRPr="00000000" w14:paraId="00000025">
      <w:pPr>
        <w:numPr>
          <w:ilvl w:val="1"/>
          <w:numId w:val="9"/>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caso de desvinculación o litigio, los empleados podrían reclamar la totalidad de los pagos en el exterior como parte del salario registrado, incrementando sustancialmente la base de cálculo de indemnizaciones y beneficios.</w:t>
        <w:br w:type="textWrapping"/>
      </w:r>
    </w:p>
    <w:p w:rsidR="00000000" w:rsidDel="00000000" w:rsidP="00000000" w:rsidRDefault="00000000" w:rsidRPr="00000000" w14:paraId="00000026">
      <w:pPr>
        <w:numPr>
          <w:ilvl w:val="1"/>
          <w:numId w:val="9"/>
        </w:numPr>
        <w:spacing w:after="24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falta de documentación que vincule a Mantika y NeuralPlug de manera formal impide a Schapiro trasladar contractualmente esta contingencia a los socios extranjeros.</w:t>
        <w:br w:type="textWrapping"/>
      </w:r>
    </w:p>
    <w:p w:rsidR="00000000" w:rsidDel="00000000" w:rsidP="00000000" w:rsidRDefault="00000000" w:rsidRPr="00000000" w14:paraId="00000027">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 Evaluación preliminar</w:t>
      </w:r>
      <w:r w:rsidDel="00000000" w:rsidR="00000000" w:rsidRPr="00000000">
        <w:rPr>
          <w:rFonts w:ascii="Roboto" w:cs="Roboto" w:eastAsia="Roboto" w:hAnsi="Roboto"/>
          <w:sz w:val="20"/>
          <w:szCs w:val="20"/>
          <w:rtl w:val="0"/>
        </w:rPr>
        <w:br w:type="textWrapping"/>
        <w:t xml:space="preserve">El esquema vigente constituye una contingencia laboral y previsional grave, con alto riesgo de derivar en responsabilidad personal y solidaria de Schapiro en su calidad de presidente de NeuralPlug y socio minoritario de hecho en el grupo.</w:t>
        <w:br w:type="textWrapping"/>
        <w:t xml:space="preserve">El riesgo se ve incrementado por:</w:t>
      </w:r>
    </w:p>
    <w:p w:rsidR="00000000" w:rsidDel="00000000" w:rsidP="00000000" w:rsidRDefault="00000000" w:rsidRPr="00000000" w14:paraId="00000028">
      <w:pPr>
        <w:numPr>
          <w:ilvl w:val="0"/>
          <w:numId w:val="8"/>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ausencia de contrato firmado que reconozca formalmente la integración empresarial.</w:t>
        <w:br w:type="textWrapping"/>
      </w:r>
    </w:p>
    <w:p w:rsidR="00000000" w:rsidDel="00000000" w:rsidP="00000000" w:rsidRDefault="00000000" w:rsidRPr="00000000" w14:paraId="00000029">
      <w:pPr>
        <w:numPr>
          <w:ilvl w:val="0"/>
          <w:numId w:val="8"/>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imposibilidad de documentar internamente que las decisiones y prácticas laborales (incluyendo el pago en el exterior) fueron consensuadas con los socios extranjeros.</w:t>
        <w:br w:type="textWrapping"/>
      </w:r>
    </w:p>
    <w:p w:rsidR="00000000" w:rsidDel="00000000" w:rsidP="00000000" w:rsidRDefault="00000000" w:rsidRPr="00000000" w14:paraId="0000002A">
      <w:pPr>
        <w:spacing w:after="240" w:befor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d) Recomendaciones iniciales</w:t>
      </w:r>
    </w:p>
    <w:p w:rsidR="00000000" w:rsidDel="00000000" w:rsidP="00000000" w:rsidRDefault="00000000" w:rsidRPr="00000000" w14:paraId="0000002B">
      <w:pPr>
        <w:numPr>
          <w:ilvl w:val="0"/>
          <w:numId w:val="7"/>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acuerdo a la decisión de continuar o desvincularse del Grupo Mantika, es que se deberá proceder a una regularización laboral 100% en Argentina, o bien, migrar la nómina 100% al exterior mediante la modalidad de prestación de servicios hacia Mantika.</w:t>
      </w:r>
      <w:r w:rsidDel="00000000" w:rsidR="00000000" w:rsidRPr="00000000">
        <w:rPr>
          <w:rtl w:val="0"/>
        </w:rPr>
      </w:r>
    </w:p>
    <w:p w:rsidR="00000000" w:rsidDel="00000000" w:rsidP="00000000" w:rsidRDefault="00000000" w:rsidRPr="00000000" w14:paraId="0000002C">
      <w:pPr>
        <w:numPr>
          <w:ilvl w:val="0"/>
          <w:numId w:val="7"/>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Preparar documentación de respaldo que pruebe que el esquema de pagos fue impuesto o acordado con Mantika, a fin de contar con elementos defensivos en caso de reclamos judiciales.</w:t>
      </w:r>
    </w:p>
    <w:p w:rsidR="00000000" w:rsidDel="00000000" w:rsidP="00000000" w:rsidRDefault="00000000" w:rsidRPr="00000000" w14:paraId="0000002D">
      <w:pPr>
        <w:spacing w:after="240" w:before="240" w:lineRule="auto"/>
        <w:ind w:left="0" w:firstLine="0"/>
        <w:rPr>
          <w:rFonts w:ascii="PT Sans Narrow" w:cs="PT Sans Narrow" w:eastAsia="PT Sans Narrow" w:hAnsi="PT Sans Narrow"/>
          <w:b w:val="1"/>
          <w:color w:val="073763"/>
        </w:rPr>
      </w:pPr>
      <w:r w:rsidDel="00000000" w:rsidR="00000000" w:rsidRPr="00000000">
        <w:rPr>
          <w:rFonts w:ascii="PT Sans Narrow" w:cs="PT Sans Narrow" w:eastAsia="PT Sans Narrow" w:hAnsi="PT Sans Narrow"/>
          <w:b w:val="1"/>
          <w:color w:val="073763"/>
          <w:rtl w:val="0"/>
        </w:rPr>
        <w:br w:type="textWrapping"/>
      </w:r>
      <w:r w:rsidDel="00000000" w:rsidR="00000000" w:rsidRPr="00000000">
        <w:rPr>
          <w:rFonts w:ascii="PT Sans Narrow" w:cs="PT Sans Narrow" w:eastAsia="PT Sans Narrow" w:hAnsi="PT Sans Narrow"/>
          <w:b w:val="1"/>
          <w:color w:val="073763"/>
          <w:rtl w:val="0"/>
        </w:rPr>
        <w:t xml:space="preserve">2.2. Contingencias Fiscales y Contables</w:t>
      </w:r>
      <w:r w:rsidDel="00000000" w:rsidR="00000000" w:rsidRPr="00000000">
        <w:rPr>
          <w:rtl w:val="0"/>
        </w:rPr>
      </w:r>
    </w:p>
    <w:p w:rsidR="00000000" w:rsidDel="00000000" w:rsidP="00000000" w:rsidRDefault="00000000" w:rsidRPr="00000000" w14:paraId="0000002E">
      <w:pPr>
        <w:spacing w:after="240" w:befor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a) Falta de registración integral de operaciones</w:t>
      </w:r>
    </w:p>
    <w:p w:rsidR="00000000" w:rsidDel="00000000" w:rsidP="00000000" w:rsidRDefault="00000000" w:rsidRPr="00000000" w14:paraId="0000002F">
      <w:pPr>
        <w:numPr>
          <w:ilvl w:val="0"/>
          <w:numId w:val="6"/>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pago de salarios desde Mantika, Inc. a empleados de NeuralPlug en cuentas extranjeras, sin su correspondiente registración en Argentina, implica no solo una infracción laboral, sino también omisión en la base imponible para el cálculo de aportes y contribuciones, y posiblemente para impuestos como Ganancias e IVA (si correspondiera).</w:t>
        <w:br w:type="textWrapping"/>
      </w:r>
    </w:p>
    <w:p w:rsidR="00000000" w:rsidDel="00000000" w:rsidP="00000000" w:rsidRDefault="00000000" w:rsidRPr="00000000" w14:paraId="00000030">
      <w:pPr>
        <w:numPr>
          <w:ilvl w:val="0"/>
          <w:numId w:val="6"/>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AFIP podría presumir la existencia de remuneraciones no declaradas, generando ajustes retroactivos, intereses y multas.</w:t>
        <w:br w:type="textWrapping"/>
      </w:r>
    </w:p>
    <w:p w:rsidR="00000000" w:rsidDel="00000000" w:rsidP="00000000" w:rsidRDefault="00000000" w:rsidRPr="00000000" w14:paraId="00000031">
      <w:pPr>
        <w:spacing w:after="240" w:befor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b) Riesgo de calificación como “establecimiento permanente”</w:t>
      </w:r>
    </w:p>
    <w:p w:rsidR="00000000" w:rsidDel="00000000" w:rsidP="00000000" w:rsidRDefault="00000000" w:rsidRPr="00000000" w14:paraId="00000032">
      <w:pPr>
        <w:numPr>
          <w:ilvl w:val="0"/>
          <w:numId w:val="10"/>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operatoria entre Mantika y NeuralPlug se interpreta como un único negocio con dirección unificada, Mantika podría ser calificada por AFIP como establecimiento permanente en Argentina.</w:t>
        <w:br w:type="textWrapping"/>
      </w:r>
    </w:p>
    <w:p w:rsidR="00000000" w:rsidDel="00000000" w:rsidP="00000000" w:rsidRDefault="00000000" w:rsidRPr="00000000" w14:paraId="00000033">
      <w:pPr>
        <w:numPr>
          <w:ilvl w:val="0"/>
          <w:numId w:val="10"/>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Esto habilitaría la determinación de tributos por la totalidad de ingresos generados en el país, incluso los facturados directamente por Mantika al exterior.</w:t>
        <w:br w:type="textWrapping"/>
      </w:r>
    </w:p>
    <w:p w:rsidR="00000000" w:rsidDel="00000000" w:rsidP="00000000" w:rsidRDefault="00000000" w:rsidRPr="00000000" w14:paraId="00000034">
      <w:pPr>
        <w:spacing w:after="240" w:befor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 Efectos en el Impuesto a las Ganancias y Ganancia Mínima Presunta </w:t>
      </w:r>
    </w:p>
    <w:p w:rsidR="00000000" w:rsidDel="00000000" w:rsidP="00000000" w:rsidRDefault="00000000" w:rsidRPr="00000000" w14:paraId="00000035">
      <w:pPr>
        <w:numPr>
          <w:ilvl w:val="0"/>
          <w:numId w:val="1"/>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subdeclaración de gastos laborales en NeuralPlug distorsiona el resultado fiscal, pudiendo generar saldos técnicos que AFIP impugne.</w:t>
        <w:br w:type="textWrapping"/>
      </w:r>
    </w:p>
    <w:p w:rsidR="00000000" w:rsidDel="00000000" w:rsidP="00000000" w:rsidRDefault="00000000" w:rsidRPr="00000000" w14:paraId="00000036">
      <w:pPr>
        <w:numPr>
          <w:ilvl w:val="0"/>
          <w:numId w:val="1"/>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vinculación económica podría activar la aplicación de precios de transferencia, obligando a justificar los valores pactados entre ambas sociedades.</w:t>
        <w:br w:type="textWrapping"/>
      </w:r>
    </w:p>
    <w:p w:rsidR="00000000" w:rsidDel="00000000" w:rsidP="00000000" w:rsidRDefault="00000000" w:rsidRPr="00000000" w14:paraId="00000037">
      <w:pPr>
        <w:spacing w:after="240" w:before="240" w:lineRule="auto"/>
        <w:jc w:val="both"/>
        <w:rPr>
          <w:rFonts w:ascii="Roboto" w:cs="Roboto" w:eastAsia="Roboto" w:hAnsi="Roboto"/>
          <w:b w:val="1"/>
          <w:sz w:val="20"/>
          <w:szCs w:val="20"/>
        </w:rPr>
      </w:pPr>
      <w:commentRangeStart w:id="0"/>
      <w:r w:rsidDel="00000000" w:rsidR="00000000" w:rsidRPr="00000000">
        <w:rPr>
          <w:rFonts w:ascii="Roboto" w:cs="Roboto" w:eastAsia="Roboto" w:hAnsi="Roboto"/>
          <w:b w:val="1"/>
          <w:sz w:val="20"/>
          <w:szCs w:val="20"/>
          <w:rtl w:val="0"/>
        </w:rPr>
        <w:t xml:space="preserve">d) Posible encuadre en Ley Penal Tributaria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numPr>
          <w:ilvl w:val="0"/>
          <w:numId w:val="2"/>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las omisiones superan los mínimos establecidos (actualmente $1.500.000 por tributo y por ejercicio para evasión simple y $15.000.000 para evasión agravada), podría configurarse un ilícito penal tributario.</w:t>
        <w:br w:type="textWrapping"/>
      </w:r>
    </w:p>
    <w:p w:rsidR="00000000" w:rsidDel="00000000" w:rsidP="00000000" w:rsidRDefault="00000000" w:rsidRPr="00000000" w14:paraId="00000039">
      <w:pPr>
        <w:numPr>
          <w:ilvl w:val="0"/>
          <w:numId w:val="2"/>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riesgo es doble: por NeuralPlug como contribuyente y por Schapiro como presidente y representante legal, con responsabilidad personal.</w:t>
        <w:br w:type="textWrapping"/>
      </w:r>
    </w:p>
    <w:p w:rsidR="00000000" w:rsidDel="00000000" w:rsidP="00000000" w:rsidRDefault="00000000" w:rsidRPr="00000000" w14:paraId="0000003A">
      <w:pPr>
        <w:spacing w:after="240" w:before="240" w:lineRule="auto"/>
        <w:jc w:val="both"/>
        <w:rPr>
          <w:rFonts w:ascii="Roboto" w:cs="Roboto" w:eastAsia="Roboto" w:hAnsi="Roboto"/>
          <w:b w:val="1"/>
          <w:sz w:val="20"/>
          <w:szCs w:val="20"/>
        </w:rPr>
      </w:pPr>
      <w:commentRangeStart w:id="1"/>
      <w:r w:rsidDel="00000000" w:rsidR="00000000" w:rsidRPr="00000000">
        <w:rPr>
          <w:rFonts w:ascii="Roboto" w:cs="Roboto" w:eastAsia="Roboto" w:hAnsi="Roboto"/>
          <w:b w:val="1"/>
          <w:sz w:val="20"/>
          <w:szCs w:val="20"/>
          <w:rtl w:val="0"/>
        </w:rPr>
        <w:t xml:space="preserve">e) Contingencias cambiarias</w:t>
      </w:r>
    </w:p>
    <w:p w:rsidR="00000000" w:rsidDel="00000000" w:rsidP="00000000" w:rsidRDefault="00000000" w:rsidRPr="00000000" w14:paraId="0000003B">
      <w:pPr>
        <w:numPr>
          <w:ilvl w:val="0"/>
          <w:numId w:val="12"/>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pago de remuneraciones desde el exterior puede considerarse una operación alcanzada por el régimen de información cambiaria del BCRA.</w:t>
      </w:r>
      <w:r w:rsidDel="00000000" w:rsidR="00000000" w:rsidRPr="00000000">
        <w:rPr>
          <w:rFonts w:ascii="Roboto" w:cs="Roboto" w:eastAsia="Roboto" w:hAnsi="Roboto"/>
          <w:sz w:val="20"/>
          <w:szCs w:val="20"/>
          <w:highlight w:val="yellow"/>
          <w:rtl w:val="0"/>
        </w:rPr>
        <w:br w:type="textWrapp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C">
      <w:pPr>
        <w:numPr>
          <w:ilvl w:val="0"/>
          <w:numId w:val="12"/>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ausencia de documentación formal que respalde estos pagos como parte de un esquema lícito de compensación intercompany incrementa el riesgo de sanciones por infracciones a la Ley Penal Cambiaria.</w:t>
        <w:br w:type="textWrapping"/>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PT Sans Narrow" w:cs="PT Sans Narrow" w:eastAsia="PT Sans Narrow" w:hAnsi="PT Sans Narrow"/>
          <w:b w:val="1"/>
          <w:color w:val="073763"/>
          <w:sz w:val="22"/>
          <w:szCs w:val="22"/>
        </w:rPr>
      </w:pPr>
      <w:bookmarkStart w:colFirst="0" w:colLast="0" w:name="_99e0llp9ab7u" w:id="0"/>
      <w:bookmarkEnd w:id="0"/>
      <w:r w:rsidDel="00000000" w:rsidR="00000000" w:rsidRPr="00000000">
        <w:rPr>
          <w:rFonts w:ascii="PT Sans Narrow" w:cs="PT Sans Narrow" w:eastAsia="PT Sans Narrow" w:hAnsi="PT Sans Narrow"/>
          <w:b w:val="1"/>
          <w:color w:val="073763"/>
          <w:sz w:val="22"/>
          <w:szCs w:val="22"/>
          <w:rtl w:val="0"/>
        </w:rPr>
        <w:t xml:space="preserve">2.3. Contingencias Societarias y Patrimoniales</w:t>
      </w:r>
    </w:p>
    <w:p w:rsidR="00000000" w:rsidDel="00000000" w:rsidP="00000000" w:rsidRDefault="00000000" w:rsidRPr="00000000" w14:paraId="0000003E">
      <w:pPr>
        <w:spacing w:after="240" w:befor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a) Falta de contrato firmado y ausencia de título habilitante</w:t>
      </w:r>
    </w:p>
    <w:p w:rsidR="00000000" w:rsidDel="00000000" w:rsidP="00000000" w:rsidRDefault="00000000" w:rsidRPr="00000000" w14:paraId="0000003F">
      <w:pPr>
        <w:numPr>
          <w:ilvl w:val="0"/>
          <w:numId w:val="4"/>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w:t>
      </w:r>
      <w:r w:rsidDel="00000000" w:rsidR="00000000" w:rsidRPr="00000000">
        <w:rPr>
          <w:rFonts w:ascii="Roboto" w:cs="Roboto" w:eastAsia="Roboto" w:hAnsi="Roboto"/>
          <w:i w:val="1"/>
          <w:sz w:val="20"/>
          <w:szCs w:val="20"/>
          <w:rtl w:val="0"/>
        </w:rPr>
        <w:t xml:space="preserve">Private Agreement</w:t>
      </w:r>
      <w:r w:rsidDel="00000000" w:rsidR="00000000" w:rsidRPr="00000000">
        <w:rPr>
          <w:rFonts w:ascii="Roboto" w:cs="Roboto" w:eastAsia="Roboto" w:hAnsi="Roboto"/>
          <w:sz w:val="20"/>
          <w:szCs w:val="20"/>
          <w:rtl w:val="0"/>
        </w:rPr>
        <w:t xml:space="preserve"> que preveía la participación de Schapiro en un 20 % de Mantika y NeuralPlug nunca fue suscripto, lo que implica que, jurídicamente:</w:t>
        <w:br w:type="textWrapping"/>
      </w:r>
    </w:p>
    <w:p w:rsidR="00000000" w:rsidDel="00000000" w:rsidP="00000000" w:rsidRDefault="00000000" w:rsidRPr="00000000" w14:paraId="00000040">
      <w:pPr>
        <w:numPr>
          <w:ilvl w:val="1"/>
          <w:numId w:val="4"/>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NeuralPlug, solo se reconoce su participación formal en el 20 % del capital </w:t>
      </w:r>
      <w:r w:rsidDel="00000000" w:rsidR="00000000" w:rsidRPr="00000000">
        <w:rPr>
          <w:rFonts w:ascii="Roboto" w:cs="Roboto" w:eastAsia="Roboto" w:hAnsi="Roboto"/>
          <w:sz w:val="20"/>
          <w:szCs w:val="20"/>
          <w:rtl w:val="0"/>
        </w:rPr>
        <w:t xml:space="preserve">registrado</w:t>
      </w:r>
      <w:r w:rsidDel="00000000" w:rsidR="00000000" w:rsidRPr="00000000">
        <w:rPr>
          <w:rFonts w:ascii="Roboto" w:cs="Roboto" w:eastAsia="Roboto" w:hAnsi="Roboto"/>
          <w:sz w:val="20"/>
          <w:szCs w:val="20"/>
          <w:rtl w:val="0"/>
        </w:rPr>
        <w:t xml:space="preserve">, sin reconocimiento de derechos ampliados como socio estratégico. Sin embargo, la titularidad mayoritaria de Mirta Camji implica que (i) los socios extranjeros </w:t>
      </w:r>
      <w:r w:rsidDel="00000000" w:rsidR="00000000" w:rsidRPr="00000000">
        <w:rPr>
          <w:rFonts w:ascii="Roboto" w:cs="Roboto" w:eastAsia="Roboto" w:hAnsi="Roboto"/>
          <w:b w:val="1"/>
          <w:sz w:val="20"/>
          <w:szCs w:val="20"/>
          <w:rtl w:val="0"/>
        </w:rPr>
        <w:t xml:space="preserve">no tienen poder de imposición en asambleas</w:t>
      </w:r>
      <w:r w:rsidDel="00000000" w:rsidR="00000000" w:rsidRPr="00000000">
        <w:rPr>
          <w:rFonts w:ascii="Roboto" w:cs="Roboto" w:eastAsia="Roboto" w:hAnsi="Roboto"/>
          <w:sz w:val="20"/>
          <w:szCs w:val="20"/>
          <w:rtl w:val="0"/>
        </w:rPr>
        <w:t xml:space="preserve"> (ii) cualquier aumento de capital, cambio estatutario o decisión estratégica requiere aprobación del bloque controlante local, y (iii) Schapiro puede bloquear decisiones adversas y condicionar acuerdos a cambio de la regularización de condiciones laborales y fiscales.</w:t>
        <w:br w:type="textWrapping"/>
      </w:r>
    </w:p>
    <w:p w:rsidR="00000000" w:rsidDel="00000000" w:rsidP="00000000" w:rsidRDefault="00000000" w:rsidRPr="00000000" w14:paraId="00000041">
      <w:pPr>
        <w:numPr>
          <w:ilvl w:val="1"/>
          <w:numId w:val="4"/>
        </w:numPr>
        <w:spacing w:after="24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Mantika, no tiene participación accionaria formal, por lo que cualquier reclamo sobre utilidades o activos deberá fundarse en prueba de los actos y conductas de las partes (por ejemplo, stock options firmado por Martín y Xavier conjuntamente como “Grupo Mantika”, intercambio de emails, etc.).</w:t>
        <w:br w:type="textWrapping"/>
      </w:r>
    </w:p>
    <w:p w:rsidR="00000000" w:rsidDel="00000000" w:rsidP="00000000" w:rsidRDefault="00000000" w:rsidRPr="00000000" w14:paraId="00000042">
      <w:pPr>
        <w:spacing w:after="240" w:befor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b) Responsabilidad solidaria como administrador</w:t>
      </w:r>
    </w:p>
    <w:p w:rsidR="00000000" w:rsidDel="00000000" w:rsidP="00000000" w:rsidRDefault="00000000" w:rsidRPr="00000000" w14:paraId="00000043">
      <w:pPr>
        <w:numPr>
          <w:ilvl w:val="0"/>
          <w:numId w:val="3"/>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Como presidente de NeuralPlug, Schapiro responde personal y solidariamente por daños causados a la sociedad, socios o terceros por actos contrarios a la ley, el estatuto o por culpa o dolo (art. 59 y 274 LGS).</w:t>
        <w:br w:type="textWrapping"/>
      </w:r>
    </w:p>
    <w:p w:rsidR="00000000" w:rsidDel="00000000" w:rsidP="00000000" w:rsidRDefault="00000000" w:rsidRPr="00000000" w14:paraId="00000044">
      <w:pPr>
        <w:numPr>
          <w:ilvl w:val="0"/>
          <w:numId w:val="3"/>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Sin un acuerdo que documente la cadena de decisiones y responsabilidades compartidas con Mantika, existe el riesgo de que cargas y deudas generadas por decisiones de los socios extranjeros se trasladen directamente a él.</w:t>
        <w:br w:type="textWrapping"/>
      </w:r>
    </w:p>
    <w:p w:rsidR="00000000" w:rsidDel="00000000" w:rsidP="00000000" w:rsidRDefault="00000000" w:rsidRPr="00000000" w14:paraId="00000045">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d) Inseguridad jurídica en la distribución de utilidades</w:t>
      </w:r>
      <w:r w:rsidDel="00000000" w:rsidR="00000000" w:rsidRPr="00000000">
        <w:rPr>
          <w:rtl w:val="0"/>
        </w:rPr>
      </w:r>
    </w:p>
    <w:p w:rsidR="00000000" w:rsidDel="00000000" w:rsidP="00000000" w:rsidRDefault="00000000" w:rsidRPr="00000000" w14:paraId="00000046">
      <w:pPr>
        <w:numPr>
          <w:ilvl w:val="0"/>
          <w:numId w:val="11"/>
        </w:numPr>
        <w:spacing w:after="24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Al no existir acuerdo escrito que establezca mecanismos de distribución en el grupo, Schapiro carece de medios para exigir el pago de utilidades de Mantika, si las mismas se retienen o compensan unilateralmente con gastos intercompany.</w:t>
        <w:br w:type="textWrapping"/>
      </w:r>
    </w:p>
    <w:p w:rsidR="00000000" w:rsidDel="00000000" w:rsidP="00000000" w:rsidRDefault="00000000" w:rsidRPr="00000000" w14:paraId="00000047">
      <w:pPr>
        <w:spacing w:after="240" w:befor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e) Posibilidad de conflicto judicial internacional</w:t>
      </w:r>
    </w:p>
    <w:p w:rsidR="00000000" w:rsidDel="00000000" w:rsidP="00000000" w:rsidRDefault="00000000" w:rsidRPr="00000000" w14:paraId="00000048">
      <w:pPr>
        <w:numPr>
          <w:ilvl w:val="0"/>
          <w:numId w:val="16"/>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Ante un conflicto con los socios extranjeros, cualquier reclamo vinculado a Mantika debería tramitarse en Canadá, con costos y barreras procesales importantes.</w:t>
        <w:br w:type="textWrapping"/>
      </w:r>
    </w:p>
    <w:p w:rsidR="00000000" w:rsidDel="00000000" w:rsidP="00000000" w:rsidRDefault="00000000" w:rsidRPr="00000000" w14:paraId="00000049">
      <w:pPr>
        <w:numPr>
          <w:ilvl w:val="0"/>
          <w:numId w:val="16"/>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Sin contrato firmado, no hay cláusula de prórroga de jurisdicción ni ley aplicable pactada, por lo que la discusión de competencia y derecho aplicable sería e</w:t>
      </w:r>
      <w:r w:rsidDel="00000000" w:rsidR="00000000" w:rsidRPr="00000000">
        <w:rPr>
          <w:rFonts w:ascii="Roboto" w:cs="Roboto" w:eastAsia="Roboto" w:hAnsi="Roboto"/>
          <w:sz w:val="20"/>
          <w:szCs w:val="20"/>
          <w:rtl w:val="0"/>
        </w:rPr>
        <w:t xml:space="preserve">l primer obstáculo procesal.</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Ergo, si Martin inicia acciones, los tribunales canadienses podrían declararse competentes, por ser el domicilio de la sociedad demandada. A su vez, Argentina podría tener  argumentos para ser la jurisdicción donde se deba dirimir el conflicto si se prueba que NeuralPlug actuó como operadora regional de hecho de Mantika. La salida recomendada sería la negociación extrajudicial.</w:t>
      </w:r>
    </w:p>
    <w:p w:rsidR="00000000" w:rsidDel="00000000" w:rsidP="00000000" w:rsidRDefault="00000000" w:rsidRPr="00000000" w14:paraId="0000004A">
      <w:pPr>
        <w:spacing w:after="240" w:befor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spacing w:after="240" w:before="240" w:lineRule="auto"/>
        <w:jc w:val="both"/>
        <w:rPr>
          <w:rFonts w:ascii="PT Sans Narrow" w:cs="PT Sans Narrow" w:eastAsia="PT Sans Narrow" w:hAnsi="PT Sans Narrow"/>
          <w:b w:val="1"/>
          <w:color w:val="073763"/>
          <w:sz w:val="24"/>
          <w:szCs w:val="24"/>
        </w:rPr>
      </w:pPr>
      <w:r w:rsidDel="00000000" w:rsidR="00000000" w:rsidRPr="00000000">
        <w:rPr>
          <w:rFonts w:ascii="PT Sans Narrow" w:cs="PT Sans Narrow" w:eastAsia="PT Sans Narrow" w:hAnsi="PT Sans Narrow"/>
          <w:b w:val="1"/>
          <w:color w:val="073763"/>
          <w:sz w:val="24"/>
          <w:szCs w:val="24"/>
          <w:rtl w:val="0"/>
        </w:rPr>
        <w:t xml:space="preserve">3. Mercado Libre</w:t>
      </w:r>
    </w:p>
    <w:p w:rsidR="00000000" w:rsidDel="00000000" w:rsidP="00000000" w:rsidRDefault="00000000" w:rsidRPr="00000000" w14:paraId="0000004C">
      <w:pPr>
        <w:spacing w:after="240" w:before="240" w:lineRule="auto"/>
        <w:jc w:val="both"/>
        <w:rPr>
          <w:rFonts w:ascii="Roboto" w:cs="Roboto" w:eastAsia="Roboto" w:hAnsi="Roboto"/>
          <w:sz w:val="20"/>
          <w:szCs w:val="20"/>
        </w:rPr>
      </w:pPr>
      <w:commentRangeStart w:id="2"/>
      <w:r w:rsidDel="00000000" w:rsidR="00000000" w:rsidRPr="00000000">
        <w:rPr>
          <w:rFonts w:ascii="Roboto" w:cs="Roboto" w:eastAsia="Roboto" w:hAnsi="Roboto"/>
          <w:sz w:val="20"/>
          <w:szCs w:val="20"/>
          <w:rtl w:val="0"/>
        </w:rPr>
        <w:t xml:space="preserve">Habiendo realizado un análisis al contrato suscrito entre Mercado Libre y Mantika (Dubai), no hemos identificado cláusula que habilite a facturar desde Neuralplug por los servicios prestados en el país a la correspondiente empresa de MELI. En este sentido, la “parte” del contrato que respecta a Mantika es única y exclusivamente la sociedad de Dubai. </w:t>
      </w:r>
    </w:p>
    <w:p w:rsidR="00000000" w:rsidDel="00000000" w:rsidP="00000000" w:rsidRDefault="00000000" w:rsidRPr="00000000" w14:paraId="0000004D">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Ello, no obsta a que se pueda suscribir un contrato de billing entre Mantika Dubai y Neuralplug a los efectos de que la sociedad argentina facture y cobre por cuenta y orden de Mantika Dubai a Mercado Libre Argentina, en su debida proporción. Para ello, deberá contar con las firmas de los representantes de Mantika Dubai y de Martin en representación de Neuralplug. Asimismo, deberá comunicarse a Mercado Libre Argentina dicho acuerdo a los efectos de que Neuralplug pueda facturar y cobrar lo adeudado.</w:t>
      </w:r>
    </w:p>
    <w:p w:rsidR="00000000" w:rsidDel="00000000" w:rsidP="00000000" w:rsidRDefault="00000000" w:rsidRPr="00000000" w14:paraId="0000004E">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bien, a través de este mecanismo el pago ingresa a Neuralplug, ello no quita que esta última reciba el pago por cuenta y orden de Mantika Dubai que es quien firmó el contrato y a quien le correspondería tal ingreso.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F">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50">
      <w:pPr>
        <w:spacing w:after="240" w:before="240" w:lineRule="auto"/>
        <w:jc w:val="both"/>
        <w:rPr>
          <w:rFonts w:ascii="Roboto" w:cs="Roboto" w:eastAsia="Roboto" w:hAnsi="Roboto"/>
          <w:b w:val="1"/>
          <w:sz w:val="20"/>
          <w:szCs w:val="20"/>
        </w:rPr>
      </w:pPr>
      <w:r w:rsidDel="00000000" w:rsidR="00000000" w:rsidRPr="00000000">
        <w:rPr>
          <w:rFonts w:ascii="PT Sans Narrow" w:cs="PT Sans Narrow" w:eastAsia="PT Sans Narrow" w:hAnsi="PT Sans Narrow"/>
          <w:b w:val="1"/>
          <w:color w:val="073763"/>
          <w:sz w:val="24"/>
          <w:szCs w:val="24"/>
          <w:rtl w:val="0"/>
        </w:rPr>
        <w:t xml:space="preserve">4.Escenario de desvinculación</w:t>
      </w:r>
      <w:r w:rsidDel="00000000" w:rsidR="00000000" w:rsidRPr="00000000">
        <w:rPr>
          <w:rtl w:val="0"/>
        </w:rPr>
      </w:r>
    </w:p>
    <w:p w:rsidR="00000000" w:rsidDel="00000000" w:rsidP="00000000" w:rsidRDefault="00000000" w:rsidRPr="00000000" w14:paraId="00000051">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la actualidad, la sociedad NeuralPlug AI S.A. se encuentra conformada por un 80% de acciones en manos de Mirta Camji, madre de Martín Schapiro, y un 20% titularidad directa de este último. Esta composición, sumada a su rol como presidente, le otorga a Schapiro el control societario pleno a nivel local, sin intervención ni participación accionaria formal de Mantika, Inc. en la compañía argentina.</w:t>
      </w:r>
    </w:p>
    <w:p w:rsidR="00000000" w:rsidDel="00000000" w:rsidP="00000000" w:rsidRDefault="00000000" w:rsidRPr="00000000" w14:paraId="00000052">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cuanto a su participación en Mantika, se ha manifestado la existencia de un 20% que, en los hechos, se le atribuye, aunque no existen documentos societarios firmados que lo respalden formalmente. La transferencia de estas acciones no sería jurídicamente posible, quedando la cuestión sujeta a negociación, a la eventual firma de un acuerdo de desvinculación y a la obtención de una compensación económica como reconocimiento de su participación de hecho.</w:t>
      </w:r>
    </w:p>
    <w:p w:rsidR="00000000" w:rsidDel="00000000" w:rsidP="00000000" w:rsidRDefault="00000000" w:rsidRPr="00000000" w14:paraId="00000053">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lo que respecta a la posibilidad de operar con NeuralPlug en competencia directa de Mantika, no se han relevado, a la fecha, </w:t>
      </w:r>
      <w:commentRangeStart w:id="3"/>
      <w:r w:rsidDel="00000000" w:rsidR="00000000" w:rsidRPr="00000000">
        <w:rPr>
          <w:rFonts w:ascii="Roboto" w:cs="Roboto" w:eastAsia="Roboto" w:hAnsi="Roboto"/>
          <w:sz w:val="20"/>
          <w:szCs w:val="20"/>
          <w:rtl w:val="0"/>
        </w:rPr>
        <w:t xml:space="preserve">restricciones </w:t>
      </w:r>
      <w:commentRangeEnd w:id="3"/>
      <w:r w:rsidDel="00000000" w:rsidR="00000000" w:rsidRPr="00000000">
        <w:commentReference w:id="3"/>
      </w:r>
      <w:r w:rsidDel="00000000" w:rsidR="00000000" w:rsidRPr="00000000">
        <w:rPr>
          <w:rFonts w:ascii="Roboto" w:cs="Roboto" w:eastAsia="Roboto" w:hAnsi="Roboto"/>
          <w:sz w:val="20"/>
          <w:szCs w:val="20"/>
          <w:rtl w:val="0"/>
        </w:rPr>
        <w:t xml:space="preserve">contractuales expresas que lo impidan. Ello implica que podría desarrollar y comercializar productos y servicios en el mismo mercado, siempre que se asegure de no utilizar código, desarrollos, bases de datos o know-how protegido que pertenezca a Mantika. El uso de propiedad intelectual sin autorización podría derivar en reclamos por violación de derechos o por competencia desleal. Para evitar conflictos, sería recomendable que NeuralPlug genere desarrollos propios y documente en actas que dichos proyectos son autónomos y no reproducen elementos protegidos de Mantika.</w:t>
      </w:r>
    </w:p>
    <w:p w:rsidR="00000000" w:rsidDel="00000000" w:rsidP="00000000" w:rsidRDefault="00000000" w:rsidRPr="00000000" w14:paraId="00000054">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Respecto del personal, la situación actual muestra que parte de los trabajadores vinculados a NeuralPlug perciben salarios abonados desde Mantika en el exterior y otra parte recibe pagos locales. En una separación, en caso de querer retener el personal en NeuralPlug, Schapiro podría reorganizar la nómina para que todos los empleados pasen a estar contratados exclusivamente por NeuralPlug, regularizando la registración y el pago íntegro en Argentina, con las contingencias que ello implica. En el caso de trabajadores con contratos directos con Mantika, sería necesario instrumentar sus desvinculaciones y nuevas altas en NeuralPlug. Si bien esta reasignación es legalmente posible, en un escenario de conflicto podría interpretarse como captación desleal de personal, lo que refuerza la conveniencia de buscar un entendimiento previo con Mantika para evitar litigios.</w:t>
      </w:r>
    </w:p>
    <w:p w:rsidR="00000000" w:rsidDel="00000000" w:rsidP="00000000" w:rsidRDefault="00000000" w:rsidRPr="00000000" w14:paraId="00000055">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síntesis, la posición actual de Schapiro le otorga una ventaja decisiva en el plano local: puede quedarse con la totalidad de NeuralPlug, operar de forma independiente e incluso competir en el mercado, absorber personal y reorganizar la estructura, siempre cuidando de no infringir derechos de propiedad intelectual de Mantika y de minimizar riesgos laborales y fiscales. El punto más delicado reside en la monetización del 20% de Mantika, cuya viabilidad depende de que la participación esté documentada y reconocida; de no ser así, su valor solo podrá materializarse a través de negociación y prueba, no de ejecución directa.</w:t>
      </w:r>
    </w:p>
    <w:p w:rsidR="00000000" w:rsidDel="00000000" w:rsidP="00000000" w:rsidRDefault="00000000" w:rsidRPr="00000000" w14:paraId="00000056">
      <w:pPr>
        <w:spacing w:after="240" w:befor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7">
      <w:pPr>
        <w:spacing w:after="240" w:before="240" w:lineRule="auto"/>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Clara Di Sarli" w:id="3" w:date="2025-08-22T18:44:43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 que no haya</w:t>
      </w:r>
    </w:p>
  </w:comment>
  <w:comment w:author="Ana Clara Di Sarli" w:id="0" w:date="2025-08-22T18:42:48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 encontramos terminando de estudiar este escenario.</w:t>
      </w:r>
    </w:p>
  </w:comment>
  <w:comment w:author="Ana Clara Di Sarli" w:id="1" w:date="2025-08-22T18:43:16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 encontramos terminando de estudiar este escenario.</w:t>
      </w:r>
    </w:p>
  </w:comment>
  <w:comment w:author="Ana Clara Di Sarli" w:id="2" w:date="2025-08-22T18:43:37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 encontramos evaluando el impacto tributario que tal opcion podría conllevar.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-1047749</wp:posOffset>
          </wp:positionH>
          <wp:positionV relativeFrom="paragraph">
            <wp:posOffset>-342899</wp:posOffset>
          </wp:positionV>
          <wp:extent cx="8177213" cy="112495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77213" cy="11249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TSansNarrow-regular.ttf"/><Relationship Id="rId6" Type="http://schemas.openxmlformats.org/officeDocument/2006/relationships/font" Target="fonts/PTSansNarrow-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