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80" w:line="360" w:lineRule="auto"/>
        <w:jc w:val="center"/>
        <w:rPr>
          <w:rFonts w:ascii="PT Sans Narrow" w:cs="PT Sans Narrow" w:eastAsia="PT Sans Narrow" w:hAnsi="PT Sans Narrow"/>
          <w:b w:val="1"/>
          <w:color w:val="17365d"/>
          <w:sz w:val="24"/>
          <w:szCs w:val="24"/>
          <w:u w:val="single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color w:val="17365d"/>
          <w:sz w:val="24"/>
          <w:szCs w:val="24"/>
          <w:u w:val="single"/>
          <w:rtl w:val="0"/>
        </w:rPr>
        <w:t xml:space="preserve">INFORME LEGAL – UNIÓN TRANSITORIA (UT)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both"/>
        <w:rPr>
          <w:rFonts w:ascii="Roboto" w:cs="Roboto" w:eastAsia="Roboto" w:hAnsi="Roboto"/>
          <w:b w:val="1"/>
          <w:color w:val="17365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17365d"/>
          <w:sz w:val="20"/>
          <w:szCs w:val="20"/>
          <w:rtl w:val="0"/>
        </w:rPr>
        <w:t xml:space="preserve">1. OBJETO DEL INFORME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El presente informe tiene por objeto analizar la viabilidad legal y tributaria de constituir una Unión Transitoria (en adelante, "UT") entre Supply Solutions S.A. y Track Iot S.A., con el fin de brindar servicios informáticos mediante el acceso a una plataforma en la nube (en adelante, "la Plataforma"), conforme a la normativa vigente.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both"/>
        <w:rPr>
          <w:rFonts w:ascii="Roboto" w:cs="Roboto" w:eastAsia="Roboto" w:hAnsi="Roboto"/>
          <w:b w:val="1"/>
          <w:color w:val="17365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17365d"/>
          <w:sz w:val="20"/>
          <w:szCs w:val="20"/>
          <w:rtl w:val="0"/>
        </w:rPr>
        <w:t xml:space="preserve">2. ESTRUCTURA PROPUESTA DE LA UT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La UT estaría integrada por:</w:t>
      </w:r>
    </w:p>
    <w:p w:rsidR="00000000" w:rsidDel="00000000" w:rsidP="00000000" w:rsidRDefault="00000000" w:rsidRPr="00000000" w14:paraId="00000006">
      <w:pPr>
        <w:spacing w:after="0" w:before="240" w:line="360" w:lineRule="auto"/>
        <w:ind w:left="1080" w:hanging="360"/>
        <w:jc w:val="both"/>
        <w:rPr>
          <w:rFonts w:ascii="Roboto" w:cs="Roboto" w:eastAsia="Roboto" w:hAnsi="Roboto"/>
          <w:sz w:val="20"/>
          <w:szCs w:val="20"/>
        </w:rPr>
      </w:pPr>
      <w:sdt>
        <w:sdtPr>
          <w:id w:val="-212349025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●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Supply Solutions S.A. (10% de participación): aportando su know how, nombre y trayectoria.</w:t>
      </w:r>
    </w:p>
    <w:p w:rsidR="00000000" w:rsidDel="00000000" w:rsidP="00000000" w:rsidRDefault="00000000" w:rsidRPr="00000000" w14:paraId="00000007">
      <w:pPr>
        <w:spacing w:after="240" w:line="360" w:lineRule="auto"/>
        <w:ind w:left="1080" w:hanging="360"/>
        <w:jc w:val="both"/>
        <w:rPr>
          <w:rFonts w:ascii="Roboto" w:cs="Roboto" w:eastAsia="Roboto" w:hAnsi="Roboto"/>
          <w:sz w:val="20"/>
          <w:szCs w:val="20"/>
        </w:rPr>
      </w:pPr>
      <w:sdt>
        <w:sdtPr>
          <w:id w:val="-37964795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●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Track Iot S.A. (90% de participación): aportando el desarrollo del intangible (la Plataforma), su actualización, mantenimiento y gestión.</w:t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both"/>
        <w:rPr>
          <w:rFonts w:ascii="Roboto" w:cs="Roboto" w:eastAsia="Roboto" w:hAnsi="Roboto"/>
          <w:b w:val="1"/>
          <w:color w:val="17365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17365d"/>
          <w:sz w:val="20"/>
          <w:szCs w:val="20"/>
          <w:rtl w:val="0"/>
        </w:rPr>
        <w:t xml:space="preserve">3. ASPECTOS LEGALES</w:t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La figura de la Unión Transitoria se encuentra regulada en el Código Civil y Comercial de la Nación (arts. 1442 a 1447 y 1463 a 1469), como un tipo de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contrato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asociativo que permite la colaboración entre partes para un fin común sin constituir una sociedad ni una persona jurídica.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Entre los aspectos más relevantes:</w:t>
      </w:r>
    </w:p>
    <w:p w:rsidR="00000000" w:rsidDel="00000000" w:rsidP="00000000" w:rsidRDefault="00000000" w:rsidRPr="00000000" w14:paraId="0000000B">
      <w:pPr>
        <w:spacing w:after="0" w:before="240" w:line="360" w:lineRule="auto"/>
        <w:ind w:left="1080" w:hanging="360"/>
        <w:jc w:val="both"/>
        <w:rPr>
          <w:rFonts w:ascii="Roboto" w:cs="Roboto" w:eastAsia="Roboto" w:hAnsi="Roboto"/>
          <w:sz w:val="20"/>
          <w:szCs w:val="20"/>
        </w:rPr>
      </w:pPr>
      <w:sdt>
        <w:sdtPr>
          <w:id w:val="-16131683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●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Art. 1442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Define el ámbito de aplicación de los contratos asociativos, dejando claro que no constituyen sociedades ni sujetos de derecho.</w:t>
      </w:r>
    </w:p>
    <w:p w:rsidR="00000000" w:rsidDel="00000000" w:rsidP="00000000" w:rsidRDefault="00000000" w:rsidRPr="00000000" w14:paraId="0000000C">
      <w:pPr>
        <w:spacing w:after="0" w:line="360" w:lineRule="auto"/>
        <w:ind w:left="1080" w:hanging="360"/>
        <w:jc w:val="both"/>
        <w:rPr>
          <w:rFonts w:ascii="Roboto" w:cs="Roboto" w:eastAsia="Roboto" w:hAnsi="Roboto"/>
          <w:sz w:val="20"/>
          <w:szCs w:val="20"/>
        </w:rPr>
      </w:pPr>
      <w:sdt>
        <w:sdtPr>
          <w:id w:val="-214185360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●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Art. 1463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Define específicamente el contrato de Unión Transitoria como aquel por el cual las partes se unen para ejecutar obras, servicios o suministros concretos.</w:t>
      </w:r>
    </w:p>
    <w:p w:rsidR="00000000" w:rsidDel="00000000" w:rsidP="00000000" w:rsidRDefault="00000000" w:rsidRPr="00000000" w14:paraId="0000000D">
      <w:pPr>
        <w:spacing w:after="0" w:line="360" w:lineRule="auto"/>
        <w:ind w:left="1080" w:hanging="360"/>
        <w:jc w:val="both"/>
        <w:rPr>
          <w:rFonts w:ascii="Roboto" w:cs="Roboto" w:eastAsia="Roboto" w:hAnsi="Roboto"/>
          <w:sz w:val="20"/>
          <w:szCs w:val="20"/>
        </w:rPr>
      </w:pPr>
      <w:sdt>
        <w:sdtPr>
          <w:id w:val="-204109138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●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Art. 1464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Establece los requisitos formales del contrato de UT, que debe instrumentarse por escritura pública o documento privado con firmas certificadas, y detalla el contenido mínimo obligatorio.</w:t>
      </w:r>
    </w:p>
    <w:p w:rsidR="00000000" w:rsidDel="00000000" w:rsidP="00000000" w:rsidRDefault="00000000" w:rsidRPr="00000000" w14:paraId="0000000E">
      <w:pPr>
        <w:spacing w:after="0" w:line="360" w:lineRule="auto"/>
        <w:ind w:left="1080" w:hanging="360"/>
        <w:jc w:val="both"/>
        <w:rPr>
          <w:rFonts w:ascii="Roboto" w:cs="Roboto" w:eastAsia="Roboto" w:hAnsi="Roboto"/>
          <w:sz w:val="20"/>
          <w:szCs w:val="20"/>
        </w:rPr>
      </w:pPr>
      <w:sdt>
        <w:sdtPr>
          <w:id w:val="-621597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●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Art. 1466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Obliga a la inscripción del contrato y del representante en el Registro Público correspondiente.</w:t>
      </w:r>
    </w:p>
    <w:p w:rsidR="00000000" w:rsidDel="00000000" w:rsidP="00000000" w:rsidRDefault="00000000" w:rsidRPr="00000000" w14:paraId="0000000F">
      <w:pPr>
        <w:spacing w:after="240" w:line="360" w:lineRule="auto"/>
        <w:ind w:left="1080" w:hanging="360"/>
        <w:jc w:val="both"/>
        <w:rPr>
          <w:rFonts w:ascii="Roboto" w:cs="Roboto" w:eastAsia="Roboto" w:hAnsi="Roboto"/>
          <w:sz w:val="20"/>
          <w:szCs w:val="20"/>
        </w:rPr>
      </w:pPr>
      <w:sdt>
        <w:sdtPr>
          <w:id w:val="160641489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●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Art. 1467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Establece que no hay solidaridad entre los partícipes salvo pacto expreso en contrario.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both"/>
        <w:rPr>
          <w:rFonts w:ascii="Roboto" w:cs="Roboto" w:eastAsia="Roboto" w:hAnsi="Roboto"/>
          <w:b w:val="1"/>
          <w:color w:val="17365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17365d"/>
          <w:sz w:val="20"/>
          <w:szCs w:val="20"/>
          <w:rtl w:val="0"/>
        </w:rPr>
        <w:t xml:space="preserve">4. ASPECTOS TRIBUTARIOS</w:t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both"/>
        <w:rPr>
          <w:rFonts w:ascii="Roboto" w:cs="Roboto" w:eastAsia="Roboto" w:hAnsi="Roboto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u w:val="single"/>
          <w:rtl w:val="0"/>
        </w:rPr>
        <w:t xml:space="preserve">a. Impuesto al Valor Agregado (IVA)</w:t>
      </w:r>
    </w:p>
    <w:p w:rsidR="00000000" w:rsidDel="00000000" w:rsidP="00000000" w:rsidRDefault="00000000" w:rsidRPr="00000000" w14:paraId="00000012">
      <w:pPr>
        <w:spacing w:after="0" w:before="240" w:line="360" w:lineRule="auto"/>
        <w:ind w:left="1080" w:hanging="360"/>
        <w:jc w:val="both"/>
        <w:rPr>
          <w:rFonts w:ascii="Roboto" w:cs="Roboto" w:eastAsia="Roboto" w:hAnsi="Roboto"/>
          <w:sz w:val="20"/>
          <w:szCs w:val="20"/>
        </w:rPr>
      </w:pPr>
      <w:sdt>
        <w:sdtPr>
          <w:id w:val="1501042513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●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La UT actuará como sujeto pasivo del IVA, debiendo inscribirse como tal y emitir facturas por los servicios prestados (por ejemplo, a Correo Argentino S.A. y otros clientes).</w:t>
      </w:r>
    </w:p>
    <w:p w:rsidR="00000000" w:rsidDel="00000000" w:rsidP="00000000" w:rsidRDefault="00000000" w:rsidRPr="00000000" w14:paraId="00000013">
      <w:pPr>
        <w:spacing w:after="240" w:line="360" w:lineRule="auto"/>
        <w:ind w:left="1080" w:hanging="360"/>
        <w:jc w:val="both"/>
        <w:rPr>
          <w:rFonts w:ascii="Roboto" w:cs="Roboto" w:eastAsia="Roboto" w:hAnsi="Roboto"/>
          <w:sz w:val="20"/>
          <w:szCs w:val="20"/>
        </w:rPr>
      </w:pPr>
      <w:sdt>
        <w:sdtPr>
          <w:id w:val="-127099517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●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Los aportes efectuados por los Partícipes a la UT (incluyendo intangibles, know how, etc.) están alcanzados por el IVA y deberán ser facturados por cada sociedad partícipe a la UT.</w:t>
      </w:r>
    </w:p>
    <w:p w:rsidR="00000000" w:rsidDel="00000000" w:rsidP="00000000" w:rsidRDefault="00000000" w:rsidRPr="00000000" w14:paraId="00000014">
      <w:pPr>
        <w:spacing w:after="240" w:before="240"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b. Ingresos Brutos (IIBB)</w:t>
      </w:r>
    </w:p>
    <w:p w:rsidR="00000000" w:rsidDel="00000000" w:rsidP="00000000" w:rsidRDefault="00000000" w:rsidRPr="00000000" w14:paraId="00000015">
      <w:pPr>
        <w:spacing w:after="0" w:before="240" w:line="360" w:lineRule="auto"/>
        <w:ind w:left="1080" w:hanging="360"/>
        <w:jc w:val="both"/>
        <w:rPr>
          <w:rFonts w:ascii="Roboto" w:cs="Roboto" w:eastAsia="Roboto" w:hAnsi="Roboto"/>
          <w:sz w:val="20"/>
          <w:szCs w:val="20"/>
        </w:rPr>
      </w:pPr>
      <w:sdt>
        <w:sdtPr>
          <w:id w:val="-37677167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●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  <w:tab/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La UT deberá inscribirse en el Convenio Multilateral y tributar IIBB en las jurisdicciones donde preste servicios.</w:t>
      </w:r>
    </w:p>
    <w:p w:rsidR="00000000" w:rsidDel="00000000" w:rsidP="00000000" w:rsidRDefault="00000000" w:rsidRPr="00000000" w14:paraId="00000016">
      <w:pPr>
        <w:spacing w:after="240" w:before="240" w:line="360" w:lineRule="auto"/>
        <w:ind w:left="1080" w:hanging="360"/>
        <w:jc w:val="both"/>
        <w:rPr>
          <w:rFonts w:ascii="Roboto" w:cs="Roboto" w:eastAsia="Roboto" w:hAnsi="Roboto"/>
          <w:sz w:val="20"/>
          <w:szCs w:val="20"/>
        </w:rPr>
      </w:pPr>
      <w:sdt>
        <w:sdtPr>
          <w:id w:val="-1849040981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●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Los aportes de los Partícipes a la UT no están alcanzados por IIBB, c. Impuesto a las Ganancias</w:t>
      </w:r>
    </w:p>
    <w:p w:rsidR="00000000" w:rsidDel="00000000" w:rsidP="00000000" w:rsidRDefault="00000000" w:rsidRPr="00000000" w14:paraId="00000017">
      <w:pPr>
        <w:spacing w:after="240" w:before="240" w:line="360" w:lineRule="auto"/>
        <w:ind w:left="1080" w:hanging="360"/>
        <w:jc w:val="both"/>
        <w:rPr>
          <w:rFonts w:ascii="Roboto" w:cs="Roboto" w:eastAsia="Roboto" w:hAnsi="Roboto"/>
          <w:sz w:val="20"/>
          <w:szCs w:val="20"/>
        </w:rPr>
      </w:pPr>
      <w:sdt>
        <w:sdtPr>
          <w:id w:val="120703295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●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La UT no es contribuyente del Impuesto a las Ganancias. La renta atribuible será declarada por cada partícipe en proporción a su participación (10% Supply Solutions S.A., 90% Track Iot S.A.).</w:t>
      </w:r>
    </w:p>
    <w:p w:rsidR="00000000" w:rsidDel="00000000" w:rsidP="00000000" w:rsidRDefault="00000000" w:rsidRPr="00000000" w14:paraId="00000018">
      <w:pPr>
        <w:spacing w:after="240" w:before="240"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d. Impuesto sobre los Créditos y Débitos Bancarios (ICD)</w:t>
      </w:r>
    </w:p>
    <w:p w:rsidR="00000000" w:rsidDel="00000000" w:rsidP="00000000" w:rsidRDefault="00000000" w:rsidRPr="00000000" w14:paraId="00000019">
      <w:pPr>
        <w:spacing w:after="240" w:before="240" w:line="360" w:lineRule="auto"/>
        <w:ind w:left="1080" w:hanging="360"/>
        <w:jc w:val="both"/>
        <w:rPr>
          <w:rFonts w:ascii="Roboto" w:cs="Roboto" w:eastAsia="Roboto" w:hAnsi="Roboto"/>
          <w:sz w:val="20"/>
          <w:szCs w:val="20"/>
        </w:rPr>
      </w:pPr>
      <w:sdt>
        <w:sdtPr>
          <w:id w:val="-147047804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●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El impuesto que grave las cuentas bancarias de la UT. es computable por cada Partícipe en proporción a su participación (10% Supply Solutions S.A., 90% Track Iot S.A.).</w:t>
      </w:r>
    </w:p>
    <w:p w:rsidR="00000000" w:rsidDel="00000000" w:rsidP="00000000" w:rsidRDefault="00000000" w:rsidRPr="00000000" w14:paraId="0000001A">
      <w:pPr>
        <w:spacing w:after="240" w:before="240" w:line="360" w:lineRule="auto"/>
        <w:jc w:val="both"/>
        <w:rPr>
          <w:rFonts w:ascii="Roboto" w:cs="Roboto" w:eastAsia="Roboto" w:hAnsi="Roboto"/>
          <w:b w:val="1"/>
          <w:color w:val="17365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17365d"/>
          <w:sz w:val="20"/>
          <w:szCs w:val="20"/>
          <w:rtl w:val="0"/>
        </w:rPr>
        <w:t xml:space="preserve">5. CONCLUSIÓN</w:t>
      </w:r>
    </w:p>
    <w:p w:rsidR="00000000" w:rsidDel="00000000" w:rsidP="00000000" w:rsidRDefault="00000000" w:rsidRPr="00000000" w14:paraId="0000001B">
      <w:pPr>
        <w:spacing w:after="240" w:before="240"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La alternativa de constituir una UT entre Supply Solutions S.A. y Track Iot S.A. resulta legalmente válida y fiscalmente eficiente para estructurar la prestación de servicios informáticos mediante una plataforma en la nube. Permite centralizar la facturación, separar la responsabilidad frente a clientes, y mantener la transparencia fiscal en cabeza de cada partícipe.</w:t>
      </w:r>
    </w:p>
    <w:p w:rsidR="00000000" w:rsidDel="00000000" w:rsidP="00000000" w:rsidRDefault="00000000" w:rsidRPr="00000000" w14:paraId="0000001C">
      <w:pPr>
        <w:spacing w:after="240" w:before="240" w:line="360" w:lineRule="auto"/>
        <w:ind w:left="5760" w:firstLine="0"/>
        <w:jc w:val="both"/>
        <w:rPr>
          <w:rFonts w:ascii="Arial Narrow" w:cs="Arial Narrow" w:eastAsia="Arial Narrow" w:hAnsi="Arial Narrow"/>
          <w:b w:val="1"/>
          <w:i w:val="1"/>
          <w:color w:val="17365d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1"/>
          <w:color w:val="17365d"/>
          <w:sz w:val="20"/>
          <w:szCs w:val="20"/>
          <w:rtl w:val="0"/>
        </w:rPr>
        <w:t xml:space="preserve">El equipo de WNS &amp; Asociados.</w:t>
      </w:r>
    </w:p>
    <w:p w:rsidR="00000000" w:rsidDel="00000000" w:rsidP="00000000" w:rsidRDefault="00000000" w:rsidRPr="00000000" w14:paraId="0000001D">
      <w:pPr>
        <w:keepNext w:val="0"/>
        <w:keepLines w:val="0"/>
        <w:spacing w:after="80" w:before="280" w:line="360" w:lineRule="auto"/>
        <w:jc w:val="both"/>
        <w:rPr>
          <w:rFonts w:ascii="PT Sans Narrow" w:cs="PT Sans Narrow" w:eastAsia="PT Sans Narrow" w:hAnsi="PT Sans Narrow"/>
          <w:b w:val="1"/>
          <w:color w:val="17365d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360" w:lineRule="auto"/>
        <w:ind w:left="0" w:firstLine="0"/>
        <w:jc w:val="both"/>
        <w:rPr>
          <w:rFonts w:ascii="Arial Narrow" w:cs="Arial Narrow" w:eastAsia="Arial Narrow" w:hAnsi="Arial Narrow"/>
          <w:shd w:fill="fff2cc" w:val="clear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40" w:top="1440" w:left="1800" w:right="180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T Sans Narrow">
    <w:embedRegular w:fontKey="{00000000-0000-0000-0000-000000000000}" r:id="rId5" w:subsetted="0"/>
    <w:embedBold w:fontKey="{00000000-0000-0000-0000-000000000000}" r:id="rId6" w:subsetted="0"/>
  </w:font>
  <w:font w:name="Arial Narrow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-1466844</wp:posOffset>
          </wp:positionH>
          <wp:positionV relativeFrom="paragraph">
            <wp:posOffset>-342891</wp:posOffset>
          </wp:positionV>
          <wp:extent cx="8177213" cy="1124958"/>
          <wp:effectExtent b="0" l="0" r="0" t="0"/>
          <wp:wrapSquare wrapText="bothSides" distB="114300" distT="11430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77213" cy="112495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ArialNarrow-boldItalic.ttf"/><Relationship Id="rId9" Type="http://schemas.openxmlformats.org/officeDocument/2006/relationships/font" Target="fonts/ArialNarrow-italic.ttf"/><Relationship Id="rId5" Type="http://schemas.openxmlformats.org/officeDocument/2006/relationships/font" Target="fonts/PTSansNarrow-regular.ttf"/><Relationship Id="rId6" Type="http://schemas.openxmlformats.org/officeDocument/2006/relationships/font" Target="fonts/PTSansNarrow-bold.ttf"/><Relationship Id="rId7" Type="http://schemas.openxmlformats.org/officeDocument/2006/relationships/font" Target="fonts/ArialNarrow-regular.ttf"/><Relationship Id="rId8" Type="http://schemas.openxmlformats.org/officeDocument/2006/relationships/font" Target="fonts/ArialNarrow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heYKBpE7DDNze5SmgDitjgD8yg==">CgMxLjAaJQoBMBIgCh4IB0IaCgZSb2JvdG8SEEFyaWFsIFVuaWNvZGUgTVMaJQoBMRIgCh4IB0IaCgZSb2JvdG8SEEFyaWFsIFVuaWNvZGUgTVMaJQoBMhIgCh4IB0IaCgZSb2JvdG8SEEFyaWFsIFVuaWNvZGUgTVMaJQoBMxIgCh4IB0IaCgZSb2JvdG8SEEFyaWFsIFVuaWNvZGUgTVMaJQoBNBIgCh4IB0IaCgZSb2JvdG8SEEFyaWFsIFVuaWNvZGUgTVMaJQoBNRIgCh4IB0IaCgZSb2JvdG8SEEFyaWFsIFVuaWNvZGUgTVMaJQoBNhIgCh4IB0IaCgZSb2JvdG8SEEFyaWFsIFVuaWNvZGUgTVMaJQoBNxIgCh4IB0IaCgZSb2JvdG8SEEFyaWFsIFVuaWNvZGUgTVMaJQoBOBIgCh4IB0IaCgZSb2JvdG8SEEFyaWFsIFVuaWNvZGUgTVMaJQoBORIgCh4IB0IaCgZSb2JvdG8SEEFyaWFsIFVuaWNvZGUgTVMaJgoCMTASIAoeCAdCGgoGUm9ib3RvEhBBcmlhbCBVbmljb2RlIE1TGiYKAjExEiAKHggHQhoKBlJvYm90bxIQQXJpYWwgVW5pY29kZSBNUxomCgIxMhIgCh4IB0IaCgZSb2JvdG8SEEFyaWFsIFVuaWNvZGUgTVM4AHIhMWdpUkZrWFBXR2JBVXBWaElYVUJxZENBYi1JempJeH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