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312587738037" w:lineRule="auto"/>
        <w:ind w:left="0" w:right="72.19970703125" w:firstLine="0"/>
        <w:jc w:val="center"/>
        <w:rPr>
          <w:rFonts w:ascii="Times" w:cs="Times" w:eastAsia="Times" w:hAnsi="Times"/>
          <w:b w:val="1"/>
          <w:i w:val="0"/>
          <w:smallCaps w:val="0"/>
          <w:strike w:val="0"/>
          <w:color w:val="073763"/>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w:drawing>
          <wp:inline distB="19050" distT="19050" distL="19050" distR="19050">
            <wp:extent cx="5916168" cy="7778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16168" cy="77786"/>
                    </a:xfrm>
                    <a:prstGeom prst="rect"/>
                    <a:ln/>
                  </pic:spPr>
                </pic:pic>
              </a:graphicData>
            </a:graphic>
          </wp:inline>
        </w:drawing>
      </w:r>
      <w:r w:rsidDel="00000000" w:rsidR="00000000" w:rsidRPr="00000000">
        <w:rPr>
          <w:rFonts w:ascii="Roboto" w:cs="Roboto" w:eastAsia="Roboto" w:hAnsi="Roboto"/>
          <w:color w:val="695d46"/>
        </w:rPr>
        <w:drawing>
          <wp:inline distB="114300" distT="114300" distL="114300" distR="114300">
            <wp:extent cx="5943600" cy="1765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widowControl w:val="0"/>
        <w:spacing w:after="0" w:lineRule="auto"/>
        <w:rPr>
          <w:rFonts w:ascii="Open Sans" w:cs="Open Sans" w:eastAsia="Open Sans" w:hAnsi="Open Sans"/>
          <w:i w:val="1"/>
          <w:color w:val="695d46"/>
          <w:sz w:val="36"/>
          <w:szCs w:val="36"/>
          <w:u w:val="single"/>
        </w:rPr>
      </w:pPr>
      <w:bookmarkStart w:colFirst="0" w:colLast="0" w:name="_vajgh0mbcpcy" w:id="0"/>
      <w:bookmarkEnd w:id="0"/>
      <w:r w:rsidDel="00000000" w:rsidR="00000000" w:rsidRPr="00000000">
        <w:rPr>
          <w:rFonts w:ascii="PT Sans Narrow" w:cs="PT Sans Narrow" w:eastAsia="PT Sans Narrow" w:hAnsi="PT Sans Narrow"/>
          <w:color w:val="073763"/>
          <w:sz w:val="36"/>
          <w:szCs w:val="36"/>
          <w:u w:val="single"/>
          <w:rtl w:val="0"/>
        </w:rPr>
        <w:t xml:space="preserve">Sr. Gustavo Sönne:</w:t>
      </w:r>
      <w:r w:rsidDel="00000000" w:rsidR="00000000" w:rsidRPr="00000000">
        <w:rPr>
          <w:rtl w:val="0"/>
        </w:rPr>
      </w:r>
    </w:p>
    <w:p w:rsidR="00000000" w:rsidDel="00000000" w:rsidP="00000000" w:rsidRDefault="00000000" w:rsidRPr="00000000" w14:paraId="00000003">
      <w:pPr>
        <w:pStyle w:val="Heading1"/>
        <w:widowControl w:val="0"/>
        <w:spacing w:after="0" w:line="240" w:lineRule="auto"/>
        <w:jc w:val="both"/>
        <w:rPr>
          <w:rFonts w:ascii="PT Sans Narrow" w:cs="PT Sans Narrow" w:eastAsia="PT Sans Narrow" w:hAnsi="PT Sans Narrow"/>
          <w:color w:val="073763"/>
          <w:sz w:val="36"/>
          <w:szCs w:val="36"/>
        </w:rPr>
      </w:pPr>
      <w:bookmarkStart w:colFirst="0" w:colLast="0" w:name="_1k53z8og6hxw" w:id="1"/>
      <w:bookmarkEnd w:id="1"/>
      <w:r w:rsidDel="00000000" w:rsidR="00000000" w:rsidRPr="00000000">
        <w:rPr>
          <w:rFonts w:ascii="PT Sans Narrow" w:cs="PT Sans Narrow" w:eastAsia="PT Sans Narrow" w:hAnsi="PT Sans Narrow"/>
          <w:color w:val="073763"/>
          <w:sz w:val="36"/>
          <w:szCs w:val="36"/>
          <w:rtl w:val="0"/>
        </w:rPr>
        <w:t xml:space="preserve">Motivo del Dictamen.</w:t>
      </w:r>
    </w:p>
    <w:p w:rsidR="00000000" w:rsidDel="00000000" w:rsidP="00000000" w:rsidRDefault="00000000" w:rsidRPr="00000000" w14:paraId="00000004">
      <w:pPr>
        <w:spacing w:line="240" w:lineRule="auto"/>
        <w:jc w:val="both"/>
        <w:rPr>
          <w:rFonts w:ascii="Roboto" w:cs="Roboto" w:eastAsia="Roboto" w:hAnsi="Roboto"/>
          <w:b w:val="1"/>
          <w:sz w:val="20"/>
          <w:szCs w:val="20"/>
        </w:rPr>
      </w:pPr>
      <w:r w:rsidDel="00000000" w:rsidR="00000000" w:rsidRPr="00000000">
        <w:rPr>
          <w:rFonts w:ascii="Roboto" w:cs="Roboto" w:eastAsia="Roboto" w:hAnsi="Roboto"/>
          <w:sz w:val="20"/>
          <w:szCs w:val="20"/>
          <w:rtl w:val="0"/>
        </w:rPr>
        <w:t xml:space="preserve">El presente dictamen se emite en respuesta a la consulta formulada acerca de los procedimientos legales y consideraciones a tener en cuenta a los efectos de llevar adelante suspensiones y/o eventuales despidos con origen en las disposiciones establecidas en el marco del Art. 247 de la Ley de Contrato de Trabajo (LCT), es decir, con motivo de un contexto de crisis económica, falta de ventas y situaciones irregulares internas.</w:t>
      </w:r>
      <w:r w:rsidDel="00000000" w:rsidR="00000000" w:rsidRPr="00000000">
        <w:rPr>
          <w:rtl w:val="0"/>
        </w:rPr>
      </w:r>
    </w:p>
    <w:p w:rsidR="00000000" w:rsidDel="00000000" w:rsidP="00000000" w:rsidRDefault="00000000" w:rsidRPr="00000000" w14:paraId="0000000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6">
      <w:pPr>
        <w:widowControl w:val="0"/>
        <w:spacing w:before="0" w:line="240" w:lineRule="auto"/>
        <w:ind w:left="0" w:firstLine="0"/>
        <w:rPr>
          <w:rFonts w:ascii="PT Sans Narrow" w:cs="PT Sans Narrow" w:eastAsia="PT Sans Narrow" w:hAnsi="PT Sans Narrow"/>
          <w:b w:val="1"/>
          <w:color w:val="073763"/>
          <w:sz w:val="36"/>
          <w:szCs w:val="36"/>
        </w:rPr>
      </w:pPr>
      <w:r w:rsidDel="00000000" w:rsidR="00000000" w:rsidRPr="00000000">
        <w:rPr>
          <w:rFonts w:ascii="PT Sans Narrow" w:cs="PT Sans Narrow" w:eastAsia="PT Sans Narrow" w:hAnsi="PT Sans Narrow"/>
          <w:b w:val="1"/>
          <w:color w:val="073763"/>
          <w:sz w:val="36"/>
          <w:szCs w:val="36"/>
          <w:rtl w:val="0"/>
        </w:rPr>
        <w:t xml:space="preserve">Normativa aplicable.</w:t>
      </w:r>
    </w:p>
    <w:p w:rsidR="00000000" w:rsidDel="00000000" w:rsidP="00000000" w:rsidRDefault="00000000" w:rsidRPr="00000000" w14:paraId="00000007">
      <w:pPr>
        <w:widowControl w:val="0"/>
        <w:numPr>
          <w:ilvl w:val="0"/>
          <w:numId w:val="1"/>
        </w:numPr>
        <w:spacing w:after="0" w:afterAutospacing="0" w:before="240" w:line="240" w:lineRule="auto"/>
        <w:ind w:left="72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rtl w:val="0"/>
        </w:rPr>
        <w:t xml:space="preserve">Suspensiones por falta de trabajo o fuerza mayor (Art. 221 LCT):</w:t>
        <w:br w:type="textWrapping"/>
      </w:r>
      <w:r w:rsidDel="00000000" w:rsidR="00000000" w:rsidRPr="00000000">
        <w:rPr>
          <w:rFonts w:ascii="Roboto" w:cs="Roboto" w:eastAsia="Roboto" w:hAnsi="Roboto"/>
          <w:sz w:val="20"/>
          <w:szCs w:val="20"/>
          <w:rtl w:val="0"/>
        </w:rPr>
        <w:t xml:space="preserve">El empleador puede suspender a los trabajadores por falta o disminución de trabajo, siempre que no sea imputable al mismo, o por fuerza mayor comprobada. Estas suspensiones pueden durar</w:t>
      </w:r>
      <w:r w:rsidDel="00000000" w:rsidR="00000000" w:rsidRPr="00000000">
        <w:rPr>
          <w:rFonts w:ascii="Roboto" w:cs="Roboto" w:eastAsia="Roboto" w:hAnsi="Roboto"/>
          <w:sz w:val="20"/>
          <w:szCs w:val="20"/>
          <w:u w:val="single"/>
          <w:rtl w:val="0"/>
        </w:rPr>
        <w:t xml:space="preserve"> hasta 75 días</w:t>
      </w:r>
      <w:r w:rsidDel="00000000" w:rsidR="00000000" w:rsidRPr="00000000">
        <w:rPr>
          <w:rFonts w:ascii="Roboto" w:cs="Roboto" w:eastAsia="Roboto" w:hAnsi="Roboto"/>
          <w:sz w:val="20"/>
          <w:szCs w:val="20"/>
          <w:rtl w:val="0"/>
        </w:rPr>
        <w:t xml:space="preserve"> en el transcurso de un año. Deben respetarse criterios de antigüedad y cargas familiares en la selección de los trabajadores afectados.</w:t>
      </w:r>
    </w:p>
    <w:p w:rsidR="00000000" w:rsidDel="00000000" w:rsidP="00000000" w:rsidRDefault="00000000" w:rsidRPr="00000000" w14:paraId="00000008">
      <w:pPr>
        <w:widowControl w:val="0"/>
        <w:numPr>
          <w:ilvl w:val="0"/>
          <w:numId w:val="1"/>
        </w:numPr>
        <w:spacing w:after="0" w:afterAutospacing="0" w:before="0" w:beforeAutospacing="0" w:line="240" w:lineRule="auto"/>
        <w:ind w:left="72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rtl w:val="0"/>
        </w:rPr>
        <w:t xml:space="preserve">Compensación no remunerativa (Art. 223 BIS LCT):</w:t>
        <w:br w:type="textWrapping"/>
      </w:r>
      <w:r w:rsidDel="00000000" w:rsidR="00000000" w:rsidRPr="00000000">
        <w:rPr>
          <w:rFonts w:ascii="Roboto" w:cs="Roboto" w:eastAsia="Roboto" w:hAnsi="Roboto"/>
          <w:sz w:val="20"/>
          <w:szCs w:val="20"/>
          <w:rtl w:val="0"/>
        </w:rPr>
        <w:t xml:space="preserve">En caso de suspensión, el empleador puede pactar con los empleados una compensación no remunerativa que deberá ser </w:t>
      </w:r>
      <w:r w:rsidDel="00000000" w:rsidR="00000000" w:rsidRPr="00000000">
        <w:rPr>
          <w:rFonts w:ascii="Roboto" w:cs="Roboto" w:eastAsia="Roboto" w:hAnsi="Roboto"/>
          <w:sz w:val="20"/>
          <w:szCs w:val="20"/>
          <w:u w:val="single"/>
          <w:rtl w:val="0"/>
        </w:rPr>
        <w:t xml:space="preserve">homologada </w:t>
      </w:r>
      <w:r w:rsidDel="00000000" w:rsidR="00000000" w:rsidRPr="00000000">
        <w:rPr>
          <w:rFonts w:ascii="Roboto" w:cs="Roboto" w:eastAsia="Roboto" w:hAnsi="Roboto"/>
          <w:sz w:val="20"/>
          <w:szCs w:val="20"/>
          <w:rtl w:val="0"/>
        </w:rPr>
        <w:t xml:space="preserve">por el Ministerio de Trabajo, tributable únicamente para los aportes a las obras sociales.</w:t>
      </w:r>
    </w:p>
    <w:p w:rsidR="00000000" w:rsidDel="00000000" w:rsidP="00000000" w:rsidRDefault="00000000" w:rsidRPr="00000000" w14:paraId="00000009">
      <w:pPr>
        <w:widowControl w:val="0"/>
        <w:numPr>
          <w:ilvl w:val="0"/>
          <w:numId w:val="1"/>
        </w:numPr>
        <w:spacing w:after="240" w:before="0" w:beforeAutospacing="0" w:line="240" w:lineRule="auto"/>
        <w:ind w:left="72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rtl w:val="0"/>
        </w:rPr>
        <w:t xml:space="preserve">Despidos por falta de trabajo o fuerza mayor (Art. 247 LCT):</w:t>
        <w:br w:type="textWrapping"/>
      </w:r>
      <w:r w:rsidDel="00000000" w:rsidR="00000000" w:rsidRPr="00000000">
        <w:rPr>
          <w:rFonts w:ascii="Roboto" w:cs="Roboto" w:eastAsia="Roboto" w:hAnsi="Roboto"/>
          <w:sz w:val="20"/>
          <w:szCs w:val="20"/>
          <w:rtl w:val="0"/>
        </w:rPr>
        <w:t xml:space="preserve">Si se procede con despidos bajo el Art. 247, los trabajadores tendrán derecho a una indemnización equivalente al</w:t>
      </w:r>
      <w:r w:rsidDel="00000000" w:rsidR="00000000" w:rsidRPr="00000000">
        <w:rPr>
          <w:rFonts w:ascii="Roboto" w:cs="Roboto" w:eastAsia="Roboto" w:hAnsi="Roboto"/>
          <w:sz w:val="20"/>
          <w:szCs w:val="20"/>
          <w:u w:val="single"/>
          <w:rtl w:val="0"/>
        </w:rPr>
        <w:t xml:space="preserve"> 50% de la prevista en el Art. 245 de la LCT</w:t>
      </w:r>
      <w:r w:rsidDel="00000000" w:rsidR="00000000" w:rsidRPr="00000000">
        <w:rPr>
          <w:rFonts w:ascii="Roboto" w:cs="Roboto" w:eastAsia="Roboto" w:hAnsi="Roboto"/>
          <w:sz w:val="20"/>
          <w:szCs w:val="20"/>
          <w:rtl w:val="0"/>
        </w:rPr>
        <w:t xml:space="preserve">, siempre y cuando el empleador pueda demostrar de manera </w:t>
      </w:r>
      <w:r w:rsidDel="00000000" w:rsidR="00000000" w:rsidRPr="00000000">
        <w:rPr>
          <w:rFonts w:ascii="Roboto" w:cs="Roboto" w:eastAsia="Roboto" w:hAnsi="Roboto"/>
          <w:sz w:val="20"/>
          <w:szCs w:val="20"/>
          <w:u w:val="single"/>
          <w:rtl w:val="0"/>
        </w:rPr>
        <w:t xml:space="preserve">fehaciente</w:t>
      </w:r>
      <w:r w:rsidDel="00000000" w:rsidR="00000000" w:rsidRPr="00000000">
        <w:rPr>
          <w:rFonts w:ascii="Roboto" w:cs="Roboto" w:eastAsia="Roboto" w:hAnsi="Roboto"/>
          <w:sz w:val="20"/>
          <w:szCs w:val="20"/>
          <w:rtl w:val="0"/>
        </w:rPr>
        <w:t xml:space="preserve"> l</w:t>
      </w:r>
      <w:r w:rsidDel="00000000" w:rsidR="00000000" w:rsidRPr="00000000">
        <w:rPr>
          <w:rFonts w:ascii="Roboto" w:cs="Roboto" w:eastAsia="Roboto" w:hAnsi="Roboto"/>
          <w:sz w:val="20"/>
          <w:szCs w:val="20"/>
          <w:rtl w:val="0"/>
        </w:rPr>
        <w:t xml:space="preserve">a situación que justifica la medida.</w:t>
      </w:r>
    </w:p>
    <w:p w:rsidR="00000000" w:rsidDel="00000000" w:rsidP="00000000" w:rsidRDefault="00000000" w:rsidRPr="00000000" w14:paraId="0000000A">
      <w:pPr>
        <w:widowControl w:val="0"/>
        <w:spacing w:before="0" w:line="240"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B">
      <w:pPr>
        <w:widowControl w:val="0"/>
        <w:spacing w:line="240" w:lineRule="auto"/>
        <w:rPr>
          <w:rFonts w:ascii="PT Sans Narrow" w:cs="PT Sans Narrow" w:eastAsia="PT Sans Narrow" w:hAnsi="PT Sans Narrow"/>
          <w:b w:val="1"/>
          <w:color w:val="073763"/>
          <w:sz w:val="36"/>
          <w:szCs w:val="36"/>
        </w:rPr>
      </w:pPr>
      <w:r w:rsidDel="00000000" w:rsidR="00000000" w:rsidRPr="00000000">
        <w:rPr>
          <w:rFonts w:ascii="PT Sans Narrow" w:cs="PT Sans Narrow" w:eastAsia="PT Sans Narrow" w:hAnsi="PT Sans Narrow"/>
          <w:b w:val="1"/>
          <w:color w:val="073763"/>
          <w:sz w:val="36"/>
          <w:szCs w:val="36"/>
          <w:rtl w:val="0"/>
        </w:rPr>
        <w:t xml:space="preserve">Procedimiento formal.</w:t>
      </w:r>
    </w:p>
    <w:p w:rsidR="00000000" w:rsidDel="00000000" w:rsidP="00000000" w:rsidRDefault="00000000" w:rsidRPr="00000000" w14:paraId="0000000C">
      <w:pPr>
        <w:widowControl w:val="0"/>
        <w:numPr>
          <w:ilvl w:val="0"/>
          <w:numId w:val="2"/>
        </w:numPr>
        <w:spacing w:after="0" w:afterAutospacing="0" w:before="24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Notificación al Ministerio de Trabajo:</w:t>
        <w:br w:type="textWrapping"/>
      </w:r>
      <w:r w:rsidDel="00000000" w:rsidR="00000000" w:rsidRPr="00000000">
        <w:rPr>
          <w:rFonts w:ascii="Roboto" w:cs="Roboto" w:eastAsia="Roboto" w:hAnsi="Roboto"/>
          <w:sz w:val="20"/>
          <w:szCs w:val="20"/>
          <w:rtl w:val="0"/>
        </w:rPr>
        <w:t xml:space="preserve">Antes de implementar suspensiones, reducciones de jornada o despidos por causas económicas, el empleador debe notificar al Ministerio de Trabajo con al menos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u w:val="single"/>
          <w:rtl w:val="0"/>
        </w:rPr>
        <w:t xml:space="preserve">10 días de anticipación.</w:t>
      </w:r>
      <w:r w:rsidDel="00000000" w:rsidR="00000000" w:rsidRPr="00000000">
        <w:rPr>
          <w:rFonts w:ascii="Roboto" w:cs="Roboto" w:eastAsia="Roboto" w:hAnsi="Roboto"/>
          <w:sz w:val="20"/>
          <w:szCs w:val="20"/>
          <w:rtl w:val="0"/>
        </w:rPr>
        <w:t xml:space="preserve"> Esta notificación debe incluir las causas que motivan la medida, si afectan a toda la empresa o solo a algunas áreas, si son de carácter temporal o definitivo, las medidas adoptadas para mitigar los efectos de las causas y los datos de los trabajadores afectados.</w:t>
      </w:r>
    </w:p>
    <w:p w:rsidR="00000000" w:rsidDel="00000000" w:rsidP="00000000" w:rsidRDefault="00000000" w:rsidRPr="00000000" w14:paraId="0000000D">
      <w:pPr>
        <w:widowControl w:val="0"/>
        <w:numPr>
          <w:ilvl w:val="0"/>
          <w:numId w:val="2"/>
        </w:numPr>
        <w:spacing w:after="0" w:afterAutospacing="0" w:before="0" w:beforeAutospacing="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Comunicación a los sindicatos:</w:t>
        <w:br w:type="textWrapping"/>
      </w:r>
      <w:r w:rsidDel="00000000" w:rsidR="00000000" w:rsidRPr="00000000">
        <w:rPr>
          <w:rFonts w:ascii="Roboto" w:cs="Roboto" w:eastAsia="Roboto" w:hAnsi="Roboto"/>
          <w:sz w:val="20"/>
          <w:szCs w:val="20"/>
          <w:rtl w:val="0"/>
        </w:rPr>
        <w:t xml:space="preserve">Con la misma anticipación, el empleador debe remitir copia de la comunicación a los sindicatos que representen a los trabajadores involucrados.</w:t>
      </w:r>
    </w:p>
    <w:p w:rsidR="00000000" w:rsidDel="00000000" w:rsidP="00000000" w:rsidRDefault="00000000" w:rsidRPr="00000000" w14:paraId="0000000E">
      <w:pPr>
        <w:widowControl w:val="0"/>
        <w:numPr>
          <w:ilvl w:val="0"/>
          <w:numId w:val="2"/>
        </w:numPr>
        <w:spacing w:after="240" w:before="0" w:beforeAutospacing="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Intervención de la autoridad de aplicación:</w:t>
        <w:br w:type="textWrapping"/>
      </w:r>
      <w:r w:rsidDel="00000000" w:rsidR="00000000" w:rsidRPr="00000000">
        <w:rPr>
          <w:rFonts w:ascii="Roboto" w:cs="Roboto" w:eastAsia="Roboto" w:hAnsi="Roboto"/>
          <w:sz w:val="20"/>
          <w:szCs w:val="20"/>
          <w:rtl w:val="0"/>
        </w:rPr>
        <w:t xml:space="preserve">El Ministerio de Trabajo puede intervenir convocando audiencias, solicitando informes o proponiendo soluciones para resolver la situación de manera consensuada entre las partes.</w:t>
      </w:r>
    </w:p>
    <w:p w:rsidR="00000000" w:rsidDel="00000000" w:rsidP="00000000" w:rsidRDefault="00000000" w:rsidRPr="00000000" w14:paraId="0000000F">
      <w:pPr>
        <w:widowControl w:val="0"/>
        <w:spacing w:before="0" w:line="240" w:lineRule="auto"/>
        <w:ind w:left="720" w:firstLine="0"/>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10">
      <w:pPr>
        <w:widowControl w:val="0"/>
        <w:spacing w:before="0" w:line="240" w:lineRule="auto"/>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widowControl w:val="0"/>
        <w:spacing w:line="240" w:lineRule="auto"/>
        <w:rPr>
          <w:rFonts w:ascii="PT Sans Narrow" w:cs="PT Sans Narrow" w:eastAsia="PT Sans Narrow" w:hAnsi="PT Sans Narrow"/>
          <w:b w:val="1"/>
          <w:color w:val="073763"/>
          <w:sz w:val="36"/>
          <w:szCs w:val="36"/>
        </w:rPr>
      </w:pPr>
      <w:r w:rsidDel="00000000" w:rsidR="00000000" w:rsidRPr="00000000">
        <w:rPr>
          <w:rFonts w:ascii="PT Sans Narrow" w:cs="PT Sans Narrow" w:eastAsia="PT Sans Narrow" w:hAnsi="PT Sans Narrow"/>
          <w:b w:val="1"/>
          <w:color w:val="073763"/>
          <w:sz w:val="36"/>
          <w:szCs w:val="36"/>
          <w:rtl w:val="0"/>
        </w:rPr>
        <w:t xml:space="preserve">Análisis de jurisprudencia.</w:t>
      </w:r>
    </w:p>
    <w:p w:rsidR="00000000" w:rsidDel="00000000" w:rsidP="00000000" w:rsidRDefault="00000000" w:rsidRPr="00000000" w14:paraId="00000012">
      <w:pPr>
        <w:widowControl w:val="0"/>
        <w:spacing w:after="240" w:before="240" w:line="240" w:lineRule="auto"/>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la jurisprudencia en materia laboral surge que el Art. 247 de la LCT establece una excepción al principio de ajenidad del riesgo empresario -por el cual el trabajador no recibe las consecuencias directas de su labor ni asume los costos y riesgos de la producción sino un salario en contraprestación de su esfuerzo-, propio de la relación de dependencia, lo que implica que su aplicación debe realizarse con </w:t>
      </w:r>
      <w:r w:rsidDel="00000000" w:rsidR="00000000" w:rsidRPr="00000000">
        <w:rPr>
          <w:rFonts w:ascii="Roboto" w:cs="Roboto" w:eastAsia="Roboto" w:hAnsi="Roboto"/>
          <w:b w:val="1"/>
          <w:sz w:val="20"/>
          <w:szCs w:val="20"/>
          <w:rtl w:val="0"/>
        </w:rPr>
        <w:t xml:space="preserve">carácter restrictivo</w:t>
      </w:r>
      <w:r w:rsidDel="00000000" w:rsidR="00000000" w:rsidRPr="00000000">
        <w:rPr>
          <w:rFonts w:ascii="Roboto" w:cs="Roboto" w:eastAsia="Roboto" w:hAnsi="Roboto"/>
          <w:sz w:val="20"/>
          <w:szCs w:val="20"/>
          <w:rtl w:val="0"/>
        </w:rPr>
        <w:t xml:space="preserve">. La jurisprudencia exige que el empleador demuestre de manera fehaciente y rigurosa la existencia de una crisis económica general que justifique la rescisión laboral, y que dicha situación no puede superarse a corto o mediano plazo.</w:t>
      </w:r>
    </w:p>
    <w:p w:rsidR="00000000" w:rsidDel="00000000" w:rsidP="00000000" w:rsidRDefault="00000000" w:rsidRPr="00000000" w14:paraId="00000013">
      <w:pPr>
        <w:widowControl w:val="0"/>
        <w:spacing w:after="240" w:before="240" w:line="240" w:lineRule="auto"/>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w:t>
      </w:r>
      <w:r w:rsidDel="00000000" w:rsidR="00000000" w:rsidRPr="00000000">
        <w:rPr>
          <w:rFonts w:ascii="Roboto" w:cs="Roboto" w:eastAsia="Roboto" w:hAnsi="Roboto"/>
          <w:b w:val="1"/>
          <w:sz w:val="20"/>
          <w:szCs w:val="20"/>
          <w:rtl w:val="0"/>
        </w:rPr>
        <w:t xml:space="preserve">mera invocación de una disminución de trabajo o ventas no es suficiente</w:t>
      </w:r>
      <w:r w:rsidDel="00000000" w:rsidR="00000000" w:rsidRPr="00000000">
        <w:rPr>
          <w:rFonts w:ascii="Roboto" w:cs="Roboto" w:eastAsia="Roboto" w:hAnsi="Roboto"/>
          <w:sz w:val="20"/>
          <w:szCs w:val="20"/>
          <w:rtl w:val="0"/>
        </w:rPr>
        <w:t xml:space="preserve"> para aplicar este artículo. Recae sobre el empleador la </w:t>
      </w:r>
      <w:r w:rsidDel="00000000" w:rsidR="00000000" w:rsidRPr="00000000">
        <w:rPr>
          <w:rFonts w:ascii="Roboto" w:cs="Roboto" w:eastAsia="Roboto" w:hAnsi="Roboto"/>
          <w:b w:val="1"/>
          <w:sz w:val="20"/>
          <w:szCs w:val="20"/>
          <w:rtl w:val="0"/>
        </w:rPr>
        <w:t xml:space="preserve">carga de la prueba</w:t>
      </w:r>
      <w:r w:rsidDel="00000000" w:rsidR="00000000" w:rsidRPr="00000000">
        <w:rPr>
          <w:rFonts w:ascii="Roboto" w:cs="Roboto" w:eastAsia="Roboto" w:hAnsi="Roboto"/>
          <w:sz w:val="20"/>
          <w:szCs w:val="20"/>
          <w:rtl w:val="0"/>
        </w:rPr>
        <w:t xml:space="preserve"> para justificar la falta de trabajo, demostrando que los hechos que la causaron fueron ajenos e inimputables, y que se tomaron medidas concretas para superar la situación. La jurisprudencia establece que el </w:t>
      </w:r>
      <w:r w:rsidDel="00000000" w:rsidR="00000000" w:rsidRPr="00000000">
        <w:rPr>
          <w:rFonts w:ascii="Roboto" w:cs="Roboto" w:eastAsia="Roboto" w:hAnsi="Roboto"/>
          <w:b w:val="1"/>
          <w:sz w:val="20"/>
          <w:szCs w:val="20"/>
          <w:rtl w:val="0"/>
        </w:rPr>
        <w:t xml:space="preserve">riesgo empresario</w:t>
      </w:r>
      <w:r w:rsidDel="00000000" w:rsidR="00000000" w:rsidRPr="00000000">
        <w:rPr>
          <w:rFonts w:ascii="Roboto" w:cs="Roboto" w:eastAsia="Roboto" w:hAnsi="Roboto"/>
          <w:sz w:val="20"/>
          <w:szCs w:val="20"/>
          <w:rtl w:val="0"/>
        </w:rPr>
        <w:t xml:space="preserve">, que incluye tanto las pérdidas como las ganancias, no puede trasladarse al trabajador, solo circunstancias excepcionales, imprevisibles e inevitables, permitirían aplicar el Art. 247 de la LCT.</w:t>
      </w:r>
    </w:p>
    <w:p w:rsidR="00000000" w:rsidDel="00000000" w:rsidP="00000000" w:rsidRDefault="00000000" w:rsidRPr="00000000" w14:paraId="00000014">
      <w:pPr>
        <w:widowControl w:val="0"/>
        <w:spacing w:after="240" w:before="240" w:line="240" w:lineRule="auto"/>
        <w:ind w:left="0" w:firstLine="0"/>
        <w:jc w:val="both"/>
        <w:rPr>
          <w:rFonts w:ascii="Roboto" w:cs="Roboto" w:eastAsia="Roboto" w:hAnsi="Roboto"/>
          <w:b w:val="1"/>
          <w:sz w:val="20"/>
          <w:szCs w:val="20"/>
        </w:rPr>
      </w:pPr>
      <w:r w:rsidDel="00000000" w:rsidR="00000000" w:rsidRPr="00000000">
        <w:rPr>
          <w:rFonts w:ascii="Roboto" w:cs="Roboto" w:eastAsia="Roboto" w:hAnsi="Roboto"/>
          <w:sz w:val="20"/>
          <w:szCs w:val="20"/>
          <w:rtl w:val="0"/>
        </w:rPr>
        <w:t xml:space="preserve">En resumen, cualquier medida de despido basada en el Art. 247 requiere un análisis detallado y pruebas contundentes por parte del empleador, ya que los tribunales tienden a considerar este tipo de despidos como una excepción que debe ser aplicada con suma cautela.</w:t>
      </w:r>
      <w:r w:rsidDel="00000000" w:rsidR="00000000" w:rsidRPr="00000000">
        <w:rPr>
          <w:rtl w:val="0"/>
        </w:rPr>
      </w:r>
    </w:p>
    <w:p w:rsidR="00000000" w:rsidDel="00000000" w:rsidP="00000000" w:rsidRDefault="00000000" w:rsidRPr="00000000" w14:paraId="00000015">
      <w:pPr>
        <w:widowControl w:val="0"/>
        <w:spacing w:line="240" w:lineRule="auto"/>
        <w:rPr>
          <w:rFonts w:ascii="PT Sans Narrow" w:cs="PT Sans Narrow" w:eastAsia="PT Sans Narrow" w:hAnsi="PT Sans Narrow"/>
          <w:b w:val="1"/>
          <w:color w:val="073763"/>
          <w:sz w:val="36"/>
          <w:szCs w:val="36"/>
        </w:rPr>
      </w:pPr>
      <w:r w:rsidDel="00000000" w:rsidR="00000000" w:rsidRPr="00000000">
        <w:rPr>
          <w:rFonts w:ascii="PT Sans Narrow" w:cs="PT Sans Narrow" w:eastAsia="PT Sans Narrow" w:hAnsi="PT Sans Narrow"/>
          <w:b w:val="1"/>
          <w:color w:val="073763"/>
          <w:sz w:val="36"/>
          <w:szCs w:val="36"/>
          <w:rtl w:val="0"/>
        </w:rPr>
        <w:t xml:space="preserve">Conclusión.</w:t>
      </w:r>
    </w:p>
    <w:p w:rsidR="00000000" w:rsidDel="00000000" w:rsidP="00000000" w:rsidRDefault="00000000" w:rsidRPr="00000000" w14:paraId="00000016">
      <w:pPr>
        <w:widowControl w:val="0"/>
        <w:spacing w:after="240" w:before="240" w:line="240" w:lineRule="auto"/>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empresa debe cumplir estrictamente con los requisitos formales antes de aplicar suspensiones o despidos por causas económicas, incluyendo la notificación al Ministerio de Trabajo y a los sindicatos. Además, el empleador debe estar preparado para demostrar, de manera rigurosa, la situación de crisis que justifica las medidas, dada la exigencia jurisprudencial de aplicar el Art. 247 de la LCT de forma restrictiva.</w:t>
      </w:r>
    </w:p>
    <w:p w:rsidR="00000000" w:rsidDel="00000000" w:rsidP="00000000" w:rsidRDefault="00000000" w:rsidRPr="00000000" w14:paraId="00000017">
      <w:pPr>
        <w:widowControl w:val="0"/>
        <w:spacing w:before="0" w:line="240" w:lineRule="auto"/>
        <w:ind w:left="0" w:firstLine="0"/>
        <w:rPr>
          <w:rFonts w:ascii="PT Sans Narrow" w:cs="PT Sans Narrow" w:eastAsia="PT Sans Narrow" w:hAnsi="PT Sans Narrow"/>
          <w:b w:val="1"/>
          <w:color w:val="073763"/>
          <w:sz w:val="36"/>
          <w:szCs w:val="36"/>
        </w:rPr>
      </w:pPr>
      <w:r w:rsidDel="00000000" w:rsidR="00000000" w:rsidRPr="00000000">
        <w:rPr>
          <w:rtl w:val="0"/>
        </w:rPr>
      </w:r>
    </w:p>
    <w:p w:rsidR="00000000" w:rsidDel="00000000" w:rsidP="00000000" w:rsidRDefault="00000000" w:rsidRPr="00000000" w14:paraId="00000018">
      <w:pPr>
        <w:widowControl w:val="0"/>
        <w:spacing w:before="0" w:line="276" w:lineRule="auto"/>
        <w:ind w:left="4320" w:firstLine="720"/>
        <w:rPr>
          <w:rFonts w:ascii="Roboto" w:cs="Roboto" w:eastAsia="Roboto" w:hAnsi="Roboto"/>
          <w:sz w:val="19"/>
          <w:szCs w:val="19"/>
        </w:rPr>
      </w:pPr>
      <w:r w:rsidDel="00000000" w:rsidR="00000000" w:rsidRPr="00000000">
        <w:rPr>
          <w:rtl w:val="0"/>
        </w:rPr>
      </w:r>
    </w:p>
    <w:p w:rsidR="00000000" w:rsidDel="00000000" w:rsidP="00000000" w:rsidRDefault="00000000" w:rsidRPr="00000000" w14:paraId="00000019">
      <w:pPr>
        <w:widowControl w:val="0"/>
        <w:spacing w:before="0" w:line="276" w:lineRule="auto"/>
        <w:ind w:left="4320" w:firstLine="720"/>
        <w:rPr>
          <w:rFonts w:ascii="Roboto" w:cs="Roboto" w:eastAsia="Roboto" w:hAnsi="Roboto"/>
          <w:sz w:val="19"/>
          <w:szCs w:val="19"/>
        </w:rPr>
      </w:pPr>
      <w:r w:rsidDel="00000000" w:rsidR="00000000" w:rsidRPr="00000000">
        <w:rPr>
          <w:rFonts w:ascii="Roboto" w:cs="Roboto" w:eastAsia="Roboto" w:hAnsi="Roboto"/>
          <w:sz w:val="19"/>
          <w:szCs w:val="19"/>
          <w:rtl w:val="0"/>
        </w:rPr>
        <w:t xml:space="preserve">Sin otro más, saludamos muy atentamente. </w:t>
      </w:r>
    </w:p>
    <w:p w:rsidR="00000000" w:rsidDel="00000000" w:rsidP="00000000" w:rsidRDefault="00000000" w:rsidRPr="00000000" w14:paraId="0000001A">
      <w:pPr>
        <w:widowControl w:val="0"/>
        <w:spacing w:before="0" w:line="276" w:lineRule="auto"/>
        <w:ind w:left="5040" w:firstLine="720"/>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   El Equipo Legal de WNS &amp; Asociados.</w:t>
      </w:r>
      <w:r w:rsidDel="00000000" w:rsidR="00000000" w:rsidRPr="00000000">
        <w:rPr>
          <w:rtl w:val="0"/>
        </w:rPr>
      </w:r>
    </w:p>
    <w:sectPr>
      <w:footerReference r:id="rId8" w:type="default"/>
      <w:pgSz w:h="15840" w:w="12240" w:orient="portrait"/>
      <w:pgMar w:bottom="2292.39990234375" w:top="573.599853515625" w:left="1440" w:right="1367.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Times"/>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