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F766E"/>
          <w:sz w:val="18"/>
          <w:szCs w:val="18"/>
        </w:rPr>
        <w:t xml:space="preserve">CLIENT APPROVAL DOCUMENT</w:t>
      </w:r>
    </w:p>
    <w:p>
      <w:pPr>
        <w:spacing w:after="120"/>
      </w:pPr>
      <w:r>
        <w:rPr>
          <w:rFonts w:ascii="Arial" w:cs="Arial" w:eastAsia="Arial" w:hAnsi="Arial"/>
          <w:b/>
          <w:bCs/>
          <w:color w:val="0F172A"/>
          <w:sz w:val="44"/>
          <w:szCs w:val="44"/>
        </w:rPr>
        <w:t xml:space="preserve">Below OP — Remaining Engineering Scope</w:t>
      </w:r>
    </w:p>
    <w:p>
      <w:pPr>
        <w:spacing w:after="320"/>
      </w:pPr>
      <w:r>
        <w:rPr>
          <w:rFonts w:ascii="Arial" w:cs="Arial" w:eastAsia="Arial" w:hAnsi="Arial"/>
          <w:i/>
          <w:iCs/>
          <w:color w:val="475569"/>
          <w:sz w:val="24"/>
          <w:szCs w:val="24"/>
        </w:rPr>
        <w:t xml:space="preserve">For client approval before next sprint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7258"/>
      </w:tblGrid>
      <w:tr>
        <w:tc>
          <w:tcPr>
            <w:tcW w:type="dxa" w:w="181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Date</w:t>
            </w:r>
          </w:p>
        </w:tc>
        <w:tc>
          <w:tcPr>
            <w:tcW w:type="dxa" w:w="725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rPr>
              <w:t xml:space="preserve">22 May 2026</w:t>
            </w:r>
          </w:p>
        </w:tc>
      </w:tr>
      <w:tr>
        <w:tc>
          <w:tcPr>
            <w:tcW w:type="dxa" w:w="181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From</w:t>
            </w:r>
          </w:p>
        </w:tc>
        <w:tc>
          <w:tcPr>
            <w:tcW w:type="dxa" w:w="725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rPr>
              <w:t xml:space="preserve">Rami · Emerge Digital</w:t>
            </w:r>
          </w:p>
        </w:tc>
      </w:tr>
      <w:tr>
        <w:tc>
          <w:tcPr>
            <w:tcW w:type="dxa" w:w="181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To</w:t>
            </w:r>
          </w:p>
        </w:tc>
        <w:tc>
          <w:tcPr>
            <w:tcW w:type="dxa" w:w="725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rPr>
              <w:t xml:space="preserve">Jad ALCHEIKH</w:t>
            </w:r>
          </w:p>
        </w:tc>
      </w:tr>
      <w:tr>
        <w:tc>
          <w:tcPr>
            <w:tcW w:type="dxa" w:w="181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Purpose</w:t>
            </w:r>
          </w:p>
        </w:tc>
        <w:tc>
          <w:tcPr>
            <w:tcW w:type="dxa" w:w="725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rPr>
              <w:t xml:space="preserve">Confirm the scope of the next engineering sprint before work starts.</w:t>
            </w:r>
          </w:p>
        </w:tc>
      </w:tr>
    </w:tbl>
    <w:p>
      <w:pPr>
        <w:pStyle w:val="Heading1"/>
        <w:spacing w:after="120" w:before="240"/>
      </w:pPr>
      <w:r>
        <w:rPr>
          <w:rFonts w:ascii="Arial" w:cs="Arial" w:eastAsia="Arial" w:hAnsi="Arial"/>
          <w:b/>
          <w:bCs/>
        </w:rPr>
        <w:t xml:space="preserve">1. Executive summary</w:t>
      </w:r>
    </w:p>
    <w:p>
      <w:pPr>
        <w:spacing w:after="80"/>
      </w:pPr>
      <w:r>
        <w:rPr>
          <w:rFonts w:ascii="Arial" w:cs="Arial" w:eastAsia="Arial" w:hAnsi="Arial"/>
        </w:rPr>
        <w:t xml:space="preserve">The project is essentially complete to spec on the engineering side. 102 real PropertyFinder listings are live in production, Telegram alerts are broadcasting to @DubaiPropertydeal with the broker-canonical format from Variables.pdf, and lead capture flows through to Rami’s Telegram DM in under one second.</w:t>
      </w:r>
    </w:p>
    <w:p>
      <w:pPr>
        <w:spacing w:after="80"/>
      </w:pPr>
      <w:r>
        <w:rPr>
          <w:rFonts w:ascii="Arial" w:cs="Arial" w:eastAsia="Arial" w:hAnsi="Arial"/>
        </w:rPr>
        <w:t xml:space="preserve">Acceptance criteria 8.1 through 8.10 from CLAUDE.md are all met on the engineering side; the remaining items are blocked by external dependencies (RERA registration, Twilio template approval, Vercel Pro upgrade). 84 automated tests are passing. A CI guardrail enforces the spec’s rule against PropertyFinder references on the public surface. The full Requirements Traceability Matrix is reconciled in docs/RTM_COVERAGE.md.</w:t>
      </w:r>
    </w:p>
    <w:p>
      <w:pPr>
        <w:spacing w:after="80"/>
      </w:pPr>
      <w:r>
        <w:rPr>
          <w:rFonts w:ascii="Arial" w:cs="Arial" w:eastAsia="Arial" w:hAnsi="Arial"/>
        </w:rPr>
        <w:t xml:space="preserve">This document lays out what work remains, grouped by priority, so you can confirm what should ship in the next sprint.</w:t>
      </w:r>
    </w:p>
    <w:p>
      <w:pPr>
        <w:pStyle w:val="Heading1"/>
        <w:spacing w:after="120" w:before="240"/>
      </w:pPr>
      <w:r>
        <w:rPr>
          <w:rFonts w:ascii="Arial" w:cs="Arial" w:eastAsia="Arial" w:hAnsi="Arial"/>
          <w:b/>
          <w:bCs/>
        </w:rPr>
        <w:t xml:space="preserve">2. Status snapshot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66"/>
        <w:gridCol w:w="5806"/>
      </w:tblGrid>
      <w:tr>
        <w:trPr>
          <w:tblHeader/>
        </w:trPr>
        <w:tc>
          <w:tcPr>
            <w:tcW w:type="dxa" w:w="3266"/>
            <w:tcBorders>
              <w:top w:val="single" w:color="CCCCCC" w:sz="4"/>
              <w:left w:val="single" w:color="CCCCCC" w:sz="4"/>
              <w:bottom w:val="single" w:color="CCCCCC" w:sz="4"/>
              <w:right w:val="single" w:color="CCCCCC" w:sz="4"/>
            </w:tcBorders>
            <w:shd w:fill="0F766E" w:val="clear"/>
            <w:tcMar>
              <w:top w:type="dxa" w:w="80"/>
              <w:left w:type="dxa" w:w="120"/>
              <w:bottom w:type="dxa" w:w="80"/>
              <w:right w:type="dxa" w:w="120"/>
            </w:tcMar>
          </w:tcPr>
          <w:p>
            <w:pPr>
              <w:spacing w:after="40"/>
            </w:pPr>
            <w:r>
              <w:rPr>
                <w:rFonts w:ascii="Arial" w:cs="Arial" w:eastAsia="Arial" w:hAnsi="Arial"/>
                <w:b/>
                <w:bCs/>
                <w:color w:val="FFFFFF"/>
              </w:rPr>
              <w:t xml:space="preserve">Metric</w:t>
            </w:r>
          </w:p>
        </w:tc>
        <w:tc>
          <w:tcPr>
            <w:tcW w:type="dxa" w:w="5806"/>
            <w:tcBorders>
              <w:top w:val="single" w:color="CCCCCC" w:sz="4"/>
              <w:left w:val="single" w:color="CCCCCC" w:sz="4"/>
              <w:bottom w:val="single" w:color="CCCCCC" w:sz="4"/>
              <w:right w:val="single" w:color="CCCCCC" w:sz="4"/>
            </w:tcBorders>
            <w:shd w:fill="0F766E" w:val="clear"/>
            <w:tcMar>
              <w:top w:type="dxa" w:w="80"/>
              <w:left w:type="dxa" w:w="120"/>
              <w:bottom w:type="dxa" w:w="80"/>
              <w:right w:type="dxa" w:w="120"/>
            </w:tcMar>
          </w:tcPr>
          <w:p>
            <w:pPr>
              <w:spacing w:after="40"/>
            </w:pPr>
            <w:r>
              <w:rPr>
                <w:rFonts w:ascii="Arial" w:cs="Arial" w:eastAsia="Arial" w:hAnsi="Arial"/>
                <w:b/>
                <w:bCs/>
                <w:color w:val="FFFFFF"/>
              </w:rPr>
              <w:t xml:space="preserve">Value</w:t>
            </w:r>
          </w:p>
        </w:tc>
      </w:tr>
      <w:tr>
        <w:tc>
          <w:tcPr>
            <w:tcW w:type="dxa" w:w="326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Live PropertyFinder listings</w:t>
            </w:r>
          </w:p>
        </w:tc>
        <w:tc>
          <w:tcPr>
            <w:tcW w:type="dxa" w:w="580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rPr>
              <w:t xml:space="preserve">102 — real, ingested via Apify webhook</w:t>
            </w:r>
          </w:p>
        </w:tc>
      </w:tr>
      <w:tr>
        <w:tc>
          <w:tcPr>
            <w:tcW w:type="dxa" w:w="326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Hosted images</w:t>
            </w:r>
          </w:p>
        </w:tc>
        <w:tc>
          <w:tcPr>
            <w:tcW w:type="dxa" w:w="580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rPr>
              <w:t xml:space="preserve">~300 WebP transcodes on Vercel Blob, served from our domain</w:t>
            </w:r>
          </w:p>
        </w:tc>
      </w:tr>
      <w:tr>
        <w:tc>
          <w:tcPr>
            <w:tcW w:type="dxa" w:w="326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Channel posts demonstrated</w:t>
            </w:r>
          </w:p>
        </w:tc>
        <w:tc>
          <w:tcPr>
            <w:tcW w:type="dxa" w:w="580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rPr>
              <w:t xml:space="preserve">5 broker-canonical posts in @DubaiPropertydeal (msgs 24–28)</w:t>
            </w:r>
          </w:p>
        </w:tc>
      </w:tr>
      <w:tr>
        <w:tc>
          <w:tcPr>
            <w:tcW w:type="dxa" w:w="326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Automated tests passing</w:t>
            </w:r>
          </w:p>
        </w:tc>
        <w:tc>
          <w:tcPr>
            <w:tcW w:type="dxa" w:w="580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rPr>
              <w:t xml:space="preserve">84 — 36 description-parser + 12 HMAC + 36 format/Telegram</w:t>
            </w:r>
          </w:p>
        </w:tc>
      </w:tr>
      <w:tr>
        <w:tc>
          <w:tcPr>
            <w:tcW w:type="dxa" w:w="326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RTM coverage (of 105 total)</w:t>
            </w:r>
          </w:p>
        </w:tc>
        <w:tc>
          <w:tcPr>
            <w:tcW w:type="dxa" w:w="580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rPr>
              <w:t xml:space="preserve">19 automated, 25 manual, 27 uncovered, 34 blocked-by-external</w:t>
            </w:r>
          </w:p>
        </w:tc>
      </w:tr>
      <w:tr>
        <w:tc>
          <w:tcPr>
            <w:tcW w:type="dxa" w:w="326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Public live URL</w:t>
            </w:r>
          </w:p>
        </w:tc>
        <w:tc>
          <w:tcPr>
            <w:tcW w:type="dxa" w:w="580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rPr>
              <w:t xml:space="preserve">https://belowop-demo.vercel.app</w:t>
            </w:r>
          </w:p>
        </w:tc>
      </w:tr>
      <w:tr>
        <w:tc>
          <w:tcPr>
            <w:tcW w:type="dxa" w:w="326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Client test plan</w:t>
            </w:r>
          </w:p>
        </w:tc>
        <w:tc>
          <w:tcPr>
            <w:tcW w:type="dxa" w:w="580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rPr>
              <w:t xml:space="preserve">https://belowop-demo.vercel.app/test</w:t>
            </w:r>
          </w:p>
        </w:tc>
      </w:tr>
    </w:tbl>
    <w:p>
      <w:pPr>
        <w:pStyle w:val="Heading1"/>
        <w:spacing w:after="120" w:before="240"/>
      </w:pPr>
      <w:r>
        <w:rPr>
          <w:rFonts w:ascii="Arial" w:cs="Arial" w:eastAsia="Arial" w:hAnsi="Arial"/>
          <w:b/>
          <w:bCs/>
        </w:rPr>
        <w:t xml:space="preserve">3. What’s still outstanding on engineering</w:t>
      </w:r>
    </w:p>
    <w:p>
      <w:pPr>
        <w:spacing w:after="80"/>
      </w:pPr>
      <w:r>
        <w:rPr>
          <w:rFonts w:ascii="Arial" w:cs="Arial" w:eastAsia="Arial" w:hAnsi="Arial"/>
        </w:rPr>
        <w:t xml:space="preserve">Three priority buckets. Effort sizing: Small (~half day), Medium (~one day), Large (~two-plus days).</w:t>
      </w:r>
    </w:p>
    <w:p>
      <w:pPr>
        <w:pStyle w:val="Heading3"/>
        <w:spacing w:after="120" w:before="240"/>
      </w:pPr>
      <w:r>
        <w:rPr>
          <w:rFonts w:ascii="Arial" w:cs="Arial" w:eastAsia="Arial" w:hAnsi="Arial"/>
          <w:b/>
          <w:bCs/>
        </w:rPr>
        <w:t xml:space="preserve">3.1 HIGH priority — security and spec-critical</w:t>
      </w:r>
    </w:p>
    <w:p>
      <w:pPr>
        <w:spacing w:after="80"/>
      </w:pPr>
      <w:r>
        <w:rPr>
          <w:rFonts w:ascii="Arial" w:cs="Arial" w:eastAsia="Arial" w:hAnsi="Arial"/>
          <w:i/>
          <w:iCs/>
          <w:color w:val="6B7280"/>
          <w:sz w:val="20"/>
          <w:szCs w:val="20"/>
        </w:rPr>
        <w:t xml:space="preserve">Estimated 1.5 – 2 dev days for the full block.</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4"/>
        <w:gridCol w:w="7529"/>
        <w:gridCol w:w="1089"/>
      </w:tblGrid>
      <w:tr>
        <w:trPr>
          <w:tblHeader/>
        </w:trPr>
        <w:tc>
          <w:tcPr>
            <w:tcW w:type="dxa" w:w="454"/>
            <w:tcBorders>
              <w:top w:val="single" w:color="CCCCCC" w:sz="4"/>
              <w:left w:val="single" w:color="CCCCCC" w:sz="4"/>
              <w:bottom w:val="single" w:color="CCCCCC" w:sz="4"/>
              <w:right w:val="single" w:color="CCCCCC" w:sz="4"/>
            </w:tcBorders>
            <w:shd w:fill="B91C1C" w:val="clear"/>
            <w:tcMar>
              <w:top w:type="dxa" w:w="80"/>
              <w:left w:type="dxa" w:w="120"/>
              <w:bottom w:type="dxa" w:w="80"/>
              <w:right w:type="dxa" w:w="120"/>
            </w:tcMar>
          </w:tcPr>
          <w:p>
            <w:pPr>
              <w:spacing w:after="40"/>
            </w:pPr>
            <w:r>
              <w:rPr>
                <w:rFonts w:ascii="Arial" w:cs="Arial" w:eastAsia="Arial" w:hAnsi="Arial"/>
                <w:b/>
                <w:bCs/>
                <w:color w:val="FFFFFF"/>
              </w:rPr>
              <w:t xml:space="preserve">#</w:t>
            </w:r>
          </w:p>
        </w:tc>
        <w:tc>
          <w:tcPr>
            <w:tcW w:type="dxa" w:w="7529"/>
            <w:tcBorders>
              <w:top w:val="single" w:color="CCCCCC" w:sz="4"/>
              <w:left w:val="single" w:color="CCCCCC" w:sz="4"/>
              <w:bottom w:val="single" w:color="CCCCCC" w:sz="4"/>
              <w:right w:val="single" w:color="CCCCCC" w:sz="4"/>
            </w:tcBorders>
            <w:shd w:fill="B91C1C" w:val="clear"/>
            <w:tcMar>
              <w:top w:type="dxa" w:w="80"/>
              <w:left w:type="dxa" w:w="120"/>
              <w:bottom w:type="dxa" w:w="80"/>
              <w:right w:type="dxa" w:w="120"/>
            </w:tcMar>
          </w:tcPr>
          <w:p>
            <w:pPr>
              <w:spacing w:after="40"/>
            </w:pPr>
            <w:r>
              <w:rPr>
                <w:rFonts w:ascii="Arial" w:cs="Arial" w:eastAsia="Arial" w:hAnsi="Arial"/>
                <w:b/>
                <w:bCs/>
                <w:color w:val="FFFFFF"/>
              </w:rPr>
              <w:t xml:space="preserve">Item</w:t>
            </w:r>
          </w:p>
        </w:tc>
        <w:tc>
          <w:tcPr>
            <w:tcW w:type="dxa" w:w="1089"/>
            <w:tcBorders>
              <w:top w:val="single" w:color="CCCCCC" w:sz="4"/>
              <w:left w:val="single" w:color="CCCCCC" w:sz="4"/>
              <w:bottom w:val="single" w:color="CCCCCC" w:sz="4"/>
              <w:right w:val="single" w:color="CCCCCC" w:sz="4"/>
            </w:tcBorders>
            <w:shd w:fill="B91C1C" w:val="clear"/>
            <w:tcMar>
              <w:top w:type="dxa" w:w="80"/>
              <w:left w:type="dxa" w:w="120"/>
              <w:bottom w:type="dxa" w:w="80"/>
              <w:right w:type="dxa" w:w="120"/>
            </w:tcMar>
          </w:tcPr>
          <w:p>
            <w:pPr>
              <w:spacing w:after="40"/>
            </w:pPr>
            <w:r>
              <w:rPr>
                <w:rFonts w:ascii="Arial" w:cs="Arial" w:eastAsia="Arial" w:hAnsi="Arial"/>
                <w:b/>
                <w:bCs/>
                <w:color w:val="FFFFFF"/>
              </w:rPr>
              <w:t xml:space="preserve">Effort</w:t>
            </w:r>
          </w:p>
        </w:tc>
      </w:tr>
      <w:tr>
        <w:tc>
          <w:tcPr>
            <w:tcW w:type="dxa" w:w="4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1</w:t>
            </w:r>
          </w:p>
        </w:tc>
        <w:tc>
          <w:tcPr>
            <w:tcW w:type="dxa" w:w="75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Wire HMAC body signing on Apify webhook</w:t>
            </w:r>
          </w:p>
          <w:p>
            <w:pPr>
              <w:spacing w:after="40"/>
            </w:pPr>
            <w:r>
              <w:rPr>
                <w:rFonts w:ascii="Arial" w:cs="Arial" w:eastAsia="Arial" w:hAnsi="Arial"/>
                <w:color w:val="6B7280"/>
                <w:sz w:val="18"/>
                <w:szCs w:val="18"/>
              </w:rPr>
              <w:t xml:space="preserve">Currently Bearer-only. Utility exists in lib/hmac.ts and is tested; needs to be imported into /api/webhooks/apify.</w:t>
            </w:r>
          </w:p>
        </w:tc>
        <w:tc>
          <w:tcPr>
            <w:tcW w:type="dxa" w:w="108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color w:val="0F766E"/>
              </w:rPr>
              <w:t xml:space="preserve">Small</w:t>
            </w:r>
          </w:p>
        </w:tc>
      </w:tr>
      <w:tr>
        <w:tc>
          <w:tcPr>
            <w:tcW w:type="dxa" w:w="4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2</w:t>
            </w:r>
          </w:p>
        </w:tc>
        <w:tc>
          <w:tcPr>
            <w:tcW w:type="dxa" w:w="75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Signed expiring single-use unsubscribe tokens</w:t>
            </w:r>
          </w:p>
          <w:p>
            <w:pPr>
              <w:spacing w:after="40"/>
            </w:pPr>
            <w:r>
              <w:rPr>
                <w:rFonts w:ascii="Arial" w:cs="Arial" w:eastAsia="Arial" w:hAnsi="Arial"/>
                <w:color w:val="6B7280"/>
                <w:sz w:val="18"/>
                <w:szCs w:val="18"/>
              </w:rPr>
              <w:t xml:space="preserve">Current implementation uses plain equality. Build lib/tokens.ts with HMAC + TTL + single-use semantics.</w:t>
            </w:r>
          </w:p>
        </w:tc>
        <w:tc>
          <w:tcPr>
            <w:tcW w:type="dxa" w:w="108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color w:val="0F766E"/>
              </w:rPr>
              <w:t xml:space="preserve">Medium</w:t>
            </w:r>
          </w:p>
        </w:tc>
      </w:tr>
      <w:tr>
        <w:tc>
          <w:tcPr>
            <w:tcW w:type="dxa" w:w="4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3</w:t>
            </w:r>
          </w:p>
        </w:tc>
        <w:tc>
          <w:tcPr>
            <w:tcW w:type="dxa" w:w="75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Postgres Row-Level Security policies</w:t>
            </w:r>
          </w:p>
          <w:p>
            <w:pPr>
              <w:spacing w:after="40"/>
            </w:pPr>
            <w:r>
              <w:rPr>
                <w:rFonts w:ascii="Arial" w:cs="Arial" w:eastAsia="Arial" w:hAnsi="Arial"/>
                <w:color w:val="6B7280"/>
                <w:sz w:val="18"/>
                <w:szCs w:val="18"/>
              </w:rPr>
              <w:t xml:space="preserve">Deny anonymous writes. Allow anon SELECT on listings only. Service role required for mutations.</w:t>
            </w:r>
          </w:p>
        </w:tc>
        <w:tc>
          <w:tcPr>
            <w:tcW w:type="dxa" w:w="108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color w:val="0F766E"/>
              </w:rPr>
              <w:t xml:space="preserve">Medium</w:t>
            </w:r>
          </w:p>
        </w:tc>
      </w:tr>
      <w:tr>
        <w:tc>
          <w:tcPr>
            <w:tcW w:type="dxa" w:w="4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4</w:t>
            </w:r>
          </w:p>
        </w:tc>
        <w:tc>
          <w:tcPr>
            <w:tcW w:type="dxa" w:w="75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Content Security Policy and security headers</w:t>
            </w:r>
          </w:p>
          <w:p>
            <w:pPr>
              <w:spacing w:after="40"/>
            </w:pPr>
            <w:r>
              <w:rPr>
                <w:rFonts w:ascii="Arial" w:cs="Arial" w:eastAsia="Arial" w:hAnsi="Arial"/>
                <w:color w:val="6B7280"/>
                <w:sz w:val="18"/>
                <w:szCs w:val="18"/>
              </w:rPr>
              <w:t xml:space="preserve">CSP, X-Frame-Options, Referrer-Policy, Permissions-Policy via Next middleware.</w:t>
            </w:r>
          </w:p>
        </w:tc>
        <w:tc>
          <w:tcPr>
            <w:tcW w:type="dxa" w:w="108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color w:val="0F766E"/>
              </w:rPr>
              <w:t xml:space="preserve">Small</w:t>
            </w:r>
          </w:p>
        </w:tc>
      </w:tr>
      <w:tr>
        <w:tc>
          <w:tcPr>
            <w:tcW w:type="dxa" w:w="4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5</w:t>
            </w:r>
          </w:p>
        </w:tc>
        <w:tc>
          <w:tcPr>
            <w:tcW w:type="dxa" w:w="75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/admin allow-list auth</w:t>
            </w:r>
          </w:p>
          <w:p>
            <w:pPr>
              <w:spacing w:after="40"/>
            </w:pPr>
            <w:r>
              <w:rPr>
                <w:rFonts w:ascii="Arial" w:cs="Arial" w:eastAsia="Arial" w:hAnsi="Arial"/>
                <w:color w:val="6B7280"/>
                <w:sz w:val="18"/>
                <w:szCs w:val="18"/>
              </w:rPr>
              <w:t xml:space="preserve">Replace shared admin token with email-based allow-list and magic-link sign-in (needs Resend integration first).</w:t>
            </w:r>
          </w:p>
        </w:tc>
        <w:tc>
          <w:tcPr>
            <w:tcW w:type="dxa" w:w="108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color w:val="0F766E"/>
              </w:rPr>
              <w:t xml:space="preserve">Medium</w:t>
            </w:r>
          </w:p>
        </w:tc>
      </w:tr>
      <w:tr>
        <w:tc>
          <w:tcPr>
            <w:tcW w:type="dxa" w:w="4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6</w:t>
            </w:r>
          </w:p>
        </w:tc>
        <w:tc>
          <w:tcPr>
            <w:tcW w:type="dxa" w:w="75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Encrypt phone / email at rest</w:t>
            </w:r>
          </w:p>
          <w:p>
            <w:pPr>
              <w:spacing w:after="40"/>
            </w:pPr>
            <w:r>
              <w:rPr>
                <w:rFonts w:ascii="Arial" w:cs="Arial" w:eastAsia="Arial" w:hAnsi="Arial"/>
                <w:color w:val="6B7280"/>
                <w:sz w:val="18"/>
                <w:szCs w:val="18"/>
              </w:rPr>
              <w:t xml:space="preserve">pgcrypto on leads.phone, subscriptions.contact. Migration plus updated read path.</w:t>
            </w:r>
          </w:p>
        </w:tc>
        <w:tc>
          <w:tcPr>
            <w:tcW w:type="dxa" w:w="108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color w:val="0F766E"/>
              </w:rPr>
              <w:t xml:space="preserve">Medium</w:t>
            </w:r>
          </w:p>
        </w:tc>
      </w:tr>
      <w:tr>
        <w:tc>
          <w:tcPr>
            <w:tcW w:type="dxa" w:w="4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7</w:t>
            </w:r>
          </w:p>
        </w:tc>
        <w:tc>
          <w:tcPr>
            <w:tcW w:type="dxa" w:w="75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Withdrawn listings disable the Get-details CTA</w:t>
            </w:r>
          </w:p>
          <w:p>
            <w:pPr>
              <w:spacing w:after="40"/>
            </w:pPr>
            <w:r>
              <w:rPr>
                <w:rFonts w:ascii="Arial" w:cs="Arial" w:eastAsia="Arial" w:hAnsi="Arial"/>
                <w:color w:val="6B7280"/>
                <w:sz w:val="18"/>
                <w:szCs w:val="18"/>
              </w:rPr>
              <w:t xml:space="preserve">Filter withdrawn_at IS NOT NULL in fetchListings or render the CTA disabled.</w:t>
            </w:r>
          </w:p>
        </w:tc>
        <w:tc>
          <w:tcPr>
            <w:tcW w:type="dxa" w:w="108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color w:val="0F766E"/>
              </w:rPr>
              <w:t xml:space="preserve">Small</w:t>
            </w:r>
          </w:p>
        </w:tc>
      </w:tr>
      <w:tr>
        <w:tc>
          <w:tcPr>
            <w:tcW w:type="dxa" w:w="4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8</w:t>
            </w:r>
          </w:p>
        </w:tc>
        <w:tc>
          <w:tcPr>
            <w:tcW w:type="dxa" w:w="75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3-miss withdrawal and auto-recover logic</w:t>
            </w:r>
          </w:p>
          <w:p>
            <w:pPr>
              <w:spacing w:after="40"/>
            </w:pPr>
            <w:r>
              <w:rPr>
                <w:rFonts w:ascii="Arial" w:cs="Arial" w:eastAsia="Arial" w:hAnsi="Arial"/>
                <w:color w:val="6B7280"/>
                <w:sz w:val="18"/>
                <w:szCs w:val="18"/>
              </w:rPr>
              <w:t xml:space="preserve">Increment a misses counter for listings absent from a scrape batch; set withdrawn_at at 3, clear on re-sight.</w:t>
            </w:r>
          </w:p>
        </w:tc>
        <w:tc>
          <w:tcPr>
            <w:tcW w:type="dxa" w:w="108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color w:val="0F766E"/>
              </w:rPr>
              <w:t xml:space="preserve">Medium</w:t>
            </w:r>
          </w:p>
        </w:tc>
      </w:tr>
    </w:tbl>
    <w:p>
      <w:pPr>
        <w:pStyle w:val="Heading3"/>
        <w:spacing w:after="120" w:before="240"/>
      </w:pPr>
      <w:r>
        <w:rPr>
          <w:rFonts w:ascii="Arial" w:cs="Arial" w:eastAsia="Arial" w:hAnsi="Arial"/>
          <w:b/>
          <w:bCs/>
        </w:rPr>
        <w:t xml:space="preserve">3.2 MEDIUM priority — functional gaps</w:t>
      </w:r>
    </w:p>
    <w:p>
      <w:pPr>
        <w:spacing w:after="80"/>
      </w:pPr>
      <w:r>
        <w:rPr>
          <w:rFonts w:ascii="Arial" w:cs="Arial" w:eastAsia="Arial" w:hAnsi="Arial"/>
          <w:i/>
          <w:iCs/>
          <w:color w:val="6B7280"/>
          <w:sz w:val="20"/>
          <w:szCs w:val="20"/>
        </w:rPr>
        <w:t xml:space="preserve">Estimated 1 – 1.5 dev days for the full block.</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4"/>
        <w:gridCol w:w="7529"/>
        <w:gridCol w:w="1089"/>
      </w:tblGrid>
      <w:tr>
        <w:trPr>
          <w:tblHeader/>
        </w:trPr>
        <w:tc>
          <w:tcPr>
            <w:tcW w:type="dxa" w:w="454"/>
            <w:tcBorders>
              <w:top w:val="single" w:color="CCCCCC" w:sz="4"/>
              <w:left w:val="single" w:color="CCCCCC" w:sz="4"/>
              <w:bottom w:val="single" w:color="CCCCCC" w:sz="4"/>
              <w:right w:val="single" w:color="CCCCCC" w:sz="4"/>
            </w:tcBorders>
            <w:shd w:fill="B45309" w:val="clear"/>
            <w:tcMar>
              <w:top w:type="dxa" w:w="80"/>
              <w:left w:type="dxa" w:w="120"/>
              <w:bottom w:type="dxa" w:w="80"/>
              <w:right w:type="dxa" w:w="120"/>
            </w:tcMar>
          </w:tcPr>
          <w:p>
            <w:pPr>
              <w:spacing w:after="40"/>
            </w:pPr>
            <w:r>
              <w:rPr>
                <w:rFonts w:ascii="Arial" w:cs="Arial" w:eastAsia="Arial" w:hAnsi="Arial"/>
                <w:b/>
                <w:bCs/>
                <w:color w:val="FFFFFF"/>
              </w:rPr>
              <w:t xml:space="preserve">#</w:t>
            </w:r>
          </w:p>
        </w:tc>
        <w:tc>
          <w:tcPr>
            <w:tcW w:type="dxa" w:w="7529"/>
            <w:tcBorders>
              <w:top w:val="single" w:color="CCCCCC" w:sz="4"/>
              <w:left w:val="single" w:color="CCCCCC" w:sz="4"/>
              <w:bottom w:val="single" w:color="CCCCCC" w:sz="4"/>
              <w:right w:val="single" w:color="CCCCCC" w:sz="4"/>
            </w:tcBorders>
            <w:shd w:fill="B45309" w:val="clear"/>
            <w:tcMar>
              <w:top w:type="dxa" w:w="80"/>
              <w:left w:type="dxa" w:w="120"/>
              <w:bottom w:type="dxa" w:w="80"/>
              <w:right w:type="dxa" w:w="120"/>
            </w:tcMar>
          </w:tcPr>
          <w:p>
            <w:pPr>
              <w:spacing w:after="40"/>
            </w:pPr>
            <w:r>
              <w:rPr>
                <w:rFonts w:ascii="Arial" w:cs="Arial" w:eastAsia="Arial" w:hAnsi="Arial"/>
                <w:b/>
                <w:bCs/>
                <w:color w:val="FFFFFF"/>
              </w:rPr>
              <w:t xml:space="preserve">Item</w:t>
            </w:r>
          </w:p>
        </w:tc>
        <w:tc>
          <w:tcPr>
            <w:tcW w:type="dxa" w:w="1089"/>
            <w:tcBorders>
              <w:top w:val="single" w:color="CCCCCC" w:sz="4"/>
              <w:left w:val="single" w:color="CCCCCC" w:sz="4"/>
              <w:bottom w:val="single" w:color="CCCCCC" w:sz="4"/>
              <w:right w:val="single" w:color="CCCCCC" w:sz="4"/>
            </w:tcBorders>
            <w:shd w:fill="B45309" w:val="clear"/>
            <w:tcMar>
              <w:top w:type="dxa" w:w="80"/>
              <w:left w:type="dxa" w:w="120"/>
              <w:bottom w:type="dxa" w:w="80"/>
              <w:right w:type="dxa" w:w="120"/>
            </w:tcMar>
          </w:tcPr>
          <w:p>
            <w:pPr>
              <w:spacing w:after="40"/>
            </w:pPr>
            <w:r>
              <w:rPr>
                <w:rFonts w:ascii="Arial" w:cs="Arial" w:eastAsia="Arial" w:hAnsi="Arial"/>
                <w:b/>
                <w:bCs/>
                <w:color w:val="FFFFFF"/>
              </w:rPr>
              <w:t xml:space="preserve">Effort</w:t>
            </w:r>
          </w:p>
        </w:tc>
      </w:tr>
      <w:tr>
        <w:tc>
          <w:tcPr>
            <w:tcW w:type="dxa" w:w="4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1</w:t>
            </w:r>
          </w:p>
        </w:tc>
        <w:tc>
          <w:tcPr>
            <w:tcW w:type="dxa" w:w="75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Zod schema validation on /api/subscribe and /api/leads</w:t>
            </w:r>
          </w:p>
          <w:p>
            <w:pPr>
              <w:spacing w:after="40"/>
            </w:pPr>
            <w:r>
              <w:rPr>
                <w:rFonts w:ascii="Arial" w:cs="Arial" w:eastAsia="Arial" w:hAnsi="Arial"/>
                <w:color w:val="6B7280"/>
                <w:sz w:val="18"/>
                <w:szCs w:val="18"/>
              </w:rPr>
              <w:t xml:space="preserve">Schema-bound parsing replaces ad-hoc checks; adds shared types.</w:t>
            </w:r>
          </w:p>
        </w:tc>
        <w:tc>
          <w:tcPr>
            <w:tcW w:type="dxa" w:w="108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color w:val="0F766E"/>
              </w:rPr>
              <w:t xml:space="preserve">Small</w:t>
            </w:r>
          </w:p>
        </w:tc>
      </w:tr>
      <w:tr>
        <w:tc>
          <w:tcPr>
            <w:tcW w:type="dxa" w:w="4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2</w:t>
            </w:r>
          </w:p>
        </w:tc>
        <w:tc>
          <w:tcPr>
            <w:tcW w:type="dxa" w:w="75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Twilio inbound webhook for STOP keyword unsubscribe</w:t>
            </w:r>
          </w:p>
          <w:p>
            <w:pPr>
              <w:spacing w:after="40"/>
            </w:pPr>
            <w:r>
              <w:rPr>
                <w:rFonts w:ascii="Arial" w:cs="Arial" w:eastAsia="Arial" w:hAnsi="Arial"/>
                <w:color w:val="6B7280"/>
                <w:sz w:val="18"/>
                <w:szCs w:val="18"/>
              </w:rPr>
              <w:t xml:space="preserve">New route at /api/twilio/inbound that recognises STOP and flips subscriber status.</w:t>
            </w:r>
          </w:p>
        </w:tc>
        <w:tc>
          <w:tcPr>
            <w:tcW w:type="dxa" w:w="108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color w:val="0F766E"/>
              </w:rPr>
              <w:t xml:space="preserve">Small</w:t>
            </w:r>
          </w:p>
        </w:tc>
      </w:tr>
      <w:tr>
        <w:tc>
          <w:tcPr>
            <w:tcW w:type="dxa" w:w="4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3</w:t>
            </w:r>
          </w:p>
        </w:tc>
        <w:tc>
          <w:tcPr>
            <w:tcW w:type="dxa" w:w="75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Resend transactional email integration</w:t>
            </w:r>
          </w:p>
          <w:p>
            <w:pPr>
              <w:spacing w:after="40"/>
            </w:pPr>
            <w:r>
              <w:rPr>
                <w:rFonts w:ascii="Arial" w:cs="Arial" w:eastAsia="Arial" w:hAnsi="Arial"/>
                <w:color w:val="6B7280"/>
                <w:sz w:val="18"/>
                <w:szCs w:val="18"/>
              </w:rPr>
              <w:t xml:space="preserve">Email channel for subscribe opt-in confirmations and admin magic links.</w:t>
            </w:r>
          </w:p>
        </w:tc>
        <w:tc>
          <w:tcPr>
            <w:tcW w:type="dxa" w:w="108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color w:val="0F766E"/>
              </w:rPr>
              <w:t xml:space="preserve">Medium</w:t>
            </w:r>
          </w:p>
        </w:tc>
      </w:tr>
      <w:tr>
        <w:tc>
          <w:tcPr>
            <w:tcW w:type="dxa" w:w="4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4</w:t>
            </w:r>
          </w:p>
        </w:tc>
        <w:tc>
          <w:tcPr>
            <w:tcW w:type="dxa" w:w="75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Lead notification retry x3 with exponential backoff</w:t>
            </w:r>
          </w:p>
          <w:p>
            <w:pPr>
              <w:spacing w:after="40"/>
            </w:pPr>
            <w:r>
              <w:rPr>
                <w:rFonts w:ascii="Arial" w:cs="Arial" w:eastAsia="Arial" w:hAnsi="Arial"/>
                <w:color w:val="6B7280"/>
                <w:sz w:val="18"/>
                <w:szCs w:val="18"/>
              </w:rPr>
              <w:t xml:space="preserve">Vendor failure resilience for Twilio + Telegram sends.</w:t>
            </w:r>
          </w:p>
        </w:tc>
        <w:tc>
          <w:tcPr>
            <w:tcW w:type="dxa" w:w="108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color w:val="0F766E"/>
              </w:rPr>
              <w:t xml:space="preserve">Small</w:t>
            </w:r>
          </w:p>
        </w:tc>
      </w:tr>
      <w:tr>
        <w:tc>
          <w:tcPr>
            <w:tcW w:type="dxa" w:w="4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5</w:t>
            </w:r>
          </w:p>
        </w:tc>
        <w:tc>
          <w:tcPr>
            <w:tcW w:type="dxa" w:w="75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Alert caption truncation enforcement</w:t>
            </w:r>
          </w:p>
          <w:p>
            <w:pPr>
              <w:spacing w:after="40"/>
            </w:pPr>
            <w:r>
              <w:rPr>
                <w:rFonts w:ascii="Arial" w:cs="Arial" w:eastAsia="Arial" w:hAnsi="Arial"/>
                <w:color w:val="6B7280"/>
                <w:sz w:val="18"/>
                <w:szCs w:val="18"/>
              </w:rPr>
              <w:t xml:space="preserve">Keep WhatsApp + Telegram captions under 1024 chars, trim area name first.</w:t>
            </w:r>
          </w:p>
        </w:tc>
        <w:tc>
          <w:tcPr>
            <w:tcW w:type="dxa" w:w="108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color w:val="0F766E"/>
              </w:rPr>
              <w:t xml:space="preserve">Small</w:t>
            </w:r>
          </w:p>
        </w:tc>
      </w:tr>
      <w:tr>
        <w:tc>
          <w:tcPr>
            <w:tcW w:type="dxa" w:w="4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6</w:t>
            </w:r>
          </w:p>
        </w:tc>
        <w:tc>
          <w:tcPr>
            <w:tcW w:type="dxa" w:w="75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Snapshot test for canonical alert format</w:t>
            </w:r>
          </w:p>
          <w:p>
            <w:pPr>
              <w:spacing w:after="40"/>
            </w:pPr>
            <w:r>
              <w:rPr>
                <w:rFonts w:ascii="Arial" w:cs="Arial" w:eastAsia="Arial" w:hAnsi="Arial"/>
                <w:color w:val="6B7280"/>
                <w:sz w:val="18"/>
                <w:szCs w:val="18"/>
              </w:rPr>
              <w:t xml:space="preserve">Locks the broker-canonical template against accidental drift.</w:t>
            </w:r>
          </w:p>
        </w:tc>
        <w:tc>
          <w:tcPr>
            <w:tcW w:type="dxa" w:w="108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color w:val="0F766E"/>
              </w:rPr>
              <w:t xml:space="preserve">Small</w:t>
            </w:r>
          </w:p>
        </w:tc>
      </w:tr>
      <w:tr>
        <w:tc>
          <w:tcPr>
            <w:tcW w:type="dxa" w:w="4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7</w:t>
            </w:r>
          </w:p>
        </w:tc>
        <w:tc>
          <w:tcPr>
            <w:tcW w:type="dxa" w:w="75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Integration tests for ingest, dispatch, OG, leads</w:t>
            </w:r>
          </w:p>
          <w:p>
            <w:pPr>
              <w:spacing w:after="40"/>
            </w:pPr>
            <w:r>
              <w:rPr>
                <w:rFonts w:ascii="Arial" w:cs="Arial" w:eastAsia="Arial" w:hAnsi="Arial"/>
                <w:color w:val="6B7280"/>
                <w:sz w:val="18"/>
                <w:szCs w:val="18"/>
              </w:rPr>
              <w:t xml:space="preserve">Round-trip HTTP tests against the deployed routes with mocked vendors.</w:t>
            </w:r>
          </w:p>
        </w:tc>
        <w:tc>
          <w:tcPr>
            <w:tcW w:type="dxa" w:w="108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color w:val="0F766E"/>
              </w:rPr>
              <w:t xml:space="preserve">Small each</w:t>
            </w:r>
          </w:p>
        </w:tc>
      </w:tr>
      <w:tr>
        <w:tc>
          <w:tcPr>
            <w:tcW w:type="dxa" w:w="4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8</w:t>
            </w:r>
          </w:p>
        </w:tc>
        <w:tc>
          <w:tcPr>
            <w:tcW w:type="dxa" w:w="75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OG text-only fallback when zero source images</w:t>
            </w:r>
          </w:p>
          <w:p>
            <w:pPr>
              <w:spacing w:after="40"/>
            </w:pPr>
            <w:r>
              <w:rPr>
                <w:rFonts w:ascii="Arial" w:cs="Arial" w:eastAsia="Arial" w:hAnsi="Arial"/>
                <w:color w:val="6B7280"/>
                <w:sz w:val="18"/>
                <w:szCs w:val="18"/>
              </w:rPr>
              <w:t xml:space="preserve">Fall back to brand card if image fetch fails entirely.</w:t>
            </w:r>
          </w:p>
        </w:tc>
        <w:tc>
          <w:tcPr>
            <w:tcW w:type="dxa" w:w="108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color w:val="0F766E"/>
              </w:rPr>
              <w:t xml:space="preserve">Small</w:t>
            </w:r>
          </w:p>
        </w:tc>
      </w:tr>
      <w:tr>
        <w:tc>
          <w:tcPr>
            <w:tcW w:type="dxa" w:w="4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9</w:t>
            </w:r>
          </w:p>
        </w:tc>
        <w:tc>
          <w:tcPr>
            <w:tcW w:type="dxa" w:w="75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View Transitions API for navigation</w:t>
            </w:r>
          </w:p>
          <w:p>
            <w:pPr>
              <w:spacing w:after="40"/>
            </w:pPr>
            <w:r>
              <w:rPr>
                <w:rFonts w:ascii="Arial" w:cs="Arial" w:eastAsia="Arial" w:hAnsi="Arial"/>
                <w:color w:val="6B7280"/>
                <w:sz w:val="18"/>
                <w:szCs w:val="18"/>
              </w:rPr>
              <w:t xml:space="preserve">Cross-fade between listings table and lead modal for a more native feel.</w:t>
            </w:r>
          </w:p>
        </w:tc>
        <w:tc>
          <w:tcPr>
            <w:tcW w:type="dxa" w:w="108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color w:val="0F766E"/>
              </w:rPr>
              <w:t xml:space="preserve">Small</w:t>
            </w:r>
          </w:p>
        </w:tc>
      </w:tr>
    </w:tbl>
    <w:p>
      <w:pPr>
        <w:pStyle w:val="Heading3"/>
        <w:spacing w:after="120" w:before="240"/>
      </w:pPr>
      <w:r>
        <w:rPr>
          <w:rFonts w:ascii="Arial" w:cs="Arial" w:eastAsia="Arial" w:hAnsi="Arial"/>
          <w:b/>
          <w:bCs/>
        </w:rPr>
        <w:t xml:space="preserve">3.3 LOW priority — nice-to-have</w:t>
      </w:r>
    </w:p>
    <w:p>
      <w:pPr>
        <w:spacing w:after="80"/>
      </w:pPr>
      <w:r>
        <w:rPr>
          <w:rFonts w:ascii="Arial" w:cs="Arial" w:eastAsia="Arial" w:hAnsi="Arial"/>
          <w:i/>
          <w:iCs/>
          <w:color w:val="6B7280"/>
          <w:sz w:val="20"/>
          <w:szCs w:val="20"/>
        </w:rPr>
        <w:t xml:space="preserve">Estimated 0.5 – 1 dev day for the full block.</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4"/>
        <w:gridCol w:w="7529"/>
        <w:gridCol w:w="1089"/>
      </w:tblGrid>
      <w:tr>
        <w:trPr>
          <w:tblHeader/>
        </w:trPr>
        <w:tc>
          <w:tcPr>
            <w:tcW w:type="dxa" w:w="454"/>
            <w:tcBorders>
              <w:top w:val="single" w:color="CCCCCC" w:sz="4"/>
              <w:left w:val="single" w:color="CCCCCC" w:sz="4"/>
              <w:bottom w:val="single" w:color="CCCCCC" w:sz="4"/>
              <w:right w:val="single" w:color="CCCCCC" w:sz="4"/>
            </w:tcBorders>
            <w:shd w:fill="0F766E" w:val="clear"/>
            <w:tcMar>
              <w:top w:type="dxa" w:w="80"/>
              <w:left w:type="dxa" w:w="120"/>
              <w:bottom w:type="dxa" w:w="80"/>
              <w:right w:type="dxa" w:w="120"/>
            </w:tcMar>
          </w:tcPr>
          <w:p>
            <w:pPr>
              <w:spacing w:after="40"/>
            </w:pPr>
            <w:r>
              <w:rPr>
                <w:rFonts w:ascii="Arial" w:cs="Arial" w:eastAsia="Arial" w:hAnsi="Arial"/>
                <w:b/>
                <w:bCs/>
                <w:color w:val="FFFFFF"/>
              </w:rPr>
              <w:t xml:space="preserve">#</w:t>
            </w:r>
          </w:p>
        </w:tc>
        <w:tc>
          <w:tcPr>
            <w:tcW w:type="dxa" w:w="7529"/>
            <w:tcBorders>
              <w:top w:val="single" w:color="CCCCCC" w:sz="4"/>
              <w:left w:val="single" w:color="CCCCCC" w:sz="4"/>
              <w:bottom w:val="single" w:color="CCCCCC" w:sz="4"/>
              <w:right w:val="single" w:color="CCCCCC" w:sz="4"/>
            </w:tcBorders>
            <w:shd w:fill="0F766E" w:val="clear"/>
            <w:tcMar>
              <w:top w:type="dxa" w:w="80"/>
              <w:left w:type="dxa" w:w="120"/>
              <w:bottom w:type="dxa" w:w="80"/>
              <w:right w:type="dxa" w:w="120"/>
            </w:tcMar>
          </w:tcPr>
          <w:p>
            <w:pPr>
              <w:spacing w:after="40"/>
            </w:pPr>
            <w:r>
              <w:rPr>
                <w:rFonts w:ascii="Arial" w:cs="Arial" w:eastAsia="Arial" w:hAnsi="Arial"/>
                <w:b/>
                <w:bCs/>
                <w:color w:val="FFFFFF"/>
              </w:rPr>
              <w:t xml:space="preserve">Item</w:t>
            </w:r>
          </w:p>
        </w:tc>
        <w:tc>
          <w:tcPr>
            <w:tcW w:type="dxa" w:w="1089"/>
            <w:tcBorders>
              <w:top w:val="single" w:color="CCCCCC" w:sz="4"/>
              <w:left w:val="single" w:color="CCCCCC" w:sz="4"/>
              <w:bottom w:val="single" w:color="CCCCCC" w:sz="4"/>
              <w:right w:val="single" w:color="CCCCCC" w:sz="4"/>
            </w:tcBorders>
            <w:shd w:fill="0F766E" w:val="clear"/>
            <w:tcMar>
              <w:top w:type="dxa" w:w="80"/>
              <w:left w:type="dxa" w:w="120"/>
              <w:bottom w:type="dxa" w:w="80"/>
              <w:right w:type="dxa" w:w="120"/>
            </w:tcMar>
          </w:tcPr>
          <w:p>
            <w:pPr>
              <w:spacing w:after="40"/>
            </w:pPr>
            <w:r>
              <w:rPr>
                <w:rFonts w:ascii="Arial" w:cs="Arial" w:eastAsia="Arial" w:hAnsi="Arial"/>
                <w:b/>
                <w:bCs/>
                <w:color w:val="FFFFFF"/>
              </w:rPr>
              <w:t xml:space="preserve">Effort</w:t>
            </w:r>
          </w:p>
        </w:tc>
      </w:tr>
      <w:tr>
        <w:tc>
          <w:tcPr>
            <w:tcW w:type="dxa" w:w="4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1</w:t>
            </w:r>
          </w:p>
        </w:tc>
        <w:tc>
          <w:tcPr>
            <w:tcW w:type="dxa" w:w="75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Quiet hours alert digest</w:t>
            </w:r>
          </w:p>
          <w:p>
            <w:pPr>
              <w:spacing w:after="40"/>
            </w:pPr>
            <w:r>
              <w:rPr>
                <w:rFonts w:ascii="Arial" w:cs="Arial" w:eastAsia="Arial" w:hAnsi="Arial"/>
                <w:color w:val="6B7280"/>
                <w:sz w:val="18"/>
                <w:szCs w:val="18"/>
              </w:rPr>
              <w:t xml:space="preserve">Batch night-time alerts into a morning digest message.</w:t>
            </w:r>
          </w:p>
        </w:tc>
        <w:tc>
          <w:tcPr>
            <w:tcW w:type="dxa" w:w="108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color w:val="0F766E"/>
              </w:rPr>
              <w:t xml:space="preserve">Medium</w:t>
            </w:r>
          </w:p>
        </w:tc>
      </w:tr>
      <w:tr>
        <w:tc>
          <w:tcPr>
            <w:tcW w:type="dxa" w:w="4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2</w:t>
            </w:r>
          </w:p>
        </w:tc>
        <w:tc>
          <w:tcPr>
            <w:tcW w:type="dxa" w:w="75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Telegram bundling for 3+ alerts in a 10-minute window</w:t>
            </w:r>
          </w:p>
          <w:p>
            <w:pPr>
              <w:spacing w:after="40"/>
            </w:pPr>
            <w:r>
              <w:rPr>
                <w:rFonts w:ascii="Arial" w:cs="Arial" w:eastAsia="Arial" w:hAnsi="Arial"/>
                <w:color w:val="6B7280"/>
                <w:sz w:val="18"/>
                <w:szCs w:val="18"/>
              </w:rPr>
              <w:t xml:space="preserve">Send a single album rather than several separate posts.</w:t>
            </w:r>
          </w:p>
        </w:tc>
        <w:tc>
          <w:tcPr>
            <w:tcW w:type="dxa" w:w="108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color w:val="0F766E"/>
              </w:rPr>
              <w:t xml:space="preserve">Medium</w:t>
            </w:r>
          </w:p>
        </w:tc>
      </w:tr>
      <w:tr>
        <w:tc>
          <w:tcPr>
            <w:tcW w:type="dxa" w:w="4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3</w:t>
            </w:r>
          </w:p>
        </w:tc>
        <w:tc>
          <w:tcPr>
            <w:tcW w:type="dxa" w:w="75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Image purge job 30 days post-withdrawal</w:t>
            </w:r>
          </w:p>
          <w:p>
            <w:pPr>
              <w:spacing w:after="40"/>
            </w:pPr>
            <w:r>
              <w:rPr>
                <w:rFonts w:ascii="Arial" w:cs="Arial" w:eastAsia="Arial" w:hAnsi="Arial"/>
                <w:color w:val="6B7280"/>
                <w:sz w:val="18"/>
                <w:szCs w:val="18"/>
              </w:rPr>
              <w:t xml:space="preserve">Remove Blob objects for listings that stayed withdrawn for a month.</w:t>
            </w:r>
          </w:p>
        </w:tc>
        <w:tc>
          <w:tcPr>
            <w:tcW w:type="dxa" w:w="108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color w:val="0F766E"/>
              </w:rPr>
              <w:t xml:space="preserve">Small</w:t>
            </w:r>
          </w:p>
        </w:tc>
      </w:tr>
      <w:tr>
        <w:tc>
          <w:tcPr>
            <w:tcW w:type="dxa" w:w="4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4</w:t>
            </w:r>
          </w:p>
        </w:tc>
        <w:tc>
          <w:tcPr>
            <w:tcW w:type="dxa" w:w="75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Scraper retry x3 backoff</w:t>
            </w:r>
          </w:p>
          <w:p>
            <w:pPr>
              <w:spacing w:after="40"/>
            </w:pPr>
            <w:r>
              <w:rPr>
                <w:rFonts w:ascii="Arial" w:cs="Arial" w:eastAsia="Arial" w:hAnsi="Arial"/>
                <w:color w:val="6B7280"/>
                <w:sz w:val="18"/>
                <w:szCs w:val="18"/>
              </w:rPr>
              <w:t xml:space="preserve">Apify task configuration change, not in this repo.</w:t>
            </w:r>
          </w:p>
        </w:tc>
        <w:tc>
          <w:tcPr>
            <w:tcW w:type="dxa" w:w="108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color w:val="0F766E"/>
              </w:rPr>
              <w:t xml:space="preserve">Small</w:t>
            </w:r>
          </w:p>
        </w:tc>
      </w:tr>
      <w:tr>
        <w:tc>
          <w:tcPr>
            <w:tcW w:type="dxa" w:w="4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5</w:t>
            </w:r>
          </w:p>
        </w:tc>
        <w:tc>
          <w:tcPr>
            <w:tcW w:type="dxa" w:w="75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Low-yield scrape alert</w:t>
            </w:r>
          </w:p>
          <w:p>
            <w:pPr>
              <w:spacing w:after="40"/>
            </w:pPr>
            <w:r>
              <w:rPr>
                <w:rFonts w:ascii="Arial" w:cs="Arial" w:eastAsia="Arial" w:hAnsi="Arial"/>
                <w:color w:val="6B7280"/>
                <w:sz w:val="18"/>
                <w:szCs w:val="18"/>
              </w:rPr>
              <w:t xml:space="preserve">Telegram ping if a scrape run returns fewer than N items.</w:t>
            </w:r>
          </w:p>
        </w:tc>
        <w:tc>
          <w:tcPr>
            <w:tcW w:type="dxa" w:w="108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color w:val="0F766E"/>
              </w:rPr>
              <w:t xml:space="preserve">Small</w:t>
            </w:r>
          </w:p>
        </w:tc>
      </w:tr>
      <w:tr>
        <w:tc>
          <w:tcPr>
            <w:tcW w:type="dxa" w:w="4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6</w:t>
            </w:r>
          </w:p>
        </w:tc>
        <w:tc>
          <w:tcPr>
            <w:tcW w:type="dxa" w:w="75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i18n strings extraction</w:t>
            </w:r>
          </w:p>
          <w:p>
            <w:pPr>
              <w:spacing w:after="40"/>
            </w:pPr>
            <w:r>
              <w:rPr>
                <w:rFonts w:ascii="Arial" w:cs="Arial" w:eastAsia="Arial" w:hAnsi="Arial"/>
                <w:color w:val="6B7280"/>
                <w:sz w:val="18"/>
                <w:szCs w:val="18"/>
              </w:rPr>
              <w:t xml:space="preserve">Move inline copy to locales/en.json; sets up Arabic localisation later.</w:t>
            </w:r>
          </w:p>
        </w:tc>
        <w:tc>
          <w:tcPr>
            <w:tcW w:type="dxa" w:w="108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color w:val="0F766E"/>
              </w:rPr>
              <w:t xml:space="preserve">Medium</w:t>
            </w:r>
          </w:p>
        </w:tc>
      </w:tr>
      <w:tr>
        <w:tc>
          <w:tcPr>
            <w:tcW w:type="dxa" w:w="4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7</w:t>
            </w:r>
          </w:p>
        </w:tc>
        <w:tc>
          <w:tcPr>
            <w:tcW w:type="dxa" w:w="75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RTL readiness audit</w:t>
            </w:r>
          </w:p>
          <w:p>
            <w:pPr>
              <w:spacing w:after="40"/>
            </w:pPr>
            <w:r>
              <w:rPr>
                <w:rFonts w:ascii="Arial" w:cs="Arial" w:eastAsia="Arial" w:hAnsi="Arial"/>
                <w:color w:val="6B7280"/>
                <w:sz w:val="18"/>
                <w:szCs w:val="18"/>
              </w:rPr>
              <w:t xml:space="preserve">Confirm Tailwind logical-property usage across all components.</w:t>
            </w:r>
          </w:p>
        </w:tc>
        <w:tc>
          <w:tcPr>
            <w:tcW w:type="dxa" w:w="108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color w:val="0F766E"/>
              </w:rPr>
              <w:t xml:space="preserve">Small</w:t>
            </w:r>
          </w:p>
        </w:tc>
      </w:tr>
      <w:tr>
        <w:tc>
          <w:tcPr>
            <w:tcW w:type="dxa" w:w="4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8</w:t>
            </w:r>
          </w:p>
        </w:tc>
        <w:tc>
          <w:tcPr>
            <w:tcW w:type="dxa" w:w="75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404 and unsubscribe page E2E tests</w:t>
            </w:r>
          </w:p>
          <w:p>
            <w:pPr>
              <w:spacing w:after="40"/>
            </w:pPr>
            <w:r>
              <w:rPr>
                <w:rFonts w:ascii="Arial" w:cs="Arial" w:eastAsia="Arial" w:hAnsi="Arial"/>
                <w:color w:val="6B7280"/>
                <w:sz w:val="18"/>
                <w:szCs w:val="18"/>
              </w:rPr>
              <w:t xml:space="preserve">Playwright coverage for the edge-of-app surfaces.</w:t>
            </w:r>
          </w:p>
        </w:tc>
        <w:tc>
          <w:tcPr>
            <w:tcW w:type="dxa" w:w="108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color w:val="0F766E"/>
              </w:rPr>
              <w:t xml:space="preserve">Small</w:t>
            </w:r>
          </w:p>
        </w:tc>
      </w:tr>
      <w:tr>
        <w:tc>
          <w:tcPr>
            <w:tcW w:type="dxa" w:w="4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9</w:t>
            </w:r>
          </w:p>
        </w:tc>
        <w:tc>
          <w:tcPr>
            <w:tcW w:type="dxa" w:w="75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Takedown runbook</w:t>
            </w:r>
          </w:p>
          <w:p>
            <w:pPr>
              <w:spacing w:after="40"/>
            </w:pPr>
            <w:r>
              <w:rPr>
                <w:rFonts w:ascii="Arial" w:cs="Arial" w:eastAsia="Arial" w:hAnsi="Arial"/>
                <w:color w:val="6B7280"/>
                <w:sz w:val="18"/>
                <w:szCs w:val="18"/>
              </w:rPr>
              <w:t xml:space="preserve">Markdown SOP for responding to PropertyFinder DMCA / takedown notices.</w:t>
            </w:r>
          </w:p>
        </w:tc>
        <w:tc>
          <w:tcPr>
            <w:tcW w:type="dxa" w:w="108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color w:val="0F766E"/>
              </w:rPr>
              <w:t xml:space="preserve">Small</w:t>
            </w:r>
          </w:p>
        </w:tc>
      </w:tr>
      <w:tr>
        <w:tc>
          <w:tcPr>
            <w:tcW w:type="dxa" w:w="45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10</w:t>
            </w:r>
          </w:p>
        </w:tc>
        <w:tc>
          <w:tcPr>
            <w:tcW w:type="dxa" w:w="752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Cost report script</w:t>
            </w:r>
          </w:p>
          <w:p>
            <w:pPr>
              <w:spacing w:after="40"/>
            </w:pPr>
            <w:r>
              <w:rPr>
                <w:rFonts w:ascii="Arial" w:cs="Arial" w:eastAsia="Arial" w:hAnsi="Arial"/>
                <w:color w:val="6B7280"/>
                <w:sz w:val="18"/>
                <w:szCs w:val="18"/>
              </w:rPr>
              <w:t xml:space="preserve">Monthly aggregator across Apify, Vercel, Neon, Blob, KV.</w:t>
            </w:r>
          </w:p>
        </w:tc>
        <w:tc>
          <w:tcPr>
            <w:tcW w:type="dxa" w:w="108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color w:val="0F766E"/>
              </w:rPr>
              <w:t xml:space="preserve">Medium</w:t>
            </w:r>
          </w:p>
        </w:tc>
      </w:tr>
    </w:tbl>
    <w:p>
      <w:pPr>
        <w:pStyle w:val="Heading1"/>
        <w:spacing w:after="120" w:before="240"/>
      </w:pPr>
      <w:r>
        <w:rPr>
          <w:rFonts w:ascii="Arial" w:cs="Arial" w:eastAsia="Arial" w:hAnsi="Arial"/>
          <w:b/>
          <w:bCs/>
        </w:rPr>
        <w:t xml:space="preserve">4. Blocked by external dependencies — not engineering work</w:t>
      </w:r>
    </w:p>
    <w:p>
      <w:pPr>
        <w:spacing w:after="80"/>
      </w:pPr>
      <w:r>
        <w:rPr>
          <w:rFonts w:ascii="Arial" w:cs="Arial" w:eastAsia="Arial" w:hAnsi="Arial"/>
        </w:rPr>
        <w:t xml:space="preserve">These items are surfaced for visibility. None of them need code changes — they are account, vendor, or legal actions that sit outside the engineering scope.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03"/>
        <w:gridCol w:w="6169"/>
      </w:tblGrid>
      <w:tr>
        <w:trPr>
          <w:tblHeader/>
        </w:trPr>
        <w:tc>
          <w:tcPr>
            <w:tcW w:type="dxa" w:w="2903"/>
            <w:tcBorders>
              <w:top w:val="single" w:color="CCCCCC" w:sz="4"/>
              <w:left w:val="single" w:color="CCCCCC" w:sz="4"/>
              <w:bottom w:val="single" w:color="CCCCCC" w:sz="4"/>
              <w:right w:val="single" w:color="CCCCCC" w:sz="4"/>
            </w:tcBorders>
            <w:shd w:fill="0F766E" w:val="clear"/>
            <w:tcMar>
              <w:top w:type="dxa" w:w="80"/>
              <w:left w:type="dxa" w:w="120"/>
              <w:bottom w:type="dxa" w:w="80"/>
              <w:right w:type="dxa" w:w="120"/>
            </w:tcMar>
          </w:tcPr>
          <w:p>
            <w:pPr>
              <w:spacing w:after="40"/>
            </w:pPr>
            <w:r>
              <w:rPr>
                <w:rFonts w:ascii="Arial" w:cs="Arial" w:eastAsia="Arial" w:hAnsi="Arial"/>
                <w:b/>
                <w:bCs/>
                <w:color w:val="FFFFFF"/>
              </w:rPr>
              <w:t xml:space="preserve">Item</w:t>
            </w:r>
          </w:p>
        </w:tc>
        <w:tc>
          <w:tcPr>
            <w:tcW w:type="dxa" w:w="6169"/>
            <w:tcBorders>
              <w:top w:val="single" w:color="CCCCCC" w:sz="4"/>
              <w:left w:val="single" w:color="CCCCCC" w:sz="4"/>
              <w:bottom w:val="single" w:color="CCCCCC" w:sz="4"/>
              <w:right w:val="single" w:color="CCCCCC" w:sz="4"/>
            </w:tcBorders>
            <w:shd w:fill="0F766E" w:val="clear"/>
            <w:tcMar>
              <w:top w:type="dxa" w:w="80"/>
              <w:left w:type="dxa" w:w="120"/>
              <w:bottom w:type="dxa" w:w="80"/>
              <w:right w:type="dxa" w:w="120"/>
            </w:tcMar>
          </w:tcPr>
          <w:p>
            <w:pPr>
              <w:spacing w:after="40"/>
            </w:pPr>
            <w:r>
              <w:rPr>
                <w:rFonts w:ascii="Arial" w:cs="Arial" w:eastAsia="Arial" w:hAnsi="Arial"/>
                <w:b/>
                <w:bCs/>
                <w:color w:val="FFFFFF"/>
              </w:rPr>
              <w:t xml:space="preserve">Notes</w:t>
            </w:r>
          </w:p>
        </w:tc>
      </w:tr>
      <w:tr>
        <w:tc>
          <w:tcPr>
            <w:tcW w:type="dxa" w:w="290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RERA broker registration</w:t>
            </w:r>
          </w:p>
        </w:tc>
        <w:tc>
          <w:tcPr>
            <w:tcW w:type="dxa" w:w="616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rPr>
              <w:t xml:space="preserve">Launch-blocker per spec §7.1. Rami / Emerge Digital (legal).</w:t>
            </w:r>
          </w:p>
        </w:tc>
      </w:tr>
      <w:tr>
        <w:tc>
          <w:tcPr>
            <w:tcW w:type="dxa" w:w="290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Twilio WhatsApp template approval</w:t>
            </w:r>
          </w:p>
        </w:tc>
        <w:tc>
          <w:tcPr>
            <w:tcW w:type="dxa" w:w="616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rPr>
              <w:t xml:space="preserve">Submit TPL_BELOWOP_LISTING and TPL_BELOWOP_PRICEDROP. Meta SLA 24–48 hours after submission.</w:t>
            </w:r>
          </w:p>
        </w:tc>
      </w:tr>
      <w:tr>
        <w:tc>
          <w:tcPr>
            <w:tcW w:type="dxa" w:w="290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Vercel Pro upgrade</w:t>
            </w:r>
          </w:p>
        </w:tc>
        <w:tc>
          <w:tcPr>
            <w:tcW w:type="dxa" w:w="616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rPr>
              <w:t xml:space="preserve">Required for sub-hourly cron cadence. Hobby tier limits crons to daily.</w:t>
            </w:r>
          </w:p>
        </w:tc>
      </w:tr>
      <w:tr>
        <w:tc>
          <w:tcPr>
            <w:tcW w:type="dxa" w:w="290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Lighthouse CI / SSL Labs / axe-core CI tooling</w:t>
            </w:r>
          </w:p>
        </w:tc>
        <w:tc>
          <w:tcPr>
            <w:tcW w:type="dxa" w:w="616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rPr>
              <w:t xml:space="preserve">Tooling we can spin up, but no blocking action on the codebase itself.</w:t>
            </w:r>
          </w:p>
        </w:tc>
      </w:tr>
      <w:tr>
        <w:tc>
          <w:tcPr>
            <w:tcW w:type="dxa" w:w="290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rPr>
              <w:t xml:space="preserve">Twilio account setup</w:t>
            </w:r>
          </w:p>
        </w:tc>
        <w:tc>
          <w:tcPr>
            <w:tcW w:type="dxa" w:w="616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rPr>
              <w:t xml:space="preserve">Sandbox is sufficient for early testing; production needs a verified business sender.</w:t>
            </w:r>
          </w:p>
        </w:tc>
      </w:tr>
    </w:tbl>
    <w:p>
      <w:pPr>
        <w:pStyle w:val="Heading1"/>
        <w:spacing w:after="120" w:before="240"/>
      </w:pPr>
      <w:r>
        <w:rPr>
          <w:rFonts w:ascii="Arial" w:cs="Arial" w:eastAsia="Arial" w:hAnsi="Arial"/>
          <w:b/>
          <w:bCs/>
        </w:rPr>
        <w:t xml:space="preserve">5. Recommended next sprint</w:t>
      </w:r>
    </w:p>
    <w:p>
      <w:pPr>
        <w:spacing w:after="80"/>
      </w:pPr>
      <w:r>
        <w:rPr>
          <w:rFonts w:ascii="Arial" w:cs="Arial" w:eastAsia="Arial" w:hAnsi="Arial"/>
        </w:rPr>
        <w:t xml:space="preserve">Ship the first four items of the HIGH block as a coordinated two-day pass:</w:t>
      </w:r>
    </w:p>
    <w:p>
      <w:pPr>
        <w:pStyle w:val="ListParagraph"/>
        <w:numPr>
          <w:ilvl w:val="0"/>
          <w:numId w:val="2"/>
        </w:numPr>
        <w:spacing w:after="60"/>
      </w:pPr>
      <w:r>
        <w:rPr>
          <w:rFonts w:ascii="Arial" w:cs="Arial" w:eastAsia="Arial" w:hAnsi="Arial"/>
          <w:b/>
          <w:bCs/>
        </w:rPr>
        <w:t xml:space="preserve">Wire HMAC body signing on the Apify webhook</w:t>
      </w:r>
    </w:p>
    <w:p>
      <w:pPr>
        <w:pStyle w:val="ListParagraph"/>
        <w:numPr>
          <w:ilvl w:val="0"/>
          <w:numId w:val="2"/>
        </w:numPr>
        <w:spacing w:after="60"/>
      </w:pPr>
      <w:r>
        <w:rPr>
          <w:rFonts w:ascii="Arial" w:cs="Arial" w:eastAsia="Arial" w:hAnsi="Arial"/>
          <w:b/>
          <w:bCs/>
        </w:rPr>
        <w:t xml:space="preserve">Signed expiring single-use unsubscribe tokens</w:t>
      </w:r>
    </w:p>
    <w:p>
      <w:pPr>
        <w:pStyle w:val="ListParagraph"/>
        <w:numPr>
          <w:ilvl w:val="0"/>
          <w:numId w:val="2"/>
        </w:numPr>
        <w:spacing w:after="60"/>
      </w:pPr>
      <w:r>
        <w:rPr>
          <w:rFonts w:ascii="Arial" w:cs="Arial" w:eastAsia="Arial" w:hAnsi="Arial"/>
          <w:b/>
          <w:bCs/>
        </w:rPr>
        <w:t xml:space="preserve">Postgres Row-Level Security policies</w:t>
      </w:r>
    </w:p>
    <w:p>
      <w:pPr>
        <w:pStyle w:val="ListParagraph"/>
        <w:numPr>
          <w:ilvl w:val="0"/>
          <w:numId w:val="2"/>
        </w:numPr>
        <w:spacing w:after="160"/>
      </w:pPr>
      <w:r>
        <w:rPr>
          <w:rFonts w:ascii="Arial" w:cs="Arial" w:eastAsia="Arial" w:hAnsi="Arial"/>
          <w:b/>
          <w:bCs/>
        </w:rPr>
        <w:t xml:space="preserve">Content Security Policy plus security headers</w:t>
      </w:r>
    </w:p>
    <w:p>
      <w:pPr>
        <w:spacing w:after="80"/>
      </w:pPr>
      <w:r>
        <w:rPr>
          <w:rFonts w:ascii="Arial" w:cs="Arial" w:eastAsia="Arial" w:hAnsi="Arial"/>
        </w:rPr>
        <w:t xml:space="preserve">This block closes the remaining security-critical gaps in the spec. It is a defensible, coherent scope: every item is security hardening, every item is in our control (no external dependencies), and every item is testable with the existing test harness. We are ready to execute the moment you approve.</w:t>
      </w:r>
    </w:p>
    <w:p>
      <w:pPr>
        <w:pStyle w:val="Heading1"/>
        <w:spacing w:after="120" w:before="240"/>
      </w:pPr>
      <w:r>
        <w:rPr>
          <w:rFonts w:ascii="Arial" w:cs="Arial" w:eastAsia="Arial" w:hAnsi="Arial"/>
          <w:b/>
          <w:bCs/>
        </w:rPr>
        <w:t xml:space="preserve">6. Your decision</w:t>
      </w:r>
    </w:p>
    <w:p>
      <w:pPr>
        <w:spacing w:after="80"/>
      </w:pPr>
      <w:r>
        <w:rPr>
          <w:rFonts w:ascii="Arial" w:cs="Arial" w:eastAsia="Arial" w:hAnsi="Arial"/>
          <w:i/>
          <w:iCs/>
          <w:color w:val="6B7280"/>
        </w:rPr>
        <w:t xml:space="preserve">Mark one option and send back:</w:t>
      </w:r>
    </w:p>
    <w:p>
      <w:pPr>
        <w:spacing w:after="100"/>
      </w:pPr>
      <w:r>
        <w:rPr>
          <w:rFonts w:ascii="Arial" w:cs="Arial" w:eastAsia="Arial" w:hAnsi="Arial"/>
          <w:color w:val="0F766E"/>
          <w:sz w:val="26"/>
          <w:szCs w:val="26"/>
        </w:rPr>
        <w:t xml:space="preserve">☐  </w:t>
      </w:r>
      <w:r>
        <w:rPr>
          <w:rFonts w:ascii="Arial" w:cs="Arial" w:eastAsia="Arial" w:hAnsi="Arial"/>
          <w:sz w:val="22"/>
          <w:szCs w:val="22"/>
        </w:rPr>
        <w:t xml:space="preserve">Approve the HIGH block as the next sprint  (Recommended)</w:t>
      </w:r>
    </w:p>
    <w:p>
      <w:pPr>
        <w:spacing w:after="100"/>
      </w:pPr>
      <w:r>
        <w:rPr>
          <w:rFonts w:ascii="Arial" w:cs="Arial" w:eastAsia="Arial" w:hAnsi="Arial"/>
          <w:color w:val="0F766E"/>
          <w:sz w:val="26"/>
          <w:szCs w:val="26"/>
        </w:rPr>
        <w:t xml:space="preserve">☐  </w:t>
      </w:r>
      <w:r>
        <w:rPr>
          <w:rFonts w:ascii="Arial" w:cs="Arial" w:eastAsia="Arial" w:hAnsi="Arial"/>
          <w:sz w:val="22"/>
          <w:szCs w:val="22"/>
        </w:rPr>
        <w:t xml:space="preserve">Approve HIGH and MEDIUM blocks together  (~3 dev days)</w:t>
      </w:r>
    </w:p>
    <w:p>
      <w:pPr>
        <w:spacing w:after="100"/>
      </w:pPr>
      <w:r>
        <w:rPr>
          <w:rFonts w:ascii="Arial" w:cs="Arial" w:eastAsia="Arial" w:hAnsi="Arial"/>
          <w:color w:val="0F766E"/>
          <w:sz w:val="26"/>
          <w:szCs w:val="26"/>
        </w:rPr>
        <w:t xml:space="preserve">☐  </w:t>
      </w:r>
      <w:r>
        <w:rPr>
          <w:rFonts w:ascii="Arial" w:cs="Arial" w:eastAsia="Arial" w:hAnsi="Arial"/>
          <w:sz w:val="22"/>
          <w:szCs w:val="22"/>
        </w:rPr>
        <w:t xml:space="preserve">Cherry-pick — please list the items numbers you want included below:</w:t>
      </w:r>
    </w:p>
    <w:p>
      <w:pPr>
        <w:spacing w:after="200"/>
      </w:pPr>
      <w:r>
        <w:rPr>
          <w:rFonts w:ascii="Arial" w:cs="Arial" w:eastAsia="Arial" w:hAnsi="Arial"/>
          <w:color w:val="CBD5E1"/>
        </w:rPr>
        <w:t xml:space="preserve">_____________________________________________________________________</w:t>
      </w:r>
    </w:p>
    <w:p>
      <w:pPr>
        <w:spacing w:after="100"/>
      </w:pPr>
      <w:r>
        <w:rPr>
          <w:rFonts w:ascii="Arial" w:cs="Arial" w:eastAsia="Arial" w:hAnsi="Arial"/>
          <w:color w:val="0F766E"/>
          <w:sz w:val="26"/>
          <w:szCs w:val="26"/>
        </w:rPr>
        <w:t xml:space="preserve">☐  </w:t>
      </w:r>
      <w:r>
        <w:rPr>
          <w:rFonts w:ascii="Arial" w:cs="Arial" w:eastAsia="Arial" w:hAnsi="Arial"/>
          <w:sz w:val="22"/>
          <w:szCs w:val="22"/>
        </w:rPr>
        <w:t xml:space="preserve">Hold until Twilio + RERA are resolved first</w:t>
      </w:r>
    </w:p>
    <w:p>
      <w:pPr>
        <w:spacing w:after="100"/>
      </w:pPr>
      <w:r>
        <w:rPr>
          <w:rFonts w:ascii="Arial" w:cs="Arial" w:eastAsia="Arial" w:hAnsi="Arial"/>
          <w:color w:val="0F766E"/>
          <w:sz w:val="26"/>
          <w:szCs w:val="26"/>
        </w:rPr>
        <w:t xml:space="preserve">☐  </w:t>
      </w:r>
      <w:r>
        <w:rPr>
          <w:rFonts w:ascii="Arial" w:cs="Arial" w:eastAsia="Arial" w:hAnsi="Arial"/>
          <w:sz w:val="22"/>
          <w:szCs w:val="22"/>
        </w:rPr>
        <w:t xml:space="preserve">Other — please write below:</w:t>
      </w:r>
    </w:p>
    <w:p>
      <w:pPr>
        <w:spacing w:after="60"/>
      </w:pPr>
      <w:r>
        <w:rPr>
          <w:rFonts w:ascii="Arial" w:cs="Arial" w:eastAsia="Arial" w:hAnsi="Arial"/>
          <w:color w:val="CBD5E1"/>
        </w:rPr>
        <w:t xml:space="preserve">_____________________________________________________________________</w:t>
      </w:r>
    </w:p>
    <w:p>
      <w:pPr>
        <w:spacing w:after="60"/>
      </w:pPr>
      <w:r>
        <w:rPr>
          <w:rFonts w:ascii="Arial" w:cs="Arial" w:eastAsia="Arial" w:hAnsi="Arial"/>
          <w:color w:val="CBD5E1"/>
        </w:rPr>
        <w:t xml:space="preserve">_____________________________________________________________________</w:t>
      </w:r>
    </w:p>
    <w:p>
      <w:pPr>
        <w:spacing w:after="60"/>
      </w:pPr>
      <w:r>
        <w:rPr>
          <w:rFonts w:ascii="Arial" w:cs="Arial" w:eastAsia="Arial" w:hAnsi="Arial"/>
          <w:color w:val="CBD5E1"/>
        </w:rPr>
        <w:t xml:space="preserve">_____________________________________________________________________</w:t>
      </w:r>
    </w:p>
    <w:p>
      <w:pPr>
        <w:spacing w:after="80" w:before="400"/>
      </w:pPr>
      <w:r>
        <w:rPr>
          <w:rFonts w:ascii="Arial" w:cs="Arial" w:eastAsia="Arial" w:hAnsi="Arial"/>
          <w:b/>
          <w:bCs/>
          <w:sz w:val="22"/>
          <w:szCs w:val="22"/>
        </w:rPr>
        <w:t xml:space="preserve">Signature</w:t>
      </w:r>
    </w:p>
    <w:p>
      <w:pPr>
        <w:spacing w:after="60"/>
      </w:pPr>
      <w:r>
        <w:rPr>
          <w:rFonts w:ascii="Arial" w:cs="Arial" w:eastAsia="Arial" w:hAnsi="Arial"/>
          <w:color w:val="CBD5E1"/>
        </w:rPr>
        <w:t xml:space="preserve">_____________________________________________________________________</w:t>
      </w:r>
    </w:p>
    <w:p>
      <w:pPr>
        <w:tabs>
          <w:tab w:val="right" w:pos="9072"/>
        </w:tabs>
        <w:spacing w:after="0"/>
      </w:pPr>
      <w:r>
        <w:rPr>
          <w:rFonts w:ascii="Arial" w:cs="Arial" w:eastAsia="Arial" w:hAnsi="Arial"/>
          <w:color w:val="6B7280"/>
          <w:sz w:val="18"/>
          <w:szCs w:val="18"/>
        </w:rPr>
        <w:t xml:space="preserve">Jad ALCHEIKH</w:t>
      </w:r>
      <w:r>
        <w:rPr>
          <w:rFonts w:ascii="Arial" w:cs="Arial" w:eastAsia="Arial" w:hAnsi="Arial"/>
          <w:color w:val="6B7280"/>
          <w:sz w:val="18"/>
          <w:szCs w:val="18"/>
        </w:rPr>
        <w:t xml:space="preserve">	Date: ___ / ___ / ______</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Emerge Digital · </w:t>
    </w:r>
    <w:r>
      <w:rPr>
        <w:rFonts w:ascii="Arial" w:cs="Arial" w:eastAsia="Arial" w:hAnsi="Arial"/>
        <w:color w:val="6B7280"/>
        <w:sz w:val="16"/>
        <w:szCs w:val="16"/>
      </w:rPr>
      <w:t xml:space="preserve">Send back with checkboxes marked. WhatsApp Rami for questions.</w:t>
    </w:r>
    <w:r>
      <w:rPr>
        <w:rFonts w:ascii="Arial" w:cs="Arial" w:eastAsia="Arial" w:hAnsi="Arial"/>
        <w:color w:val="6B7280"/>
        <w:sz w:val="16"/>
        <w:szCs w:val="16"/>
      </w:rPr>
      <w:t xml:space="preserve">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BelowOP — Scope For Approval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172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BelowOP — Remaining Engineering Scope</dc:title>
  <dc:creator>Emerge Digital</dc:creator>
  <dc:description>For client approval before next sprint</dc:description>
  <cp:lastModifiedBy>Un-named</cp:lastModifiedBy>
  <cp:revision>1</cp:revision>
  <dcterms:created xsi:type="dcterms:W3CDTF">2026-05-22T08:41:26.120Z</dcterms:created>
  <dcterms:modified xsi:type="dcterms:W3CDTF">2026-05-22T08:41:26.121Z</dcterms:modified>
</cp:coreProperties>
</file>

<file path=docProps/custom.xml><?xml version="1.0" encoding="utf-8"?>
<Properties xmlns="http://schemas.openxmlformats.org/officeDocument/2006/custom-properties" xmlns:vt="http://schemas.openxmlformats.org/officeDocument/2006/docPropsVTypes"/>
</file>