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5151" w14:textId="77777777" w:rsidR="00E855DF" w:rsidRDefault="00CE0958" w:rsidP="00B1144C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65762" w:rsidRPr="00765762">
        <w:rPr>
          <w:b/>
          <w:sz w:val="28"/>
          <w:szCs w:val="28"/>
        </w:rPr>
        <w:t>Сибирский государственный университет телекоммуникаций и информатики</w:t>
      </w:r>
    </w:p>
    <w:p w14:paraId="677F80F7" w14:textId="77777777" w:rsidR="00765762" w:rsidRDefault="00765762" w:rsidP="00B1144C">
      <w:pPr>
        <w:ind w:firstLine="567"/>
        <w:jc w:val="center"/>
      </w:pPr>
      <w:r w:rsidRPr="00765762">
        <w:t>Карточка контроля разработки раздела «Безопасность жизнедеятельности» в дипломном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2823"/>
        <w:gridCol w:w="5378"/>
      </w:tblGrid>
      <w:tr w:rsidR="00765762" w14:paraId="05FA5506" w14:textId="77777777" w:rsidTr="00765762">
        <w:tc>
          <w:tcPr>
            <w:tcW w:w="576" w:type="dxa"/>
          </w:tcPr>
          <w:p w14:paraId="21837D31" w14:textId="77777777" w:rsidR="00765762" w:rsidRDefault="00765762" w:rsidP="00B1144C">
            <w:pPr>
              <w:ind w:firstLine="567"/>
              <w:jc w:val="center"/>
            </w:pPr>
            <w:r>
              <w:t xml:space="preserve">№ </w:t>
            </w:r>
            <w:proofErr w:type="spellStart"/>
            <w:r>
              <w:t>пп</w:t>
            </w:r>
            <w:proofErr w:type="spellEnd"/>
          </w:p>
        </w:tc>
        <w:tc>
          <w:tcPr>
            <w:tcW w:w="2934" w:type="dxa"/>
          </w:tcPr>
          <w:p w14:paraId="4C668523" w14:textId="77777777" w:rsidR="00765762" w:rsidRDefault="00765762" w:rsidP="00B1144C">
            <w:pPr>
              <w:ind w:firstLine="567"/>
              <w:jc w:val="center"/>
            </w:pPr>
            <w:r>
              <w:t>Наименование</w:t>
            </w:r>
          </w:p>
        </w:tc>
        <w:tc>
          <w:tcPr>
            <w:tcW w:w="6061" w:type="dxa"/>
          </w:tcPr>
          <w:p w14:paraId="140E5C5F" w14:textId="77777777" w:rsidR="00765762" w:rsidRDefault="00765762" w:rsidP="00B1144C">
            <w:pPr>
              <w:ind w:firstLine="567"/>
              <w:jc w:val="center"/>
            </w:pPr>
            <w:r>
              <w:t>Содержание и сроки исполнения</w:t>
            </w:r>
          </w:p>
        </w:tc>
      </w:tr>
      <w:tr w:rsidR="00765762" w14:paraId="0A6DF5F0" w14:textId="77777777" w:rsidTr="00765762">
        <w:tc>
          <w:tcPr>
            <w:tcW w:w="576" w:type="dxa"/>
          </w:tcPr>
          <w:p w14:paraId="6F9C769B" w14:textId="77777777" w:rsidR="00765762" w:rsidRDefault="00765762" w:rsidP="00B1144C">
            <w:pPr>
              <w:ind w:firstLine="567"/>
              <w:jc w:val="center"/>
            </w:pPr>
            <w:r>
              <w:t>1</w:t>
            </w:r>
          </w:p>
        </w:tc>
        <w:tc>
          <w:tcPr>
            <w:tcW w:w="2934" w:type="dxa"/>
          </w:tcPr>
          <w:p w14:paraId="607F17AF" w14:textId="77777777" w:rsidR="00765762" w:rsidRDefault="00765762" w:rsidP="00B1144C">
            <w:pPr>
              <w:ind w:firstLine="567"/>
              <w:jc w:val="center"/>
            </w:pPr>
            <w:r>
              <w:t>ФИ</w:t>
            </w:r>
            <w:r w:rsidRPr="00045A26">
              <w:rPr>
                <w:highlight w:val="yellow"/>
              </w:rPr>
              <w:t>О</w:t>
            </w:r>
          </w:p>
        </w:tc>
        <w:tc>
          <w:tcPr>
            <w:tcW w:w="6061" w:type="dxa"/>
          </w:tcPr>
          <w:p w14:paraId="06BC8CB0" w14:textId="77777777" w:rsidR="00F5534E" w:rsidRDefault="005601B2" w:rsidP="00B1144C">
            <w:pPr>
              <w:ind w:firstLine="567"/>
              <w:jc w:val="center"/>
            </w:pPr>
            <w:proofErr w:type="spellStart"/>
            <w:r>
              <w:t>Крылосов</w:t>
            </w:r>
            <w:proofErr w:type="spellEnd"/>
            <w:r>
              <w:t xml:space="preserve"> Андрей Александрович</w:t>
            </w:r>
          </w:p>
        </w:tc>
      </w:tr>
      <w:tr w:rsidR="00765762" w14:paraId="32519B57" w14:textId="77777777" w:rsidTr="00765762">
        <w:tc>
          <w:tcPr>
            <w:tcW w:w="576" w:type="dxa"/>
          </w:tcPr>
          <w:p w14:paraId="37809BEE" w14:textId="77777777" w:rsidR="00765762" w:rsidRDefault="00765762" w:rsidP="00B1144C">
            <w:pPr>
              <w:ind w:firstLine="567"/>
              <w:jc w:val="center"/>
            </w:pPr>
            <w:r>
              <w:t>2</w:t>
            </w:r>
          </w:p>
        </w:tc>
        <w:tc>
          <w:tcPr>
            <w:tcW w:w="2934" w:type="dxa"/>
          </w:tcPr>
          <w:p w14:paraId="5BEAC596" w14:textId="77777777" w:rsidR="00765762" w:rsidRDefault="00765762" w:rsidP="00B1144C">
            <w:pPr>
              <w:ind w:firstLine="567"/>
              <w:jc w:val="center"/>
            </w:pPr>
            <w:r w:rsidRPr="005601B2">
              <w:t>Факультет группа кафедра</w:t>
            </w:r>
          </w:p>
        </w:tc>
        <w:tc>
          <w:tcPr>
            <w:tcW w:w="6061" w:type="dxa"/>
          </w:tcPr>
          <w:p w14:paraId="58AAFA4F" w14:textId="77777777" w:rsidR="00765762" w:rsidRPr="00796D7E" w:rsidRDefault="005601B2" w:rsidP="00B1144C">
            <w:pPr>
              <w:tabs>
                <w:tab w:val="left" w:pos="2552"/>
                <w:tab w:val="left" w:pos="3686"/>
                <w:tab w:val="left" w:pos="5387"/>
              </w:tabs>
              <w:spacing w:line="360" w:lineRule="auto"/>
              <w:ind w:left="851" w:firstLine="567"/>
            </w:pPr>
            <w:r>
              <w:t>АБ - 66</w:t>
            </w:r>
          </w:p>
        </w:tc>
      </w:tr>
      <w:tr w:rsidR="00765762" w14:paraId="189BDE81" w14:textId="77777777" w:rsidTr="00765762">
        <w:tc>
          <w:tcPr>
            <w:tcW w:w="576" w:type="dxa"/>
          </w:tcPr>
          <w:p w14:paraId="7FC12EFF" w14:textId="77777777" w:rsidR="00765762" w:rsidRDefault="00765762" w:rsidP="00B1144C">
            <w:pPr>
              <w:ind w:firstLine="567"/>
              <w:jc w:val="center"/>
            </w:pPr>
            <w:r>
              <w:t>3</w:t>
            </w:r>
          </w:p>
        </w:tc>
        <w:tc>
          <w:tcPr>
            <w:tcW w:w="2934" w:type="dxa"/>
          </w:tcPr>
          <w:p w14:paraId="3134D709" w14:textId="77777777" w:rsidR="00765762" w:rsidRDefault="00765762" w:rsidP="00B1144C">
            <w:pPr>
              <w:ind w:firstLine="567"/>
              <w:jc w:val="center"/>
            </w:pPr>
            <w:r>
              <w:t xml:space="preserve">Тема дипломного проекта и </w:t>
            </w:r>
            <w:r w:rsidRPr="00045A26">
              <w:rPr>
                <w:highlight w:val="yellow"/>
              </w:rPr>
              <w:t>фамилия руководителя</w:t>
            </w:r>
          </w:p>
        </w:tc>
        <w:tc>
          <w:tcPr>
            <w:tcW w:w="6061" w:type="dxa"/>
          </w:tcPr>
          <w:p w14:paraId="532A4B69" w14:textId="77777777" w:rsidR="00F5534E" w:rsidRPr="00796D7E" w:rsidRDefault="00032A03" w:rsidP="00B1144C">
            <w:pPr>
              <w:ind w:firstLine="567"/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="005601B2"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>"Разработка системы дистанционного электронного голосования</w:t>
            </w:r>
          </w:p>
        </w:tc>
      </w:tr>
      <w:tr w:rsidR="00D50762" w14:paraId="71896C4B" w14:textId="77777777" w:rsidTr="00B93FFA">
        <w:tc>
          <w:tcPr>
            <w:tcW w:w="576" w:type="dxa"/>
          </w:tcPr>
          <w:p w14:paraId="2EB3A8CC" w14:textId="77777777" w:rsidR="00D50762" w:rsidRDefault="00D50762" w:rsidP="00B1144C">
            <w:pPr>
              <w:ind w:firstLine="567"/>
              <w:jc w:val="center"/>
            </w:pPr>
            <w:r>
              <w:t>4</w:t>
            </w:r>
          </w:p>
        </w:tc>
        <w:tc>
          <w:tcPr>
            <w:tcW w:w="8995" w:type="dxa"/>
            <w:gridSpan w:val="2"/>
          </w:tcPr>
          <w:p w14:paraId="3D5F5AD9" w14:textId="77777777" w:rsidR="00D50762" w:rsidRDefault="00D50762" w:rsidP="00B1144C">
            <w:pPr>
              <w:ind w:firstLine="567"/>
            </w:pPr>
            <w:r>
              <w:t>Задание по разделу БЖ</w:t>
            </w:r>
          </w:p>
          <w:p w14:paraId="0E2D0E47" w14:textId="77777777" w:rsidR="00D50762" w:rsidRPr="00400894" w:rsidRDefault="00D50762" w:rsidP="00B1144C">
            <w:pPr>
              <w:ind w:firstLine="567"/>
            </w:pPr>
          </w:p>
        </w:tc>
      </w:tr>
      <w:tr w:rsidR="00D50762" w14:paraId="0C3C1330" w14:textId="77777777" w:rsidTr="009D3BDC">
        <w:tc>
          <w:tcPr>
            <w:tcW w:w="576" w:type="dxa"/>
          </w:tcPr>
          <w:p w14:paraId="400C636B" w14:textId="77777777" w:rsidR="00D50762" w:rsidRDefault="00D50762" w:rsidP="00B1144C">
            <w:pPr>
              <w:ind w:firstLine="567"/>
              <w:jc w:val="center"/>
            </w:pPr>
            <w:r>
              <w:t>4.1.</w:t>
            </w:r>
          </w:p>
        </w:tc>
        <w:tc>
          <w:tcPr>
            <w:tcW w:w="8995" w:type="dxa"/>
            <w:gridSpan w:val="2"/>
          </w:tcPr>
          <w:p w14:paraId="364EE88C" w14:textId="77777777" w:rsidR="00D50762" w:rsidRPr="00AA34F5" w:rsidRDefault="006F1E3B" w:rsidP="00B1144C">
            <w:pPr>
              <w:ind w:firstLine="567"/>
              <w:jc w:val="both"/>
            </w:pPr>
            <w:r>
              <w:t>Особенности воздействия электронных систем на здоровье пользователей</w:t>
            </w:r>
          </w:p>
        </w:tc>
      </w:tr>
      <w:tr w:rsidR="00D50762" w:rsidRPr="00F74F9F" w14:paraId="7272D97E" w14:textId="77777777" w:rsidTr="0073115B">
        <w:tc>
          <w:tcPr>
            <w:tcW w:w="576" w:type="dxa"/>
          </w:tcPr>
          <w:p w14:paraId="77B8C11F" w14:textId="77777777" w:rsidR="00D50762" w:rsidRDefault="00D50762" w:rsidP="00B1144C">
            <w:pPr>
              <w:ind w:firstLine="567"/>
              <w:jc w:val="center"/>
            </w:pPr>
            <w:r>
              <w:t>4.2</w:t>
            </w:r>
          </w:p>
        </w:tc>
        <w:tc>
          <w:tcPr>
            <w:tcW w:w="8995" w:type="dxa"/>
            <w:gridSpan w:val="2"/>
          </w:tcPr>
          <w:p w14:paraId="05D5B44E" w14:textId="77777777" w:rsidR="00D50762" w:rsidRPr="00D50762" w:rsidRDefault="006F1E3B" w:rsidP="00B1144C">
            <w:pPr>
              <w:ind w:firstLine="567"/>
            </w:pPr>
            <w:r>
              <w:t>Эргономические требования к системам отображения информации</w:t>
            </w:r>
          </w:p>
        </w:tc>
      </w:tr>
      <w:tr w:rsidR="00D50762" w14:paraId="39555242" w14:textId="77777777" w:rsidTr="00A32330">
        <w:tc>
          <w:tcPr>
            <w:tcW w:w="576" w:type="dxa"/>
          </w:tcPr>
          <w:p w14:paraId="3B0EA9B7" w14:textId="77777777" w:rsidR="00D50762" w:rsidRDefault="00D50762" w:rsidP="00B1144C">
            <w:pPr>
              <w:ind w:firstLine="567"/>
              <w:jc w:val="center"/>
            </w:pPr>
            <w:r>
              <w:t>4.3</w:t>
            </w:r>
          </w:p>
        </w:tc>
        <w:tc>
          <w:tcPr>
            <w:tcW w:w="8995" w:type="dxa"/>
            <w:gridSpan w:val="2"/>
          </w:tcPr>
          <w:p w14:paraId="3C919D89" w14:textId="77777777" w:rsidR="00D50762" w:rsidRPr="00F74F9F" w:rsidRDefault="006F1E3B" w:rsidP="00B1144C">
            <w:pPr>
              <w:ind w:firstLine="567"/>
            </w:pPr>
            <w:r>
              <w:t>Режимы труда и отдыха при работе с электронными устройствами</w:t>
            </w:r>
          </w:p>
        </w:tc>
      </w:tr>
      <w:tr w:rsidR="00D50762" w14:paraId="2ED45EC0" w14:textId="77777777" w:rsidTr="00A32330">
        <w:tc>
          <w:tcPr>
            <w:tcW w:w="576" w:type="dxa"/>
          </w:tcPr>
          <w:p w14:paraId="19417E61" w14:textId="77777777" w:rsidR="00D50762" w:rsidRDefault="00D50762" w:rsidP="00B1144C">
            <w:pPr>
              <w:ind w:firstLine="567"/>
              <w:jc w:val="center"/>
            </w:pPr>
            <w:r>
              <w:t xml:space="preserve">4.4. </w:t>
            </w:r>
          </w:p>
        </w:tc>
        <w:tc>
          <w:tcPr>
            <w:tcW w:w="8995" w:type="dxa"/>
            <w:gridSpan w:val="2"/>
          </w:tcPr>
          <w:p w14:paraId="0099FEE6" w14:textId="77777777" w:rsidR="00D50762" w:rsidRPr="00F74F9F" w:rsidRDefault="006F1E3B" w:rsidP="00B1144C">
            <w:pPr>
              <w:ind w:firstLine="567"/>
            </w:pPr>
            <w:r>
              <w:t>Экологические проблемы утилизации электронных гаджетов</w:t>
            </w:r>
          </w:p>
        </w:tc>
      </w:tr>
      <w:tr w:rsidR="00765762" w14:paraId="082A0661" w14:textId="77777777" w:rsidTr="00765762">
        <w:tc>
          <w:tcPr>
            <w:tcW w:w="576" w:type="dxa"/>
          </w:tcPr>
          <w:p w14:paraId="2443B123" w14:textId="77777777" w:rsidR="00765762" w:rsidRDefault="00F5534E" w:rsidP="00B1144C">
            <w:pPr>
              <w:ind w:firstLine="567"/>
              <w:jc w:val="center"/>
            </w:pPr>
            <w:r>
              <w:t>5</w:t>
            </w:r>
          </w:p>
        </w:tc>
        <w:tc>
          <w:tcPr>
            <w:tcW w:w="2934" w:type="dxa"/>
          </w:tcPr>
          <w:p w14:paraId="53EF5255" w14:textId="77777777" w:rsidR="00765762" w:rsidRDefault="00F5534E" w:rsidP="00B1144C">
            <w:pPr>
              <w:ind w:firstLine="567"/>
              <w:jc w:val="center"/>
            </w:pPr>
            <w:r>
              <w:t>Сроки</w:t>
            </w:r>
          </w:p>
        </w:tc>
        <w:tc>
          <w:tcPr>
            <w:tcW w:w="6061" w:type="dxa"/>
          </w:tcPr>
          <w:p w14:paraId="1F367B6F" w14:textId="77777777" w:rsidR="00765762" w:rsidRDefault="00765762" w:rsidP="00B1144C">
            <w:pPr>
              <w:ind w:firstLine="567"/>
              <w:jc w:val="center"/>
            </w:pPr>
          </w:p>
        </w:tc>
      </w:tr>
      <w:tr w:rsidR="00D50762" w14:paraId="75E25FCF" w14:textId="77777777" w:rsidTr="00D50762">
        <w:trPr>
          <w:trHeight w:val="395"/>
        </w:trPr>
        <w:tc>
          <w:tcPr>
            <w:tcW w:w="576" w:type="dxa"/>
          </w:tcPr>
          <w:p w14:paraId="4F435B6E" w14:textId="77777777" w:rsidR="00D50762" w:rsidRDefault="00D50762" w:rsidP="00B1144C">
            <w:pPr>
              <w:ind w:firstLine="567"/>
              <w:jc w:val="center"/>
            </w:pPr>
            <w:r>
              <w:t>5.1.</w:t>
            </w:r>
          </w:p>
        </w:tc>
        <w:tc>
          <w:tcPr>
            <w:tcW w:w="8995" w:type="dxa"/>
            <w:gridSpan w:val="2"/>
          </w:tcPr>
          <w:p w14:paraId="66175A88" w14:textId="77777777" w:rsidR="00D50762" w:rsidRDefault="00D50762" w:rsidP="00B1144C">
            <w:pPr>
              <w:ind w:firstLine="567"/>
            </w:pPr>
          </w:p>
          <w:p w14:paraId="28F90FDD" w14:textId="77777777" w:rsidR="00D50762" w:rsidRDefault="00D50762" w:rsidP="00B1144C">
            <w:pPr>
              <w:ind w:firstLine="567"/>
              <w:jc w:val="center"/>
            </w:pPr>
          </w:p>
        </w:tc>
      </w:tr>
      <w:tr w:rsidR="00D50762" w14:paraId="60A9E47A" w14:textId="77777777" w:rsidTr="00D50762">
        <w:trPr>
          <w:trHeight w:val="417"/>
        </w:trPr>
        <w:tc>
          <w:tcPr>
            <w:tcW w:w="576" w:type="dxa"/>
          </w:tcPr>
          <w:p w14:paraId="08826FD4" w14:textId="77777777" w:rsidR="00D50762" w:rsidRDefault="00D50762" w:rsidP="00B1144C">
            <w:pPr>
              <w:ind w:firstLine="567"/>
              <w:jc w:val="center"/>
            </w:pPr>
            <w:r>
              <w:t>5.2</w:t>
            </w:r>
          </w:p>
        </w:tc>
        <w:tc>
          <w:tcPr>
            <w:tcW w:w="8995" w:type="dxa"/>
            <w:gridSpan w:val="2"/>
          </w:tcPr>
          <w:p w14:paraId="0F08D396" w14:textId="77777777" w:rsidR="00D50762" w:rsidRDefault="00D50762" w:rsidP="00B1144C">
            <w:pPr>
              <w:ind w:firstLine="567"/>
            </w:pPr>
          </w:p>
        </w:tc>
      </w:tr>
      <w:tr w:rsidR="00D50762" w14:paraId="3AFCFE6B" w14:textId="77777777" w:rsidTr="00D50762">
        <w:trPr>
          <w:trHeight w:val="537"/>
        </w:trPr>
        <w:tc>
          <w:tcPr>
            <w:tcW w:w="576" w:type="dxa"/>
          </w:tcPr>
          <w:p w14:paraId="70AF04FE" w14:textId="77777777" w:rsidR="00D50762" w:rsidRDefault="00D50762" w:rsidP="00B1144C">
            <w:pPr>
              <w:ind w:firstLine="567"/>
              <w:jc w:val="center"/>
            </w:pPr>
            <w:r>
              <w:t>5.3.</w:t>
            </w:r>
          </w:p>
        </w:tc>
        <w:tc>
          <w:tcPr>
            <w:tcW w:w="8995" w:type="dxa"/>
            <w:gridSpan w:val="2"/>
          </w:tcPr>
          <w:p w14:paraId="055F7AF7" w14:textId="77777777" w:rsidR="00D50762" w:rsidRDefault="00D50762" w:rsidP="00B1144C">
            <w:pPr>
              <w:ind w:firstLine="567"/>
              <w:jc w:val="center"/>
            </w:pPr>
          </w:p>
        </w:tc>
      </w:tr>
    </w:tbl>
    <w:p w14:paraId="16B91A8D" w14:textId="77777777" w:rsidR="00F5534E" w:rsidRDefault="00F5534E" w:rsidP="00B1144C">
      <w:pPr>
        <w:ind w:firstLine="567"/>
      </w:pPr>
    </w:p>
    <w:p w14:paraId="563C583B" w14:textId="77777777" w:rsidR="00F5534E" w:rsidRDefault="00F5534E" w:rsidP="00B1144C">
      <w:pPr>
        <w:ind w:firstLine="567"/>
      </w:pPr>
      <w:r>
        <w:t xml:space="preserve">Консультант по </w:t>
      </w:r>
      <w:proofErr w:type="spellStart"/>
      <w:r>
        <w:t>БЖ_______________________Студент</w:t>
      </w:r>
      <w:proofErr w:type="spellEnd"/>
      <w:r>
        <w:t xml:space="preserve"> ___________________________</w:t>
      </w:r>
    </w:p>
    <w:p w14:paraId="6411B46F" w14:textId="77777777" w:rsidR="00F5534E" w:rsidRDefault="00F5534E" w:rsidP="00B1144C">
      <w:pPr>
        <w:ind w:firstLine="567"/>
      </w:pPr>
    </w:p>
    <w:p w14:paraId="164400D6" w14:textId="3D232DBC" w:rsidR="00F5534E" w:rsidRDefault="001F6902" w:rsidP="00B1144C">
      <w:pPr>
        <w:ind w:firstLine="567"/>
      </w:pPr>
      <w:r>
        <w:t>«____</w:t>
      </w:r>
      <w:proofErr w:type="gramStart"/>
      <w:r>
        <w:t>_»_</w:t>
      </w:r>
      <w:proofErr w:type="gramEnd"/>
      <w:r>
        <w:t>_____________2020</w:t>
      </w:r>
      <w:r w:rsidR="00F5534E">
        <w:tab/>
      </w:r>
      <w:r w:rsidR="00F5534E">
        <w:tab/>
      </w:r>
      <w:r w:rsidR="00F5534E">
        <w:tab/>
      </w:r>
      <w:r w:rsidR="00F5534E">
        <w:tab/>
      </w:r>
      <w:r>
        <w:t>«_____»______________2020</w:t>
      </w:r>
    </w:p>
    <w:p w14:paraId="099E4FC7" w14:textId="19674DE7" w:rsidR="00B1144C" w:rsidRDefault="00B1144C" w:rsidP="00B1144C">
      <w:pPr>
        <w:ind w:firstLine="567"/>
      </w:pPr>
      <w:r>
        <w:br w:type="page"/>
      </w:r>
    </w:p>
    <w:p w14:paraId="442FE5F5" w14:textId="3D5CA609" w:rsidR="00B1144C" w:rsidRDefault="00B1144C" w:rsidP="00B1144C">
      <w:pPr>
        <w:pStyle w:val="1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6</w:t>
      </w:r>
      <w:r w:rsidRPr="00B1144C">
        <w:rPr>
          <w:rFonts w:eastAsia="Times New Roman"/>
          <w:lang w:eastAsia="ru-RU"/>
        </w:rPr>
        <w:t xml:space="preserve"> Безопасность жизнедеятельности </w:t>
      </w:r>
    </w:p>
    <w:p w14:paraId="184B8C5E" w14:textId="79909B69" w:rsidR="00B1144C" w:rsidRDefault="00B1144C" w:rsidP="00B1144C">
      <w:pPr>
        <w:pStyle w:val="2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  <w:r w:rsidRPr="00B1144C">
        <w:rPr>
          <w:rFonts w:eastAsia="Times New Roman"/>
          <w:lang w:eastAsia="ru-RU"/>
        </w:rPr>
        <w:t xml:space="preserve">.1 Постановка задачи </w:t>
      </w:r>
    </w:p>
    <w:p w14:paraId="0F68C9BE" w14:textId="77777777" w:rsidR="00B1144C" w:rsidRDefault="00B1144C" w:rsidP="00B1144C">
      <w:pPr>
        <w:ind w:firstLine="567"/>
      </w:pPr>
      <w:r w:rsidRPr="00B1144C">
        <w:t xml:space="preserve">В данном разделе необходимо рассмотреть следующие вопросы: </w:t>
      </w:r>
    </w:p>
    <w:p w14:paraId="020B6FE4" w14:textId="7AB09973" w:rsidR="00B1144C" w:rsidRDefault="00B1144C" w:rsidP="00B1144C">
      <w:pPr>
        <w:ind w:firstLine="567"/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Особенности воздействия электронных систем на здоровье пользователей</w:t>
      </w:r>
      <w:r w:rsidRPr="00B1144C">
        <w:t xml:space="preserve">; </w:t>
      </w:r>
    </w:p>
    <w:p w14:paraId="4E679ED8" w14:textId="425FE5FF" w:rsidR="00B1144C" w:rsidRPr="00B1144C" w:rsidRDefault="00B1144C" w:rsidP="00B1144C">
      <w:pPr>
        <w:spacing w:after="200" w:line="276" w:lineRule="auto"/>
        <w:ind w:firstLine="567"/>
        <w:rPr>
          <w:rFonts w:eastAsiaTheme="minorHAnsi"/>
          <w:lang w:eastAsia="en-US"/>
        </w:rPr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Эргономические требования к системам отображения информации</w:t>
      </w:r>
      <w:r w:rsidRPr="00B1144C">
        <w:t xml:space="preserve">; </w:t>
      </w:r>
    </w:p>
    <w:p w14:paraId="22C267C2" w14:textId="1C399F7C" w:rsidR="00B1144C" w:rsidRPr="00B1144C" w:rsidRDefault="00B1144C" w:rsidP="00B1144C">
      <w:pPr>
        <w:spacing w:after="200" w:line="276" w:lineRule="auto"/>
        <w:ind w:firstLine="567"/>
        <w:rPr>
          <w:rFonts w:eastAsiaTheme="minorHAnsi"/>
          <w:lang w:eastAsia="en-US"/>
        </w:rPr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Режимы труда и отдыха при работе с электронными устройствами</w:t>
      </w:r>
      <w:r w:rsidRPr="00B1144C">
        <w:t xml:space="preserve">; </w:t>
      </w:r>
    </w:p>
    <w:p w14:paraId="2B244AC5" w14:textId="2F394DD9" w:rsidR="00B1144C" w:rsidRDefault="00B1144C" w:rsidP="00B1144C">
      <w:pPr>
        <w:spacing w:after="200" w:line="276" w:lineRule="auto"/>
        <w:ind w:firstLine="567"/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Экологические проблемы утилизации электронных гаджетов</w:t>
      </w:r>
      <w:r>
        <w:t>.</w:t>
      </w:r>
    </w:p>
    <w:p w14:paraId="446C47A3" w14:textId="0B8D8F17" w:rsidR="00B1144C" w:rsidRDefault="00B1144C" w:rsidP="00B1144C">
      <w:pPr>
        <w:spacing w:after="200" w:line="276" w:lineRule="auto"/>
        <w:ind w:firstLine="567"/>
      </w:pPr>
      <w:r>
        <w:t xml:space="preserve">6.2 </w:t>
      </w:r>
      <w:r>
        <w:t>Особенности воздействия электронных систем на здоровье пользователей</w:t>
      </w:r>
    </w:p>
    <w:p w14:paraId="50B713CF" w14:textId="77777777" w:rsidR="00B1144C" w:rsidRDefault="00B1144C" w:rsidP="00B1144C">
      <w:pPr>
        <w:spacing w:after="200" w:line="276" w:lineRule="auto"/>
        <w:ind w:firstLine="567"/>
      </w:pPr>
    </w:p>
    <w:p w14:paraId="514AEEDC" w14:textId="1A7FDDB8" w:rsidR="00B1144C" w:rsidRDefault="00B1144C" w:rsidP="00B1144C">
      <w:pPr>
        <w:spacing w:after="200" w:line="276" w:lineRule="auto"/>
        <w:ind w:firstLine="567"/>
      </w:pPr>
      <w:r>
        <w:t xml:space="preserve">6.3 </w:t>
      </w:r>
      <w:r>
        <w:t>Эргономические требования к системам отображения информации</w:t>
      </w:r>
    </w:p>
    <w:p w14:paraId="36699670" w14:textId="77777777" w:rsidR="00B1144C" w:rsidRDefault="00B1144C" w:rsidP="00B1144C">
      <w:pPr>
        <w:spacing w:after="200" w:line="276" w:lineRule="auto"/>
        <w:ind w:firstLine="567"/>
      </w:pPr>
    </w:p>
    <w:p w14:paraId="4AB969A9" w14:textId="29285FD2" w:rsidR="00B1144C" w:rsidRDefault="00B1144C" w:rsidP="00B1144C">
      <w:pPr>
        <w:spacing w:after="200" w:line="276" w:lineRule="auto"/>
        <w:ind w:firstLine="567"/>
      </w:pPr>
      <w:r>
        <w:t xml:space="preserve">6.4 </w:t>
      </w:r>
      <w:r>
        <w:t>Режимы труда и отдыха при работе с электронными устройствами</w:t>
      </w:r>
    </w:p>
    <w:p w14:paraId="6C648158" w14:textId="77777777" w:rsidR="00B1144C" w:rsidRDefault="00B1144C" w:rsidP="00B1144C">
      <w:r>
        <w:t xml:space="preserve">Условия труда – это совокупность факторов производственной (рабочей) среды и трудового процесса, оказывающих влияние на работоспособность и здоровье человека. Оптимальные условия труда – это условия труда, при которых воздействие на работника вредных и (или) опасных производственных факторов отсутствует или </w:t>
      </w:r>
      <w:proofErr w:type="gramStart"/>
      <w:r>
        <w:t>уровни воздействия</w:t>
      </w:r>
      <w:proofErr w:type="gramEnd"/>
      <w:r>
        <w:t xml:space="preserve"> которых не превышают уровни, установленные нормативами (гигиеническими нормативами) условий труда и принятые в качестве безопасных для человека, и создаются предпосылки для поддержания высокого уровня работоспособности работника. Согласно </w:t>
      </w:r>
      <w:proofErr w:type="spellStart"/>
      <w:r>
        <w:t>СанПин</w:t>
      </w:r>
      <w:proofErr w:type="spellEnd"/>
      <w:r>
        <w:t xml:space="preserve"> 2.2.2/2.4.1340-03 «Гигиенические требования к персональным электронно-вычислительным машинам и организации работы» требованиями для оптимального условия труда в части организации режимов труда и отдыха являются: Трудовая деятельность должна разделяться на 3 группы: группа А - работа по считыванию информации с экрана ВДТ с предварительным запросом; группа Б</w:t>
      </w:r>
    </w:p>
    <w:p w14:paraId="3DF7AC08" w14:textId="77777777" w:rsidR="00B1144C" w:rsidRDefault="00B1144C" w:rsidP="00B1144C">
      <w:r>
        <w:t>- работа по вводу информации; группа В - творческая работа в режиме диалога с ПЭВМ. При выполнении в течение рабочей смены работ, относящихся к разным видам трудовой деятельности, за основную работу с ПЭВМ следует принимать такую, которая занимает не менее 50 % времени в течение рабочей смены или рабочего дня. Для видов трудовой деятельности устанавливается 3 категории тяжести и напряженности работы с ПЭВМ, которые определяются: для группы А - по суммарному числу считываемых знаков за рабочую смену, но не более 60 000 знаков за смену; для группы Б - по суммарному числу считываемых или вводимых знаков за рабочую смену, но не более 40 000 знаков за смену; для группы В - по суммарному времени непосредственной работы с ПЭВМ за рабочую смену, но не более 6 ч за смену. В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 [28]</w:t>
      </w:r>
    </w:p>
    <w:p w14:paraId="2C74E327" w14:textId="77777777" w:rsidR="00B1144C" w:rsidRDefault="00B1144C" w:rsidP="00B1144C">
      <w:r>
        <w:t>Таблица 1.2 - Суммарное время регламентированных перерывов в зависимости от продолжительности работы, вида и категории трудовой деятельности с ПЭВМ</w:t>
      </w:r>
    </w:p>
    <w:p w14:paraId="0CF0B909" w14:textId="22EAA58F" w:rsidR="00B1144C" w:rsidRDefault="00B1144C" w:rsidP="00B1144C">
      <w:pPr>
        <w:spacing w:after="200" w:line="276" w:lineRule="auto"/>
        <w:ind w:firstLine="567"/>
        <w:rPr>
          <w:lang w:val="en-US"/>
        </w:rPr>
      </w:pPr>
      <w:r w:rsidRPr="00B1144C">
        <w:rPr>
          <w:lang w:val="en-US"/>
        </w:rPr>
        <w:lastRenderedPageBreak/>
        <w:drawing>
          <wp:inline distT="0" distB="0" distL="0" distR="0" wp14:anchorId="09CDA7F9" wp14:editId="202768C2">
            <wp:extent cx="5940425" cy="340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ADA" w14:textId="77777777" w:rsidR="00B1144C" w:rsidRDefault="00B1144C" w:rsidP="00B1144C">
      <w: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 При возникновении у работающих с ПЭВМ зрительного дискомфорта и других неблагоприятных субъективных ощущений, несмотря на соблюдение санитарно-гигиенических и эргономических требований, рекомендуется применять индивидуальный подход с ограничением времени работы с ПЭВМ. В случаях, когда характер работы требует постоянного взаимодействия с ВДТ (набор текстов или ввод данных и т. п.) с напряжением внимания и сосредоточенности, при исключении возможности периодического переключения на другие виды трудовой деятельности, не связанные с ПЭВМ, рекомендуется организация перерывов на 10—15 мин через каждые 45— 60 мин работы.</w:t>
      </w:r>
    </w:p>
    <w:p w14:paraId="23443776" w14:textId="77777777" w:rsidR="00B1144C" w:rsidRDefault="00B1144C" w:rsidP="00B1144C">
      <w:r>
        <w:t xml:space="preserve">При работе с ПЭВМ в ночную смену (с 22 до 6 ч), независимо от категории и вида трудовой деятельности, продолжительность регламентированных перерывов следует увеличивать на 30 %. Во время регламентированных перерывов с целью снижения </w:t>
      </w:r>
      <w:proofErr w:type="spellStart"/>
      <w:r>
        <w:t>нервноэмоционального</w:t>
      </w:r>
      <w:proofErr w:type="spellEnd"/>
      <w:r>
        <w:t xml:space="preserve">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>
        <w:t>позотонического</w:t>
      </w:r>
      <w:proofErr w:type="spellEnd"/>
      <w:r>
        <w:t xml:space="preserve"> утомления целесообразно выполнять комплексы упражнений. Работающим на ПЭВМ с высоким уровнем напряженности во время регламентированных перерывов и в конце рабочего дня рекомендуется психологическая разгрузка в специально оборудованных помещениях (комната психологической разгрузки). [28]</w:t>
      </w:r>
    </w:p>
    <w:p w14:paraId="1EDE1294" w14:textId="77777777" w:rsidR="00B1144C" w:rsidRPr="00B1144C" w:rsidRDefault="00B1144C" w:rsidP="00B1144C">
      <w:pPr>
        <w:spacing w:after="200" w:line="276" w:lineRule="auto"/>
        <w:ind w:firstLine="567"/>
      </w:pPr>
    </w:p>
    <w:p w14:paraId="6BBF23C8" w14:textId="09F73529" w:rsidR="00B1144C" w:rsidRDefault="00B1144C" w:rsidP="00B1144C">
      <w:pPr>
        <w:spacing w:after="200" w:line="276" w:lineRule="auto"/>
        <w:ind w:firstLine="567"/>
      </w:pPr>
      <w:r>
        <w:t xml:space="preserve">6.5 </w:t>
      </w:r>
      <w:r>
        <w:t>Экологические проблемы утилизации электронных гаджетов.</w:t>
      </w:r>
    </w:p>
    <w:p w14:paraId="130F1C66" w14:textId="6FC3FA79" w:rsidR="00B1144C" w:rsidRDefault="00B1144C" w:rsidP="00B1144C">
      <w:r>
        <w:t xml:space="preserve">Устаревшие персональные компьютеры или их элементы должны быть правильно утилизированы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 За несоблюдение законодательства России по утилизации офисной техники на организацию могут быть наложены штрафные санкции. [41] Выбрасывание компьютерной техники ведет к загрязнению окружающей среды. Персональный компьютер включает в свой состав как органические составляющие (пластик различных видов, материалы на основе </w:t>
      </w:r>
      <w:r>
        <w:lastRenderedPageBreak/>
        <w:t xml:space="preserve">поливинилхлорида, </w:t>
      </w:r>
      <w:r>
        <w:t>фенол формальдегида</w:t>
      </w:r>
      <w:r>
        <w:t>), так и почти полный набор металлов, в том числе и драгоценных. В связи с этим организации требуется документально контролировать оборот средств компьютерной техники от поступления до выбытия. Согласно Приказу ГТК РФ от 19.11.2002 N 1224 «О порядке учета и хранения изделий и материалов, изготовленных с применением драгоценных металлов и драгоценных камней», организация вправе:</w:t>
      </w:r>
    </w:p>
    <w:p w14:paraId="68E271B2" w14:textId="77777777" w:rsidR="00B1144C" w:rsidRDefault="00B1144C" w:rsidP="00B1144C">
      <w:r>
        <w:rPr>
          <w:rFonts w:ascii="Cambria Math" w:hAnsi="Cambria Math" w:cs="Cambria Math"/>
        </w:rPr>
        <w:t>⎯</w:t>
      </w:r>
      <w:r>
        <w:t xml:space="preserve"> самостоятельно обрабатывать (перерабатывать) собранный лом, содержащий драгоценные металлы; </w:t>
      </w:r>
      <w:r>
        <w:rPr>
          <w:rFonts w:ascii="Cambria Math" w:hAnsi="Cambria Math" w:cs="Cambria Math"/>
        </w:rPr>
        <w:t>⎯</w:t>
      </w:r>
      <w:r>
        <w:t xml:space="preserve"> реализовывать лом, содержащий драгоценные металлы; </w:t>
      </w:r>
      <w:r>
        <w:rPr>
          <w:rFonts w:ascii="Cambria Math" w:hAnsi="Cambria Math" w:cs="Cambria Math"/>
        </w:rPr>
        <w:t>⎯</w:t>
      </w:r>
      <w:r>
        <w:t xml:space="preserve"> передавать на давальческой основе аффинажным организациям или организациям, осуществляющим деятельность по заготовке лома и отходов, первичной обработке и переработке, для дальнейшего производства и аффинажа. Процесс утилизации компьютерной техники включает следующие пункты: </w:t>
      </w:r>
      <w:r>
        <w:rPr>
          <w:rFonts w:ascii="Cambria Math" w:hAnsi="Cambria Math" w:cs="Cambria Math"/>
        </w:rPr>
        <w:t>⎯</w:t>
      </w:r>
      <w:r>
        <w:t xml:space="preserve"> создание внутренней комиссии в организации, которая решит, что нужно списать; </w:t>
      </w:r>
      <w:r>
        <w:rPr>
          <w:rFonts w:ascii="Cambria Math" w:hAnsi="Cambria Math" w:cs="Cambria Math"/>
        </w:rPr>
        <w:t>⎯</w:t>
      </w:r>
      <w:r>
        <w:t xml:space="preserve"> составление экспертного заключения и подтверждение невозможности дальше пользоваться компьютерным оборудованием; </w:t>
      </w:r>
      <w:r>
        <w:rPr>
          <w:rFonts w:ascii="Cambria Math" w:hAnsi="Cambria Math" w:cs="Cambria Math"/>
        </w:rPr>
        <w:t>⎯</w:t>
      </w:r>
      <w:r>
        <w:t xml:space="preserve"> осуществление списания компьютерной техники, которое будет отражено в бухгалтерском учете; </w:t>
      </w:r>
      <w:r>
        <w:rPr>
          <w:rFonts w:ascii="Cambria Math" w:hAnsi="Cambria Math" w:cs="Cambria Math"/>
        </w:rPr>
        <w:t>⎯</w:t>
      </w:r>
      <w:r>
        <w:t xml:space="preserve"> утилизация мусора на лицензированном предприятии и получение документального подтверждения о проведенных действиях (акт выполненной работы, приема-передачи). </w:t>
      </w:r>
      <w:r>
        <w:rPr>
          <w:rFonts w:ascii="Cambria Math" w:hAnsi="Cambria Math" w:cs="Cambria Math"/>
        </w:rPr>
        <w:t>⎯</w:t>
      </w:r>
      <w:r>
        <w:t xml:space="preserve"> утилизация персональных компьютеров имеет определенные сложности в реализации, но это необходимый этап в поддержании экологической ситуации. [29]</w:t>
      </w:r>
    </w:p>
    <w:p w14:paraId="4A3AD311" w14:textId="4DC0199A" w:rsidR="00B1144C" w:rsidRDefault="00B1144C" w:rsidP="00B1144C">
      <w:pPr>
        <w:spacing w:after="200" w:line="276" w:lineRule="auto"/>
        <w:ind w:firstLine="567"/>
      </w:pPr>
    </w:p>
    <w:p w14:paraId="5DA30E66" w14:textId="32F66D83" w:rsidR="00B1144C" w:rsidRDefault="00B1144C" w:rsidP="00B1144C">
      <w:pPr>
        <w:spacing w:after="200" w:line="276" w:lineRule="auto"/>
        <w:ind w:firstLine="567"/>
      </w:pPr>
      <w:r>
        <w:t>6.6 Вывод</w:t>
      </w:r>
    </w:p>
    <w:p w14:paraId="75AFB962" w14:textId="1DB3180B" w:rsidR="00B1144C" w:rsidRPr="00B1144C" w:rsidRDefault="00B1144C" w:rsidP="00B1144C">
      <w:r>
        <w:t>В данном разделе были рассмотрены вопросы</w:t>
      </w:r>
      <w:r w:rsidRPr="00B1144C">
        <w:t>:</w:t>
      </w:r>
    </w:p>
    <w:p w14:paraId="2448A0DB" w14:textId="77777777" w:rsidR="00B1144C" w:rsidRDefault="00B1144C" w:rsidP="00B1144C">
      <w:pPr>
        <w:ind w:firstLine="567"/>
      </w:pPr>
    </w:p>
    <w:p w14:paraId="114FA9D5" w14:textId="77777777" w:rsidR="00B1144C" w:rsidRDefault="00B1144C" w:rsidP="00B1144C">
      <w:pPr>
        <w:ind w:firstLine="567"/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Особенности воздействия электронных систем на здоровье пользователей</w:t>
      </w:r>
      <w:r w:rsidRPr="00B1144C">
        <w:t xml:space="preserve">; </w:t>
      </w:r>
    </w:p>
    <w:p w14:paraId="383313AA" w14:textId="77777777" w:rsidR="00B1144C" w:rsidRPr="00B1144C" w:rsidRDefault="00B1144C" w:rsidP="00B1144C">
      <w:pPr>
        <w:spacing w:after="200" w:line="276" w:lineRule="auto"/>
        <w:ind w:firstLine="567"/>
        <w:rPr>
          <w:rFonts w:eastAsiaTheme="minorHAnsi"/>
          <w:lang w:eastAsia="en-US"/>
        </w:rPr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Эргономические требования к системам отображения информации</w:t>
      </w:r>
      <w:r w:rsidRPr="00B1144C">
        <w:t xml:space="preserve">; </w:t>
      </w:r>
    </w:p>
    <w:p w14:paraId="1A863EF2" w14:textId="77777777" w:rsidR="00B1144C" w:rsidRPr="00B1144C" w:rsidRDefault="00B1144C" w:rsidP="00B1144C">
      <w:pPr>
        <w:spacing w:after="200" w:line="276" w:lineRule="auto"/>
        <w:ind w:firstLine="567"/>
        <w:rPr>
          <w:rFonts w:eastAsiaTheme="minorHAnsi"/>
          <w:lang w:eastAsia="en-US"/>
        </w:rPr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Режимы труда и отдыха при работе с электронными устройствами</w:t>
      </w:r>
      <w:r w:rsidRPr="00B1144C">
        <w:t xml:space="preserve">; </w:t>
      </w:r>
    </w:p>
    <w:p w14:paraId="2B2989C1" w14:textId="77777777" w:rsidR="00B1144C" w:rsidRDefault="00B1144C" w:rsidP="00B1144C">
      <w:pPr>
        <w:spacing w:after="200" w:line="276" w:lineRule="auto"/>
        <w:ind w:firstLine="567"/>
      </w:pPr>
      <w:r w:rsidRPr="00B1144C">
        <w:rPr>
          <w:rFonts w:ascii="Cambria Math" w:hAnsi="Cambria Math" w:cs="Cambria Math"/>
        </w:rPr>
        <w:t>⎯</w:t>
      </w:r>
      <w:r w:rsidRPr="00B1144C">
        <w:t xml:space="preserve"> </w:t>
      </w:r>
      <w:r>
        <w:t>Экологические проблемы утилизации электронных гаджетов.</w:t>
      </w:r>
    </w:p>
    <w:p w14:paraId="32D3FE1A" w14:textId="77777777" w:rsidR="00B1144C" w:rsidRPr="00765762" w:rsidRDefault="00B1144C" w:rsidP="00B1144C">
      <w:pPr>
        <w:spacing w:after="200" w:line="276" w:lineRule="auto"/>
        <w:ind w:firstLine="567"/>
      </w:pPr>
    </w:p>
    <w:sectPr w:rsidR="00B1144C" w:rsidRPr="00765762" w:rsidSect="00FB6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96D"/>
    <w:multiLevelType w:val="hybridMultilevel"/>
    <w:tmpl w:val="8C4849B4"/>
    <w:lvl w:ilvl="0" w:tplc="C17E82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367"/>
    <w:multiLevelType w:val="hybridMultilevel"/>
    <w:tmpl w:val="AA669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607A"/>
    <w:multiLevelType w:val="hybridMultilevel"/>
    <w:tmpl w:val="20AE2C60"/>
    <w:lvl w:ilvl="0" w:tplc="29D2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593272"/>
    <w:multiLevelType w:val="hybridMultilevel"/>
    <w:tmpl w:val="70DAD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9E"/>
    <w:rsid w:val="00001EC4"/>
    <w:rsid w:val="00007DCB"/>
    <w:rsid w:val="0003168A"/>
    <w:rsid w:val="00032A03"/>
    <w:rsid w:val="0003685B"/>
    <w:rsid w:val="00045A26"/>
    <w:rsid w:val="000652B1"/>
    <w:rsid w:val="00087DC7"/>
    <w:rsid w:val="000950A4"/>
    <w:rsid w:val="000D5EAD"/>
    <w:rsid w:val="000F6CD2"/>
    <w:rsid w:val="001544CC"/>
    <w:rsid w:val="001733AC"/>
    <w:rsid w:val="001840CF"/>
    <w:rsid w:val="00187156"/>
    <w:rsid w:val="001B13AB"/>
    <w:rsid w:val="001C741F"/>
    <w:rsid w:val="001D1602"/>
    <w:rsid w:val="001F6902"/>
    <w:rsid w:val="0021371B"/>
    <w:rsid w:val="002720B8"/>
    <w:rsid w:val="00293B81"/>
    <w:rsid w:val="003104F8"/>
    <w:rsid w:val="00356DA6"/>
    <w:rsid w:val="00385295"/>
    <w:rsid w:val="00386098"/>
    <w:rsid w:val="003906EF"/>
    <w:rsid w:val="003D1129"/>
    <w:rsid w:val="003D45C4"/>
    <w:rsid w:val="00400894"/>
    <w:rsid w:val="0044774D"/>
    <w:rsid w:val="004540A3"/>
    <w:rsid w:val="004E48AE"/>
    <w:rsid w:val="004F2167"/>
    <w:rsid w:val="005211B8"/>
    <w:rsid w:val="005249E5"/>
    <w:rsid w:val="00531540"/>
    <w:rsid w:val="00545F4D"/>
    <w:rsid w:val="005601B2"/>
    <w:rsid w:val="005649B2"/>
    <w:rsid w:val="005730C8"/>
    <w:rsid w:val="005C5756"/>
    <w:rsid w:val="00616AE7"/>
    <w:rsid w:val="00677C06"/>
    <w:rsid w:val="00680F5C"/>
    <w:rsid w:val="00694525"/>
    <w:rsid w:val="006F1E3B"/>
    <w:rsid w:val="006F3002"/>
    <w:rsid w:val="0072082B"/>
    <w:rsid w:val="00756DDD"/>
    <w:rsid w:val="00765762"/>
    <w:rsid w:val="0076590C"/>
    <w:rsid w:val="00776F17"/>
    <w:rsid w:val="00796D7E"/>
    <w:rsid w:val="007E3A10"/>
    <w:rsid w:val="007E3EB8"/>
    <w:rsid w:val="008117A0"/>
    <w:rsid w:val="0084494C"/>
    <w:rsid w:val="0084767F"/>
    <w:rsid w:val="00912504"/>
    <w:rsid w:val="00930341"/>
    <w:rsid w:val="00966091"/>
    <w:rsid w:val="00974DB5"/>
    <w:rsid w:val="009A0DD2"/>
    <w:rsid w:val="009B0AF6"/>
    <w:rsid w:val="00A300C8"/>
    <w:rsid w:val="00A44BE1"/>
    <w:rsid w:val="00A55750"/>
    <w:rsid w:val="00A6446F"/>
    <w:rsid w:val="00AA34F5"/>
    <w:rsid w:val="00AA4061"/>
    <w:rsid w:val="00B10A9E"/>
    <w:rsid w:val="00B1144C"/>
    <w:rsid w:val="00BA37D8"/>
    <w:rsid w:val="00BA470A"/>
    <w:rsid w:val="00BC197C"/>
    <w:rsid w:val="00BD78C2"/>
    <w:rsid w:val="00BF7F7F"/>
    <w:rsid w:val="00C131E5"/>
    <w:rsid w:val="00C27DF8"/>
    <w:rsid w:val="00C47572"/>
    <w:rsid w:val="00C54FBC"/>
    <w:rsid w:val="00C67E0B"/>
    <w:rsid w:val="00C92BD6"/>
    <w:rsid w:val="00CB489B"/>
    <w:rsid w:val="00CC6335"/>
    <w:rsid w:val="00CE0958"/>
    <w:rsid w:val="00CF640C"/>
    <w:rsid w:val="00D118CC"/>
    <w:rsid w:val="00D12BA7"/>
    <w:rsid w:val="00D50762"/>
    <w:rsid w:val="00D81918"/>
    <w:rsid w:val="00DD2823"/>
    <w:rsid w:val="00E2305A"/>
    <w:rsid w:val="00E55DC7"/>
    <w:rsid w:val="00E72734"/>
    <w:rsid w:val="00E74EBC"/>
    <w:rsid w:val="00E77372"/>
    <w:rsid w:val="00E82306"/>
    <w:rsid w:val="00E855DF"/>
    <w:rsid w:val="00EA0372"/>
    <w:rsid w:val="00EC5CD9"/>
    <w:rsid w:val="00ED6437"/>
    <w:rsid w:val="00EE2031"/>
    <w:rsid w:val="00EF3379"/>
    <w:rsid w:val="00F27B4E"/>
    <w:rsid w:val="00F33D31"/>
    <w:rsid w:val="00F40CD6"/>
    <w:rsid w:val="00F5534E"/>
    <w:rsid w:val="00F74F9F"/>
    <w:rsid w:val="00F8468B"/>
    <w:rsid w:val="00F95F47"/>
    <w:rsid w:val="00F97DF1"/>
    <w:rsid w:val="00FB6A43"/>
    <w:rsid w:val="00FC7E29"/>
    <w:rsid w:val="00FD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E82E"/>
  <w15:docId w15:val="{1C6827BD-D11D-0E4F-9256-DFDD97C2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144C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144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F9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8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74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1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14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SHR8MA-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NSimakova</dc:creator>
  <cp:lastModifiedBy>Microsoft Office User</cp:lastModifiedBy>
  <cp:revision>3</cp:revision>
  <cp:lastPrinted>2016-05-25T07:33:00Z</cp:lastPrinted>
  <dcterms:created xsi:type="dcterms:W3CDTF">2021-11-08T14:32:00Z</dcterms:created>
  <dcterms:modified xsi:type="dcterms:W3CDTF">2021-11-14T16:37:00Z</dcterms:modified>
</cp:coreProperties>
</file>