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0A91" w14:textId="75FFB3B0" w:rsidR="00DE74E4" w:rsidRPr="0055086F" w:rsidRDefault="00DE74E4" w:rsidP="0055086F">
      <w:pPr>
        <w:rPr>
          <w:lang w:val="en-US"/>
        </w:rPr>
      </w:pPr>
      <w:r w:rsidRPr="0055086F">
        <w:rPr>
          <w:shd w:val="clear" w:color="auto" w:fill="FFFFFF"/>
        </w:rPr>
        <w:t>Категорирование объекта критической информационной инфраструктуры представляет собой установление соответствия объекта критической информационной инфраструктуры </w:t>
      </w:r>
      <w:hyperlink r:id="rId6" w:anchor="/document/71876120/entry/2000" w:history="1">
        <w:r w:rsidRPr="0055086F">
          <w:rPr>
            <w:rStyle w:val="a5"/>
            <w:rFonts w:cs="Times New Roman"/>
            <w:color w:val="551A8B"/>
            <w:szCs w:val="28"/>
            <w:u w:val="none"/>
            <w:shd w:val="clear" w:color="auto" w:fill="FFFFFF"/>
          </w:rPr>
          <w:t>критериям</w:t>
        </w:r>
      </w:hyperlink>
      <w:r w:rsidRPr="0055086F">
        <w:rPr>
          <w:shd w:val="clear" w:color="auto" w:fill="FFFFFF"/>
        </w:rPr>
        <w:t> значимости и показателям их значений, присвоение ему одной из категорий значимости, проверку сведений о результатах ее присвоения.</w:t>
      </w:r>
      <w:r w:rsidRPr="0055086F">
        <w:rPr>
          <w:shd w:val="clear" w:color="auto" w:fill="FFFFFF"/>
        </w:rPr>
        <w:t xml:space="preserve"> </w:t>
      </w:r>
      <w:r w:rsidR="00953A3B" w:rsidRPr="0055086F">
        <w:rPr>
          <w:shd w:val="clear" w:color="auto" w:fill="FFFFFF"/>
          <w:lang w:val="en-US"/>
        </w:rPr>
        <w:t>[</w:t>
      </w:r>
      <w:r w:rsidR="00953A3B" w:rsidRPr="0055086F">
        <w:rPr>
          <w:shd w:val="clear" w:color="auto" w:fill="FFFFFF"/>
        </w:rPr>
        <w:fldChar w:fldCharType="begin"/>
      </w:r>
      <w:r w:rsidR="00953A3B" w:rsidRPr="0055086F">
        <w:rPr>
          <w:shd w:val="clear" w:color="auto" w:fill="FFFFFF"/>
        </w:rPr>
        <w:instrText xml:space="preserve"> REF _Ref57631529 \r \h </w:instrText>
      </w:r>
      <w:r w:rsidR="00953A3B" w:rsidRPr="0055086F">
        <w:rPr>
          <w:shd w:val="clear" w:color="auto" w:fill="FFFFFF"/>
        </w:rPr>
      </w:r>
      <w:r w:rsidR="0055086F" w:rsidRPr="0055086F">
        <w:rPr>
          <w:shd w:val="clear" w:color="auto" w:fill="FFFFFF"/>
        </w:rPr>
        <w:instrText xml:space="preserve"> \* MERGEFORMAT </w:instrText>
      </w:r>
      <w:r w:rsidR="00953A3B" w:rsidRPr="0055086F">
        <w:rPr>
          <w:shd w:val="clear" w:color="auto" w:fill="FFFFFF"/>
        </w:rPr>
        <w:fldChar w:fldCharType="separate"/>
      </w:r>
      <w:r w:rsidR="00953A3B" w:rsidRPr="0055086F">
        <w:rPr>
          <w:shd w:val="clear" w:color="auto" w:fill="FFFFFF"/>
        </w:rPr>
        <w:t>2</w:t>
      </w:r>
      <w:r w:rsidR="00953A3B" w:rsidRPr="0055086F">
        <w:rPr>
          <w:shd w:val="clear" w:color="auto" w:fill="FFFFFF"/>
        </w:rPr>
        <w:fldChar w:fldCharType="end"/>
      </w:r>
      <w:r w:rsidR="00953A3B" w:rsidRPr="0055086F">
        <w:rPr>
          <w:shd w:val="clear" w:color="auto" w:fill="FFFFFF"/>
          <w:lang w:val="en-US"/>
        </w:rPr>
        <w:t>]</w:t>
      </w:r>
    </w:p>
    <w:p w14:paraId="26DA735C" w14:textId="2F5B33C0" w:rsidR="00052A06" w:rsidRPr="0055086F" w:rsidRDefault="00052A06" w:rsidP="0055086F">
      <w:r w:rsidRPr="0055086F">
        <w:t xml:space="preserve">Категорированию подлежат объекты критической информационной инфраструктуры, которые обеспечивают управленческие, технологические, производственные, </w:t>
      </w:r>
      <w:r w:rsidRPr="0055086F">
        <w:t>финансово экономические</w:t>
      </w:r>
      <w:r w:rsidRPr="0055086F">
        <w:t xml:space="preserve"> и (или) иные процессы в рамках выполнения функций (полномочий) или осуществления видов деятельности субъектов критической информационной инфраструктуры.</w:t>
      </w:r>
      <w:r w:rsidRPr="0055086F">
        <w:t xml:space="preserve"> [</w:t>
      </w:r>
      <w:r w:rsidRPr="0055086F">
        <w:fldChar w:fldCharType="begin"/>
      </w:r>
      <w:r w:rsidRPr="0055086F">
        <w:instrText xml:space="preserve"> REF _Ref57630421 \r \h </w:instrText>
      </w:r>
      <w:r w:rsidRPr="0055086F">
        <w:instrText xml:space="preserve"> \* MERGEFORMAT </w:instrText>
      </w:r>
      <w:r w:rsidRPr="0055086F">
        <w:fldChar w:fldCharType="separate"/>
      </w:r>
      <w:r w:rsidRPr="0055086F">
        <w:t>1</w:t>
      </w:r>
      <w:r w:rsidRPr="0055086F">
        <w:fldChar w:fldCharType="end"/>
      </w:r>
      <w:r w:rsidRPr="0055086F">
        <w:t>]</w:t>
      </w:r>
    </w:p>
    <w:p w14:paraId="7E5DA354" w14:textId="6998F059" w:rsidR="00DE74E4" w:rsidRPr="0055086F" w:rsidRDefault="00DE74E4" w:rsidP="0055086F">
      <w:pPr>
        <w:rPr>
          <w:color w:val="1E2123"/>
        </w:rPr>
      </w:pPr>
      <w:r w:rsidRPr="0055086F">
        <w:rPr>
          <w:color w:val="1E2123"/>
        </w:rPr>
        <w:t>Первое, что нужно сделать – это составить для себя алгоритм категорирования объектов КИИ:</w:t>
      </w:r>
    </w:p>
    <w:p w14:paraId="694FC553" w14:textId="7777777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Отвечаем на вопрос, является ли наша организация субъектом КИИ (согласно № 187-ФЗ, см. выше, определены конкретные отрасли).</w:t>
      </w:r>
    </w:p>
    <w:p w14:paraId="3451EC13" w14:textId="7777777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Определяем все процессы в нашей организации и составляем их полный перечень (процессы могут быть управленческие, технологические, финансово-экономические, производственные и т.д.).</w:t>
      </w:r>
    </w:p>
    <w:p w14:paraId="45DA7675" w14:textId="7777777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Выявляем из всех процессов именно критические процессы.</w:t>
      </w:r>
    </w:p>
    <w:p w14:paraId="68FF535F" w14:textId="7777777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Выделяем объекты, которые обрабатывают информацию, необходимую для обеспечения выполнения критических процессов и (или) осуществляют управление, контроль или мониторинг критических процессов.</w:t>
      </w:r>
    </w:p>
    <w:p w14:paraId="262E60CB" w14:textId="7777777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Смотрим </w:t>
      </w:r>
      <w:hyperlink r:id="rId7" w:history="1">
        <w:r w:rsidRPr="0055086F">
          <w:rPr>
            <w:rFonts w:eastAsia="Times New Roman"/>
            <w:color w:val="2A7EC7"/>
            <w:lang w:eastAsia="ru-RU"/>
          </w:rPr>
          <w:t> ПП №127</w:t>
        </w:r>
      </w:hyperlink>
      <w:r w:rsidRPr="0055086F">
        <w:rPr>
          <w:rFonts w:eastAsia="Times New Roman"/>
          <w:color w:val="1E2123"/>
          <w:lang w:eastAsia="ru-RU"/>
        </w:rPr>
        <w:t> и оцениваем, исходя из перечня показателей критериев значимости и учитывая дополнительные исходные данные, к какой категории относятся объекты КИИ.</w:t>
      </w:r>
    </w:p>
    <w:p w14:paraId="5C441A32" w14:textId="7C5DD45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Готовим Акт категорирования объектов КИИ для отправки во ФСТЭК.</w:t>
      </w:r>
    </w:p>
    <w:p w14:paraId="36A81899" w14:textId="4C158769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1A8A154A" w14:textId="77777777" w:rsidR="00953A3B" w:rsidRPr="0055086F" w:rsidRDefault="00953A3B" w:rsidP="0055086F">
      <w:pPr>
        <w:rPr>
          <w:color w:val="000000"/>
        </w:rPr>
      </w:pPr>
      <w:r w:rsidRPr="0055086F">
        <w:rPr>
          <w:color w:val="000000"/>
        </w:rPr>
        <w:t>"При этом с учетом положений Федерального закона N 187-ФЗ [2] в качестве причины возникновения негативных последствий рассматривается только компьютерные инциденты вследствие компьютерных атак, т.е. не рассматриваются случаи, когда:</w:t>
      </w:r>
    </w:p>
    <w:p w14:paraId="3E5F6CB5" w14:textId="77777777" w:rsidR="00953A3B" w:rsidRPr="0055086F" w:rsidRDefault="00953A3B" w:rsidP="0055086F">
      <w:pPr>
        <w:rPr>
          <w:color w:val="000000"/>
        </w:rPr>
      </w:pPr>
      <w:r w:rsidRPr="0055086F">
        <w:rPr>
          <w:color w:val="000000"/>
        </w:rPr>
        <w:lastRenderedPageBreak/>
        <w:t>─ оператор связи прекращает и/или ограничивает оказание услуг электросвязи на основании Правил оказания услуг связи [9-11] или договора возмездного оказания услуг между абонентом и оператором связи;</w:t>
      </w:r>
    </w:p>
    <w:p w14:paraId="6DDA37C3" w14:textId="77777777" w:rsidR="00953A3B" w:rsidRPr="0055086F" w:rsidRDefault="00953A3B" w:rsidP="0055086F">
      <w:pPr>
        <w:rPr>
          <w:color w:val="000000"/>
        </w:rPr>
      </w:pPr>
      <w:r w:rsidRPr="0055086F">
        <w:rPr>
          <w:color w:val="000000"/>
        </w:rPr>
        <w:t>─ прекращение и/или нарушение оказания услуг электросвязи вызвано техногенной аварией, природным явлением и/или стихийным бедствием;</w:t>
      </w:r>
    </w:p>
    <w:p w14:paraId="679A3623" w14:textId="2A2AA121" w:rsidR="00953A3B" w:rsidRPr="0055086F" w:rsidRDefault="00953A3B" w:rsidP="0055086F">
      <w:pPr>
        <w:rPr>
          <w:color w:val="000000"/>
        </w:rPr>
      </w:pPr>
      <w:r w:rsidRPr="0055086F">
        <w:rPr>
          <w:color w:val="000000"/>
        </w:rPr>
        <w:t>─ прекращение и/или нарушение оказания услуг электросвязи вызвано непреднамеренными действиями оператора связи, пользователей услугами связи или третьих лиц (обрыв линий связи, создание аварийных ситуаций в отношении средств связи и т.п.)."</w:t>
      </w:r>
    </w:p>
    <w:p w14:paraId="4074284F" w14:textId="5B9F1DDD" w:rsidR="00B657DA" w:rsidRPr="0055086F" w:rsidRDefault="00B657DA" w:rsidP="0055086F">
      <w:pPr>
        <w:rPr>
          <w:color w:val="000000"/>
        </w:rPr>
      </w:pPr>
      <w:r w:rsidRPr="0055086F">
        <w:rPr>
          <w:color w:val="000000"/>
        </w:rPr>
        <w:drawing>
          <wp:inline distT="0" distB="0" distL="0" distR="0" wp14:anchorId="02498121" wp14:editId="48BD121F">
            <wp:extent cx="5940425" cy="88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B4D" w14:textId="77777777" w:rsidR="00B279F9" w:rsidRPr="0055086F" w:rsidRDefault="00B279F9" w:rsidP="0055086F">
      <w:r w:rsidRPr="0055086F">
        <w:t>В соответствии с определением в 187-ФЗ, субъект КИИ — это:</w:t>
      </w:r>
    </w:p>
    <w:p w14:paraId="117679C3" w14:textId="77777777" w:rsidR="00B279F9" w:rsidRPr="0055086F" w:rsidRDefault="00B279F9" w:rsidP="0055086F">
      <w:r w:rsidRPr="0055086F">
        <w:t xml:space="preserve">государственный орган, государственное учреждение, российское юридическое лицо и (или) индивидуальный предприниматель, которому на праве собственности, аренды или на ином законном основании принадлежат информационные системы, информационно-телекоммуникационные сети, автоматизированные системы управления, функционирующие в сфере: </w:t>
      </w:r>
    </w:p>
    <w:p w14:paraId="26936373" w14:textId="77777777" w:rsidR="00B279F9" w:rsidRPr="0055086F" w:rsidRDefault="00B279F9" w:rsidP="0055086F">
      <w:r w:rsidRPr="0055086F">
        <w:t xml:space="preserve">‒ </w:t>
      </w:r>
      <w:proofErr w:type="gramStart"/>
      <w:r w:rsidRPr="0055086F">
        <w:t>здравоохранения ,</w:t>
      </w:r>
      <w:proofErr w:type="gramEnd"/>
      <w:r w:rsidRPr="0055086F">
        <w:t xml:space="preserve"> </w:t>
      </w:r>
    </w:p>
    <w:p w14:paraId="60D51407" w14:textId="77777777" w:rsidR="00B279F9" w:rsidRPr="0055086F" w:rsidRDefault="00B279F9" w:rsidP="0055086F">
      <w:r w:rsidRPr="0055086F">
        <w:t xml:space="preserve">‒ науки, </w:t>
      </w:r>
    </w:p>
    <w:p w14:paraId="4684536C" w14:textId="77777777" w:rsidR="00B279F9" w:rsidRPr="0055086F" w:rsidRDefault="00B279F9" w:rsidP="0055086F">
      <w:r w:rsidRPr="0055086F">
        <w:t>‒ транспорта,</w:t>
      </w:r>
    </w:p>
    <w:p w14:paraId="33E1DD1E" w14:textId="77777777" w:rsidR="00B279F9" w:rsidRPr="0055086F" w:rsidRDefault="00B279F9" w:rsidP="0055086F">
      <w:r w:rsidRPr="0055086F">
        <w:t xml:space="preserve"> ‒ </w:t>
      </w:r>
      <w:proofErr w:type="gramStart"/>
      <w:r w:rsidRPr="0055086F">
        <w:t>связи ,</w:t>
      </w:r>
      <w:proofErr w:type="gramEnd"/>
      <w:r w:rsidRPr="0055086F">
        <w:t xml:space="preserve"> </w:t>
      </w:r>
    </w:p>
    <w:p w14:paraId="5EB5D2FE" w14:textId="77777777" w:rsidR="00B279F9" w:rsidRPr="0055086F" w:rsidRDefault="00B279F9" w:rsidP="0055086F">
      <w:r w:rsidRPr="0055086F">
        <w:t xml:space="preserve">‒ </w:t>
      </w:r>
      <w:proofErr w:type="gramStart"/>
      <w:r w:rsidRPr="0055086F">
        <w:t>энергетики ,</w:t>
      </w:r>
      <w:proofErr w:type="gramEnd"/>
    </w:p>
    <w:p w14:paraId="537C7E2B" w14:textId="77777777" w:rsidR="00B279F9" w:rsidRPr="0055086F" w:rsidRDefault="00B279F9" w:rsidP="0055086F">
      <w:r w:rsidRPr="0055086F">
        <w:t xml:space="preserve"> ‒ банковской сфере и иных сферах финансового рынка, </w:t>
      </w:r>
    </w:p>
    <w:p w14:paraId="344EB533" w14:textId="77777777" w:rsidR="00B279F9" w:rsidRPr="0055086F" w:rsidRDefault="00B279F9" w:rsidP="0055086F">
      <w:r w:rsidRPr="0055086F">
        <w:t xml:space="preserve">‒ топливно-энергетического комплекса, </w:t>
      </w:r>
    </w:p>
    <w:p w14:paraId="35FE1BB1" w14:textId="77777777" w:rsidR="00B279F9" w:rsidRPr="0055086F" w:rsidRDefault="00B279F9" w:rsidP="0055086F">
      <w:r w:rsidRPr="0055086F">
        <w:t xml:space="preserve">‒ атомной энергии, ‒ оборонной промышленности, </w:t>
      </w:r>
    </w:p>
    <w:p w14:paraId="70BC9028" w14:textId="77777777" w:rsidR="00B279F9" w:rsidRPr="0055086F" w:rsidRDefault="00B279F9" w:rsidP="0055086F">
      <w:r w:rsidRPr="0055086F">
        <w:t>‒ ракетно-космической промышленности,</w:t>
      </w:r>
    </w:p>
    <w:p w14:paraId="6C851B06" w14:textId="77777777" w:rsidR="00B279F9" w:rsidRPr="0055086F" w:rsidRDefault="00B279F9" w:rsidP="0055086F">
      <w:r w:rsidRPr="0055086F">
        <w:t xml:space="preserve"> ‒ горнодобывающей промышленности, </w:t>
      </w:r>
    </w:p>
    <w:p w14:paraId="1D922437" w14:textId="77777777" w:rsidR="00B279F9" w:rsidRPr="0055086F" w:rsidRDefault="00B279F9" w:rsidP="0055086F">
      <w:r w:rsidRPr="0055086F">
        <w:t>‒ металлургической промышленности,</w:t>
      </w:r>
    </w:p>
    <w:p w14:paraId="70F8B5E3" w14:textId="496AB442" w:rsidR="00953A3B" w:rsidRPr="0055086F" w:rsidRDefault="00B279F9" w:rsidP="0055086F">
      <w:r w:rsidRPr="0055086F">
        <w:t xml:space="preserve"> ‒ химической промышленности;</w:t>
      </w:r>
    </w:p>
    <w:p w14:paraId="18DBD0CA" w14:textId="285AA28A" w:rsidR="00B279F9" w:rsidRPr="0055086F" w:rsidRDefault="00B279F9" w:rsidP="0055086F">
      <w:r w:rsidRPr="0055086F">
        <w:lastRenderedPageBreak/>
        <w:br/>
      </w:r>
      <w:r w:rsidRPr="0055086F">
        <w:t>2) российское юридическое лицо и (или) индивидуальный предприниматель, который обеспечивает взаимодействие указанных систем или сетей.</w:t>
      </w:r>
    </w:p>
    <w:p w14:paraId="381A4F04" w14:textId="64561FD9" w:rsidR="0055086F" w:rsidRPr="0055086F" w:rsidRDefault="0055086F" w:rsidP="0055086F"/>
    <w:p w14:paraId="5710A80A" w14:textId="77777777" w:rsidR="0055086F" w:rsidRPr="0055086F" w:rsidRDefault="0055086F" w:rsidP="0055086F">
      <w:pPr>
        <w:rPr>
          <w:rFonts w:eastAsia="Times New Roman"/>
          <w:color w:val="1E2123"/>
          <w:lang w:eastAsia="ru-RU"/>
        </w:rPr>
      </w:pPr>
    </w:p>
    <w:p w14:paraId="70376F25" w14:textId="4653568F" w:rsidR="00953A3B" w:rsidRPr="0055086F" w:rsidRDefault="0055086F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drawing>
          <wp:inline distT="0" distB="0" distL="0" distR="0" wp14:anchorId="6196E110" wp14:editId="0F443288">
            <wp:extent cx="5940425" cy="3655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8CE9" w14:textId="0AD80621" w:rsidR="0055086F" w:rsidRPr="0055086F" w:rsidRDefault="0055086F" w:rsidP="0055086F">
      <w:pPr>
        <w:rPr>
          <w:rFonts w:eastAsia="Times New Roman"/>
          <w:color w:val="1E2123"/>
          <w:lang w:eastAsia="ru-RU"/>
        </w:rPr>
      </w:pPr>
      <w:r w:rsidRPr="0055086F">
        <w:rPr>
          <w:rFonts w:eastAsia="Times New Roman"/>
          <w:color w:val="1E2123"/>
          <w:lang w:eastAsia="ru-RU"/>
        </w:rPr>
        <w:t>[</w:t>
      </w:r>
      <w:r w:rsidRPr="0055086F">
        <w:rPr>
          <w:rFonts w:eastAsia="Times New Roman"/>
          <w:color w:val="1E2123"/>
          <w:lang w:eastAsia="ru-RU"/>
        </w:rPr>
        <w:fldChar w:fldCharType="begin"/>
      </w:r>
      <w:r w:rsidRPr="0055086F">
        <w:rPr>
          <w:rFonts w:eastAsia="Times New Roman"/>
          <w:color w:val="1E2123"/>
          <w:lang w:eastAsia="ru-RU"/>
        </w:rPr>
        <w:instrText xml:space="preserve"> PAGEREF _Ref57635069 \h </w:instrText>
      </w:r>
      <w:r w:rsidRPr="0055086F">
        <w:rPr>
          <w:rFonts w:eastAsia="Times New Roman"/>
          <w:color w:val="1E2123"/>
          <w:lang w:eastAsia="ru-RU"/>
        </w:rPr>
      </w:r>
      <w:r w:rsidRPr="0055086F">
        <w:rPr>
          <w:rFonts w:eastAsia="Times New Roman"/>
          <w:color w:val="1E2123"/>
          <w:lang w:eastAsia="ru-RU"/>
        </w:rPr>
        <w:fldChar w:fldCharType="separate"/>
      </w:r>
      <w:r w:rsidRPr="0055086F">
        <w:rPr>
          <w:rFonts w:eastAsia="Times New Roman"/>
          <w:noProof/>
          <w:color w:val="1E2123"/>
          <w:lang w:eastAsia="ru-RU"/>
        </w:rPr>
        <w:t>5</w:t>
      </w:r>
      <w:r w:rsidRPr="0055086F">
        <w:rPr>
          <w:rFonts w:eastAsia="Times New Roman"/>
          <w:color w:val="1E2123"/>
          <w:lang w:eastAsia="ru-RU"/>
        </w:rPr>
        <w:fldChar w:fldCharType="end"/>
      </w:r>
      <w:r w:rsidRPr="0055086F">
        <w:rPr>
          <w:rFonts w:eastAsia="Times New Roman"/>
          <w:color w:val="1E2123"/>
          <w:lang w:eastAsia="ru-RU"/>
        </w:rPr>
        <w:t>]</w:t>
      </w:r>
    </w:p>
    <w:p w14:paraId="09C6BFA9" w14:textId="28B3611B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5115A415" w14:textId="77777777" w:rsidR="00F77A11" w:rsidRDefault="0055086F" w:rsidP="0055086F">
      <w:r>
        <w:t xml:space="preserve">В 187-ФЗ установлены 13 сфер (областей деятельности), которые подпадают под его область действия. При этом, по определению, к субъектам КИИ относятся те организации, которые владеют объектами, функционирующими в указанных сферах, а не организации, работающие в данных областях (ФЗ-187 Статья 2, п.8). </w:t>
      </w:r>
    </w:p>
    <w:p w14:paraId="4E368726" w14:textId="77777777" w:rsidR="00F77A11" w:rsidRDefault="0055086F" w:rsidP="0055086F">
      <w:r>
        <w:t xml:space="preserve"> В соответствии с разъяснениями ФСТЭК России, достаточным фактом для признания организации субъектом является сочетание следующих факторов:</w:t>
      </w:r>
    </w:p>
    <w:p w14:paraId="131C1F58" w14:textId="77777777" w:rsidR="00F77A11" w:rsidRDefault="0055086F" w:rsidP="0055086F">
      <w:r>
        <w:t xml:space="preserve"> - организация работает в одной из указанных сфер; </w:t>
      </w:r>
    </w:p>
    <w:p w14:paraId="04A110D2" w14:textId="38EB27CB" w:rsidR="00953A3B" w:rsidRDefault="0055086F" w:rsidP="0055086F">
      <w:r>
        <w:lastRenderedPageBreak/>
        <w:t>- организация владеет какими-либо ИС, АСУ, ИТС. То есть предлагается отталкиваться от сферы работы организации, а не от области функционирования систем.</w:t>
      </w:r>
    </w:p>
    <w:p w14:paraId="306272C2" w14:textId="77777777" w:rsidR="00F77A11" w:rsidRPr="0055086F" w:rsidRDefault="00F77A11" w:rsidP="0055086F">
      <w:pPr>
        <w:rPr>
          <w:rFonts w:eastAsia="Times New Roman"/>
          <w:color w:val="1E2123"/>
          <w:lang w:eastAsia="ru-RU"/>
        </w:rPr>
      </w:pPr>
    </w:p>
    <w:p w14:paraId="0150DD3C" w14:textId="16440896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4B0A2867" w14:textId="5FBCC874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6862E1CE" w14:textId="347D899B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4F14DD1E" w14:textId="6E73B19F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677205EA" w14:textId="1C59C43E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3ACA3705" w14:textId="7AAD9301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6FED858C" w14:textId="06293330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759D7E7E" w14:textId="360AA19C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50E69EA2" w14:textId="3A609933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26E20608" w14:textId="480E25D7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61CE8724" w14:textId="4B234858" w:rsidR="00953A3B" w:rsidRPr="0055086F" w:rsidRDefault="00953A3B" w:rsidP="0055086F">
      <w:pPr>
        <w:rPr>
          <w:rFonts w:eastAsia="Times New Roman"/>
          <w:color w:val="1E2123"/>
          <w:lang w:eastAsia="ru-RU"/>
        </w:rPr>
      </w:pPr>
    </w:p>
    <w:p w14:paraId="466EE9EF" w14:textId="77777777" w:rsidR="00DE74E4" w:rsidRPr="0055086F" w:rsidRDefault="00DE74E4" w:rsidP="0055086F">
      <w:pPr>
        <w:rPr>
          <w:rFonts w:eastAsia="Times New Roman"/>
          <w:color w:val="1E2123"/>
          <w:lang w:eastAsia="ru-RU"/>
        </w:rPr>
      </w:pPr>
    </w:p>
    <w:p w14:paraId="3788D826" w14:textId="2B4982B7" w:rsidR="00DE74E4" w:rsidRPr="0055086F" w:rsidRDefault="00DE74E4" w:rsidP="0055086F">
      <w:r w:rsidRPr="0055086F">
        <w:br w:type="page"/>
      </w:r>
    </w:p>
    <w:p w14:paraId="3E286E0A" w14:textId="77777777" w:rsidR="00052A06" w:rsidRPr="0055086F" w:rsidRDefault="00052A06" w:rsidP="0055086F"/>
    <w:p w14:paraId="62377101" w14:textId="64D1E6F6" w:rsidR="000B4E8E" w:rsidRPr="0055086F" w:rsidRDefault="00052A06" w:rsidP="0055086F">
      <w:r w:rsidRPr="0055086F">
        <w:t>Библиография</w:t>
      </w:r>
    </w:p>
    <w:p w14:paraId="63966499" w14:textId="268A4817" w:rsidR="00052A06" w:rsidRPr="0055086F" w:rsidRDefault="00052A06" w:rsidP="0055086F">
      <w:pPr>
        <w:rPr>
          <w:color w:val="1E2123"/>
          <w:shd w:val="clear" w:color="auto" w:fill="FFFFFF"/>
        </w:rPr>
      </w:pPr>
      <w:bookmarkStart w:id="0" w:name="_Ref57630421"/>
      <w:r w:rsidRPr="0055086F">
        <w:t xml:space="preserve">Постановление правительства </w:t>
      </w:r>
      <w:r w:rsidRPr="0055086F">
        <w:rPr>
          <w:color w:val="1E2123"/>
          <w:shd w:val="clear" w:color="auto" w:fill="FFFFFF"/>
        </w:rPr>
        <w:t>№127</w:t>
      </w:r>
      <w:bookmarkEnd w:id="0"/>
    </w:p>
    <w:p w14:paraId="21FC5241" w14:textId="1DAEAF77" w:rsidR="00052A06" w:rsidRPr="0055086F" w:rsidRDefault="00953A3B" w:rsidP="0055086F">
      <w:pPr>
        <w:rPr>
          <w:color w:val="1E2123"/>
          <w:shd w:val="clear" w:color="auto" w:fill="FFFFFF"/>
        </w:rPr>
      </w:pPr>
      <w:bookmarkStart w:id="1" w:name="_Ref57631529"/>
      <w:r w:rsidRPr="0055086F">
        <w:rPr>
          <w:color w:val="464C55"/>
          <w:shd w:val="clear" w:color="auto" w:fill="FFFFFF"/>
        </w:rPr>
        <w:t>Федеральный закон от 26 июля 2017 г. N 187-ФЗ "О безопасности критической информационной инфраструктуры Российской Федерации"</w:t>
      </w:r>
      <w:bookmarkEnd w:id="1"/>
    </w:p>
    <w:p w14:paraId="518E2E70" w14:textId="7C64AEFA" w:rsidR="00B657DA" w:rsidRPr="0055086F" w:rsidRDefault="00B657DA" w:rsidP="0055086F">
      <w:pPr>
        <w:rPr>
          <w:color w:val="1E2123"/>
          <w:shd w:val="clear" w:color="auto" w:fill="FFFFFF"/>
        </w:rPr>
      </w:pPr>
      <w:hyperlink r:id="rId10" w:history="1">
        <w:r w:rsidRPr="0055086F">
          <w:rPr>
            <w:rStyle w:val="a5"/>
            <w:rFonts w:cs="Times New Roman"/>
            <w:szCs w:val="28"/>
            <w:u w:val="none"/>
            <w:shd w:val="clear" w:color="auto" w:fill="FFFFFF"/>
          </w:rPr>
          <w:t>https://zen.yandex.ru/media/id/5c7b7864fa818600ae3856a1/klub-liubitelei-kii-sostavliaem-perechen-obektov-podlejascih-kategorirovaniiu-5e289c87df944400bd8ad506</w:t>
        </w:r>
      </w:hyperlink>
      <w:r w:rsidRPr="0055086F">
        <w:rPr>
          <w:color w:val="1E2123"/>
          <w:shd w:val="clear" w:color="auto" w:fill="FFFFFF"/>
        </w:rPr>
        <w:t xml:space="preserve">  - полезное про процесс принятия КИИ </w:t>
      </w:r>
    </w:p>
    <w:p w14:paraId="3D99ADFF" w14:textId="742BACD8" w:rsidR="00B657DA" w:rsidRPr="0055086F" w:rsidRDefault="00B279F9" w:rsidP="0055086F">
      <w:pPr>
        <w:rPr>
          <w:color w:val="1E2123"/>
          <w:shd w:val="clear" w:color="auto" w:fill="FFFFFF"/>
        </w:rPr>
      </w:pPr>
      <w:hyperlink r:id="rId11" w:history="1">
        <w:r w:rsidRPr="0055086F">
          <w:rPr>
            <w:rStyle w:val="a5"/>
            <w:rFonts w:cs="Times New Roman"/>
            <w:szCs w:val="28"/>
            <w:u w:val="none"/>
            <w:shd w:val="clear" w:color="auto" w:fill="FFFFFF"/>
          </w:rPr>
          <w:t>https://www.tadviser.ru/index.php/Статья:Как_выполнить_требования_закона_187-ФЗ_о_безопасности_критической_информационной_инфраструктуры_Рекомендации_«Стэп_Лоджик»#cite_note-0</w:t>
        </w:r>
      </w:hyperlink>
      <w:r w:rsidRPr="0055086F">
        <w:rPr>
          <w:color w:val="1E2123"/>
          <w:shd w:val="clear" w:color="auto" w:fill="FFFFFF"/>
        </w:rPr>
        <w:t xml:space="preserve"> – как выполнить требования 187 ФЗ обобщенная информация </w:t>
      </w:r>
    </w:p>
    <w:bookmarkStart w:id="2" w:name="_Ref57635069"/>
    <w:p w14:paraId="4A92D01B" w14:textId="0F87ABA9" w:rsidR="00B279F9" w:rsidRPr="0055086F" w:rsidRDefault="00B279F9" w:rsidP="0055086F">
      <w:pPr>
        <w:rPr>
          <w:color w:val="1E2123"/>
          <w:shd w:val="clear" w:color="auto" w:fill="FFFFFF"/>
        </w:rPr>
      </w:pPr>
      <w:r w:rsidRPr="0055086F">
        <w:rPr>
          <w:color w:val="1E2123"/>
          <w:shd w:val="clear" w:color="auto" w:fill="FFFFFF"/>
        </w:rPr>
        <w:fldChar w:fldCharType="begin"/>
      </w:r>
      <w:r w:rsidRPr="0055086F">
        <w:rPr>
          <w:color w:val="1E2123"/>
          <w:shd w:val="clear" w:color="auto" w:fill="FFFFFF"/>
        </w:rPr>
        <w:instrText xml:space="preserve"> HYPERLINK "</w:instrText>
      </w:r>
      <w:r w:rsidRPr="0055086F">
        <w:rPr>
          <w:color w:val="1E2123"/>
          <w:shd w:val="clear" w:color="auto" w:fill="FFFFFF"/>
        </w:rPr>
        <w:instrText>https://step.ru/upload/pdf/87877a75035badbaed3ab8f792ea0ca5.pdf</w:instrText>
      </w:r>
      <w:r w:rsidRPr="0055086F">
        <w:rPr>
          <w:color w:val="1E2123"/>
          <w:shd w:val="clear" w:color="auto" w:fill="FFFFFF"/>
        </w:rPr>
        <w:instrText xml:space="preserve">" </w:instrText>
      </w:r>
      <w:r w:rsidRPr="0055086F">
        <w:rPr>
          <w:color w:val="1E2123"/>
          <w:shd w:val="clear" w:color="auto" w:fill="FFFFFF"/>
        </w:rPr>
        <w:fldChar w:fldCharType="separate"/>
      </w:r>
      <w:r w:rsidRPr="0055086F">
        <w:rPr>
          <w:rStyle w:val="a5"/>
          <w:rFonts w:cs="Times New Roman"/>
          <w:szCs w:val="28"/>
          <w:u w:val="none"/>
          <w:shd w:val="clear" w:color="auto" w:fill="FFFFFF"/>
        </w:rPr>
        <w:t>https://step.ru/upload/pdf/87877a75035badbaed3ab8f792ea0ca5.pdf</w:t>
      </w:r>
      <w:r w:rsidRPr="0055086F">
        <w:rPr>
          <w:color w:val="1E2123"/>
          <w:shd w:val="clear" w:color="auto" w:fill="FFFFFF"/>
        </w:rPr>
        <w:fldChar w:fldCharType="end"/>
      </w:r>
      <w:r w:rsidRPr="0055086F">
        <w:rPr>
          <w:color w:val="1E2123"/>
          <w:shd w:val="clear" w:color="auto" w:fill="FFFFFF"/>
        </w:rPr>
        <w:t xml:space="preserve">  </w:t>
      </w:r>
      <w:r w:rsidRPr="0055086F">
        <w:t xml:space="preserve">МЕТОДИЧЕСКИЕ РЕКОМЕНДАЦИИ Категорирование объектов критической информационной </w:t>
      </w:r>
      <w:proofErr w:type="gramStart"/>
      <w:r w:rsidRPr="0055086F">
        <w:t>инфраструктуры</w:t>
      </w:r>
      <w:r w:rsidRPr="0055086F">
        <w:t xml:space="preserve">  -</w:t>
      </w:r>
      <w:proofErr w:type="gramEnd"/>
      <w:r w:rsidRPr="0055086F">
        <w:t xml:space="preserve"> методичка, как выполнить 187 ФЗ</w:t>
      </w:r>
      <w:bookmarkEnd w:id="2"/>
      <w:r w:rsidRPr="0055086F">
        <w:t xml:space="preserve"> </w:t>
      </w:r>
    </w:p>
    <w:p w14:paraId="62D137ED" w14:textId="77777777" w:rsidR="00B279F9" w:rsidRPr="0055086F" w:rsidRDefault="00B279F9" w:rsidP="0055086F">
      <w:pPr>
        <w:rPr>
          <w:color w:val="1E2123"/>
          <w:shd w:val="clear" w:color="auto" w:fill="FFFFFF"/>
        </w:rPr>
      </w:pPr>
    </w:p>
    <w:p w14:paraId="4762EDCE" w14:textId="77777777" w:rsidR="00052A06" w:rsidRPr="0055086F" w:rsidRDefault="00052A06" w:rsidP="0055086F"/>
    <w:sectPr w:rsidR="00052A06" w:rsidRPr="00550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83E"/>
    <w:multiLevelType w:val="hybridMultilevel"/>
    <w:tmpl w:val="87A4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779B"/>
    <w:multiLevelType w:val="multilevel"/>
    <w:tmpl w:val="9244B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370C6"/>
    <w:multiLevelType w:val="hybridMultilevel"/>
    <w:tmpl w:val="267A83BC"/>
    <w:lvl w:ilvl="0" w:tplc="7E2E436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7EB6F88"/>
    <w:multiLevelType w:val="hybridMultilevel"/>
    <w:tmpl w:val="041C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06"/>
    <w:rsid w:val="00052A06"/>
    <w:rsid w:val="000B4E8E"/>
    <w:rsid w:val="00535B27"/>
    <w:rsid w:val="0055086F"/>
    <w:rsid w:val="00953A3B"/>
    <w:rsid w:val="00B279F9"/>
    <w:rsid w:val="00B657DA"/>
    <w:rsid w:val="00DE74E4"/>
    <w:rsid w:val="00F7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8D9A"/>
  <w15:chartTrackingRefBased/>
  <w15:docId w15:val="{C8EA6802-2342-4B76-A054-315DB77D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8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2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A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52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DE74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E74E4"/>
    <w:rPr>
      <w:color w:val="0000FF"/>
      <w:u w:val="single"/>
    </w:rPr>
  </w:style>
  <w:style w:type="paragraph" w:customStyle="1" w:styleId="article-renderblock">
    <w:name w:val="article-render__block"/>
    <w:basedOn w:val="a"/>
    <w:rsid w:val="00953A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65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tmtech.ru/wp-content/uploads/2018/09/PP-127-ot-08.02.2018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vo.garant.ru/" TargetMode="External"/><Relationship Id="rId11" Type="http://schemas.openxmlformats.org/officeDocument/2006/relationships/hyperlink" Target="https://www.tadviser.ru/index.php/&#1057;&#1090;&#1072;&#1090;&#1100;&#1103;:&#1050;&#1072;&#1082;_&#1074;&#1099;&#1087;&#1086;&#1083;&#1085;&#1080;&#1090;&#1100;_&#1090;&#1088;&#1077;&#1073;&#1086;&#1074;&#1072;&#1085;&#1080;&#1103;_&#1079;&#1072;&#1082;&#1086;&#1085;&#1072;_187-&#1060;&#1047;_&#1086;_&#1073;&#1077;&#1079;&#1086;&#1087;&#1072;&#1089;&#1085;&#1086;&#1089;&#1090;&#1080;_&#1082;&#1088;&#1080;&#1090;&#1080;&#1095;&#1077;&#1089;&#1082;&#1086;&#1081;_&#1080;&#1085;&#1092;&#1086;&#1088;&#1084;&#1072;&#1094;&#1080;&#1086;&#1085;&#1085;&#1086;&#1081;_&#1080;&#1085;&#1092;&#1088;&#1072;&#1089;&#1090;&#1088;&#1091;&#1082;&#1090;&#1091;&#1088;&#1099;_&#1056;&#1077;&#1082;&#1086;&#1084;&#1077;&#1085;&#1076;&#1072;&#1094;&#1080;&#1080;_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en.yandex.ru/media/id/5c7b7864fa818600ae3856a1/klub-liubitelei-kii-sostavliaem-perechen-obektov-podlejascih-kategorirovaniiu-5e289c87df944400bd8ad50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7FF32-94CA-4FF7-851D-EE907B6B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Никулин</dc:creator>
  <cp:keywords/>
  <dc:description/>
  <cp:lastModifiedBy>Евгений Никулин</cp:lastModifiedBy>
  <cp:revision>1</cp:revision>
  <dcterms:created xsi:type="dcterms:W3CDTF">2020-11-30T05:04:00Z</dcterms:created>
  <dcterms:modified xsi:type="dcterms:W3CDTF">2020-11-30T09:41:00Z</dcterms:modified>
</cp:coreProperties>
</file>