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B7" w:rsidRDefault="00795CB7" w:rsidP="00C17CA2">
      <w:pPr>
        <w:pStyle w:val="PlainText"/>
        <w:rPr>
          <w:rFonts w:ascii="Cambria" w:hAnsi="Cambria"/>
          <w:szCs w:val="22"/>
        </w:rPr>
      </w:pPr>
      <w:r w:rsidRPr="00531EEB">
        <w:rPr>
          <w:rFonts w:ascii="Cambria" w:hAnsi="Cambria"/>
          <w:noProof/>
          <w:szCs w:val="22"/>
        </w:rPr>
        <w:drawing>
          <wp:inline distT="0" distB="0" distL="0" distR="0">
            <wp:extent cx="1990725" cy="666750"/>
            <wp:effectExtent l="19050" t="0" r="9525" b="0"/>
            <wp:docPr id="3" name="Picture 1" descr="Cinedig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digm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7CA2">
        <w:rPr>
          <w:rFonts w:ascii="Cambria" w:hAnsi="Cambria"/>
          <w:szCs w:val="22"/>
        </w:rPr>
        <w:t xml:space="preserve">                                                    </w:t>
      </w:r>
      <w:r>
        <w:rPr>
          <w:rFonts w:ascii="Cambria" w:hAnsi="Cambria"/>
          <w:szCs w:val="22"/>
        </w:rPr>
        <w:t xml:space="preserve"> </w:t>
      </w:r>
      <w:r w:rsidR="00C17CA2" w:rsidRPr="00C17CA2">
        <w:rPr>
          <w:rFonts w:ascii="Cambria" w:hAnsi="Cambria"/>
          <w:noProof/>
          <w:szCs w:val="22"/>
        </w:rPr>
        <w:drawing>
          <wp:inline distT="0" distB="0" distL="0" distR="0">
            <wp:extent cx="2238375" cy="388478"/>
            <wp:effectExtent l="19050" t="0" r="9525" b="0"/>
            <wp:docPr id="16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B7" w:rsidRDefault="00795CB7" w:rsidP="00505B17">
      <w:pPr>
        <w:pStyle w:val="PlainText"/>
        <w:rPr>
          <w:rFonts w:ascii="Cambria" w:hAnsi="Cambria"/>
          <w:szCs w:val="22"/>
        </w:rPr>
      </w:pPr>
    </w:p>
    <w:p w:rsidR="00795CB7" w:rsidRPr="0042159A" w:rsidRDefault="00795CB7" w:rsidP="0042159A">
      <w:pPr>
        <w:jc w:val="center"/>
      </w:pPr>
      <w:r>
        <w:rPr>
          <w:rFonts w:ascii="Cambria" w:hAnsi="Cambria"/>
          <w:noProof/>
        </w:rPr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408695" cy="1996575"/>
            <wp:effectExtent l="19050" t="0" r="1005" b="0"/>
            <wp:docPr id="1" name="box-art" descr="http://www.newvideo.com/wp-content/themes/hybrid-newvideo/tools/timthumb.php?src=/wp-content/uploads/2013/02/OfTwoMindsDVD-F.jpg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art" descr="http://www.newvideo.com/wp-content/themes/hybrid-newvideo/tools/timthumb.php?src=/wp-content/uploads/2013/02/OfTwoMindsDVD-F.jpg&amp;h=3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975" cy="199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</w:p>
    <w:p w:rsidR="0042159A" w:rsidRPr="00505B17" w:rsidRDefault="006A140F" w:rsidP="00795CB7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5B17">
        <w:rPr>
          <w:rFonts w:asciiTheme="majorHAnsi" w:hAnsiTheme="majorHAnsi"/>
          <w:b/>
          <w:sz w:val="24"/>
          <w:szCs w:val="24"/>
        </w:rPr>
        <w:t xml:space="preserve">“OF TWO MINDS,” </w:t>
      </w:r>
      <w:r w:rsidR="0042159A" w:rsidRPr="00505B17">
        <w:rPr>
          <w:rFonts w:asciiTheme="majorHAnsi" w:hAnsiTheme="majorHAnsi"/>
          <w:b/>
          <w:sz w:val="24"/>
          <w:szCs w:val="24"/>
        </w:rPr>
        <w:t xml:space="preserve">AN INTIMATE LOOK </w:t>
      </w:r>
      <w:r w:rsidRPr="00505B17">
        <w:rPr>
          <w:rFonts w:asciiTheme="majorHAnsi" w:hAnsiTheme="majorHAnsi"/>
          <w:b/>
          <w:sz w:val="24"/>
          <w:szCs w:val="24"/>
        </w:rPr>
        <w:t>AT LIVING WITH BIPOLAR DISORDER,</w:t>
      </w:r>
      <w:r w:rsidR="0042159A" w:rsidRPr="00505B17">
        <w:rPr>
          <w:rFonts w:asciiTheme="majorHAnsi" w:hAnsiTheme="majorHAnsi"/>
          <w:b/>
          <w:sz w:val="24"/>
          <w:szCs w:val="24"/>
        </w:rPr>
        <w:t xml:space="preserve"> </w:t>
      </w:r>
    </w:p>
    <w:p w:rsidR="00795CB7" w:rsidRPr="00505B17" w:rsidRDefault="00795CB7" w:rsidP="00795CB7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5B17">
        <w:rPr>
          <w:rFonts w:asciiTheme="majorHAnsi" w:hAnsiTheme="majorHAnsi"/>
          <w:b/>
          <w:sz w:val="24"/>
          <w:szCs w:val="24"/>
        </w:rPr>
        <w:t>RELEASES MARCH 14</w:t>
      </w:r>
      <w:r w:rsidR="0042159A" w:rsidRPr="00505B17">
        <w:rPr>
          <w:rFonts w:asciiTheme="majorHAnsi" w:hAnsiTheme="majorHAnsi"/>
          <w:b/>
          <w:sz w:val="24"/>
          <w:szCs w:val="24"/>
        </w:rPr>
        <w:t xml:space="preserve"> ON CABLE VOD, DIGITAL AND DVD</w:t>
      </w:r>
    </w:p>
    <w:p w:rsidR="0042159A" w:rsidRDefault="0042159A" w:rsidP="00795CB7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</w:p>
    <w:p w:rsidR="00B86A1F" w:rsidRPr="00505B17" w:rsidRDefault="00B86A1F" w:rsidP="00795CB7">
      <w:pPr>
        <w:pStyle w:val="NoSpacing"/>
        <w:jc w:val="center"/>
        <w:rPr>
          <w:rFonts w:asciiTheme="majorHAnsi" w:hAnsiTheme="majorHAnsi"/>
          <w:b/>
        </w:rPr>
      </w:pPr>
      <w:r w:rsidRPr="00505B17">
        <w:rPr>
          <w:rFonts w:asciiTheme="majorHAnsi" w:hAnsiTheme="majorHAnsi" w:cs="Arial"/>
          <w:b/>
        </w:rPr>
        <w:t>Take your Best Day and Your Darkest Moment…</w:t>
      </w:r>
      <w:r w:rsidR="00E62BBA" w:rsidRPr="00505B17">
        <w:rPr>
          <w:rFonts w:asciiTheme="majorHAnsi" w:hAnsiTheme="majorHAnsi" w:cs="Arial"/>
          <w:b/>
        </w:rPr>
        <w:t xml:space="preserve"> </w:t>
      </w:r>
      <w:r w:rsidRPr="00505B17">
        <w:rPr>
          <w:rFonts w:asciiTheme="majorHAnsi" w:hAnsiTheme="majorHAnsi" w:cs="Arial"/>
          <w:b/>
        </w:rPr>
        <w:t>and Multiply by a M</w:t>
      </w:r>
      <w:r w:rsidRPr="00505B17">
        <w:rPr>
          <w:rFonts w:ascii="Cambria" w:eastAsia="Times New Roman" w:hAnsi="Cambria" w:cs="Arial"/>
          <w:b/>
        </w:rPr>
        <w:t>illion.</w:t>
      </w:r>
    </w:p>
    <w:p w:rsidR="00B86A1F" w:rsidRPr="00505B17" w:rsidRDefault="00B86A1F" w:rsidP="00795CB7">
      <w:pPr>
        <w:pStyle w:val="NoSpacing"/>
        <w:jc w:val="center"/>
        <w:rPr>
          <w:rFonts w:asciiTheme="majorHAnsi" w:hAnsiTheme="majorHAnsi"/>
          <w:b/>
        </w:rPr>
      </w:pPr>
    </w:p>
    <w:p w:rsidR="0042159A" w:rsidRPr="00505B17" w:rsidRDefault="00AD53E6" w:rsidP="00795CB7">
      <w:pPr>
        <w:pStyle w:val="NoSpacing"/>
        <w:jc w:val="center"/>
        <w:rPr>
          <w:rFonts w:asciiTheme="majorHAnsi" w:hAnsiTheme="majorHAnsi"/>
          <w:i/>
        </w:rPr>
      </w:pPr>
      <w:r w:rsidRPr="00505B17">
        <w:rPr>
          <w:rFonts w:asciiTheme="majorHAnsi" w:hAnsiTheme="majorHAnsi"/>
        </w:rPr>
        <w:t>“</w:t>
      </w:r>
      <w:r w:rsidR="007C1AAF" w:rsidRPr="00505B17">
        <w:rPr>
          <w:rFonts w:asciiTheme="majorHAnsi" w:hAnsiTheme="majorHAnsi"/>
        </w:rPr>
        <w:t>…</w:t>
      </w:r>
      <w:r w:rsidRPr="00505B17">
        <w:rPr>
          <w:rFonts w:asciiTheme="majorHAnsi" w:hAnsiTheme="majorHAnsi"/>
        </w:rPr>
        <w:t xml:space="preserve">Intelligent </w:t>
      </w:r>
      <w:r w:rsidR="007C1AAF" w:rsidRPr="00505B17">
        <w:rPr>
          <w:rFonts w:asciiTheme="majorHAnsi" w:hAnsiTheme="majorHAnsi"/>
        </w:rPr>
        <w:t>[</w:t>
      </w:r>
      <w:r w:rsidRPr="00505B17">
        <w:rPr>
          <w:rFonts w:asciiTheme="majorHAnsi" w:hAnsiTheme="majorHAnsi"/>
        </w:rPr>
        <w:t>and</w:t>
      </w:r>
      <w:r w:rsidR="007C1AAF" w:rsidRPr="00505B17">
        <w:rPr>
          <w:rFonts w:asciiTheme="majorHAnsi" w:hAnsiTheme="majorHAnsi"/>
        </w:rPr>
        <w:t>]</w:t>
      </w:r>
      <w:r w:rsidRPr="00505B17">
        <w:rPr>
          <w:rFonts w:asciiTheme="majorHAnsi" w:hAnsiTheme="majorHAnsi"/>
        </w:rPr>
        <w:t xml:space="preserve"> Compassionate” </w:t>
      </w:r>
      <w:r w:rsidR="00436260" w:rsidRPr="00505B17">
        <w:rPr>
          <w:rFonts w:asciiTheme="majorHAnsi" w:hAnsiTheme="majorHAnsi"/>
        </w:rPr>
        <w:t>–</w:t>
      </w:r>
      <w:r w:rsidRPr="00505B17">
        <w:rPr>
          <w:rFonts w:asciiTheme="majorHAnsi" w:hAnsiTheme="majorHAnsi"/>
        </w:rPr>
        <w:t xml:space="preserve"> </w:t>
      </w:r>
      <w:r w:rsidRPr="00505B17">
        <w:rPr>
          <w:rFonts w:asciiTheme="majorHAnsi" w:hAnsiTheme="majorHAnsi"/>
          <w:i/>
        </w:rPr>
        <w:t>Variety</w:t>
      </w:r>
    </w:p>
    <w:p w:rsidR="00A04223" w:rsidRPr="00A04223" w:rsidRDefault="00A04223" w:rsidP="00795CB7">
      <w:pPr>
        <w:pStyle w:val="NoSpacing"/>
        <w:rPr>
          <w:rFonts w:asciiTheme="majorHAnsi" w:hAnsiTheme="majorHAnsi"/>
          <w:sz w:val="24"/>
          <w:szCs w:val="24"/>
        </w:rPr>
      </w:pPr>
    </w:p>
    <w:p w:rsidR="00795CB7" w:rsidRPr="00505B17" w:rsidRDefault="00474716" w:rsidP="00795CB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Directed by Doug</w:t>
      </w:r>
      <w:r w:rsidR="00493A8C" w:rsidRPr="00505B17">
        <w:rPr>
          <w:rFonts w:asciiTheme="majorHAnsi" w:hAnsiTheme="majorHAnsi"/>
        </w:rPr>
        <w:t xml:space="preserve"> B</w:t>
      </w:r>
      <w:r>
        <w:rPr>
          <w:rFonts w:asciiTheme="majorHAnsi" w:hAnsiTheme="majorHAnsi"/>
        </w:rPr>
        <w:t xml:space="preserve">lush and Lisa </w:t>
      </w:r>
      <w:r w:rsidR="00493A8C" w:rsidRPr="00505B17">
        <w:rPr>
          <w:rFonts w:asciiTheme="majorHAnsi" w:hAnsiTheme="majorHAnsi"/>
        </w:rPr>
        <w:t>Klein (</w:t>
      </w:r>
      <w:r w:rsidR="00493A8C" w:rsidRPr="00505B17">
        <w:rPr>
          <w:rFonts w:asciiTheme="majorHAnsi" w:hAnsiTheme="majorHAnsi"/>
          <w:i/>
        </w:rPr>
        <w:t>Cult Culture</w:t>
      </w:r>
      <w:r w:rsidR="00493A8C" w:rsidRPr="00505B17">
        <w:rPr>
          <w:rFonts w:asciiTheme="majorHAnsi" w:hAnsiTheme="majorHAnsi"/>
        </w:rPr>
        <w:t xml:space="preserve">), </w:t>
      </w:r>
      <w:r w:rsidR="00A04223" w:rsidRPr="00505B17">
        <w:rPr>
          <w:rFonts w:asciiTheme="majorHAnsi" w:hAnsiTheme="majorHAnsi"/>
          <w:b/>
          <w:i/>
        </w:rPr>
        <w:t>OF TWO MINDS</w:t>
      </w:r>
      <w:r w:rsidR="00A04223" w:rsidRPr="00505B17">
        <w:rPr>
          <w:rFonts w:asciiTheme="majorHAnsi" w:hAnsiTheme="majorHAnsi"/>
        </w:rPr>
        <w:t xml:space="preserve"> is an award-winning feature documentary from the creative team behind </w:t>
      </w:r>
      <w:r w:rsidR="00A04223" w:rsidRPr="00505B17">
        <w:rPr>
          <w:rStyle w:val="Emphasis"/>
          <w:rFonts w:asciiTheme="majorHAnsi" w:hAnsiTheme="majorHAnsi"/>
        </w:rPr>
        <w:t>Wordplay</w:t>
      </w:r>
      <w:r w:rsidR="00A04223" w:rsidRPr="00505B17">
        <w:rPr>
          <w:rFonts w:asciiTheme="majorHAnsi" w:hAnsiTheme="majorHAnsi"/>
        </w:rPr>
        <w:t>, </w:t>
      </w:r>
      <w:r w:rsidR="00A04223" w:rsidRPr="00505B17">
        <w:rPr>
          <w:rStyle w:val="Emphasis"/>
          <w:rFonts w:asciiTheme="majorHAnsi" w:hAnsiTheme="majorHAnsi"/>
        </w:rPr>
        <w:t>The Invisible War</w:t>
      </w:r>
      <w:r w:rsidR="00A04223" w:rsidRPr="00505B17">
        <w:rPr>
          <w:rFonts w:asciiTheme="majorHAnsi" w:hAnsiTheme="majorHAnsi"/>
        </w:rPr>
        <w:t>, </w:t>
      </w:r>
      <w:r w:rsidR="00A04223" w:rsidRPr="00505B17">
        <w:rPr>
          <w:rStyle w:val="Emphasis"/>
          <w:rFonts w:asciiTheme="majorHAnsi" w:hAnsiTheme="majorHAnsi"/>
        </w:rPr>
        <w:t>Superheroes </w:t>
      </w:r>
      <w:r w:rsidR="00A04223" w:rsidRPr="00505B17">
        <w:rPr>
          <w:rFonts w:asciiTheme="majorHAnsi" w:hAnsiTheme="majorHAnsi"/>
        </w:rPr>
        <w:t xml:space="preserve">and </w:t>
      </w:r>
      <w:r w:rsidR="00A04223" w:rsidRPr="00505B17">
        <w:rPr>
          <w:rFonts w:asciiTheme="majorHAnsi" w:hAnsiTheme="majorHAnsi"/>
          <w:i/>
        </w:rPr>
        <w:t>These Amazing Shadows</w:t>
      </w:r>
      <w:r w:rsidR="00A04223" w:rsidRPr="00505B17">
        <w:rPr>
          <w:rFonts w:asciiTheme="majorHAnsi" w:hAnsiTheme="majorHAnsi"/>
        </w:rPr>
        <w:t xml:space="preserve"> that explores the extraordinary lives, struggles and successes of a few of the over five million Americans living with bipolar disorder. Personal stories of harrowing events, medical mazes, discrimination and the effects of social stigma blend together to create a compelling look at a generation coming out of the “bipolar closet.” </w:t>
      </w:r>
      <w:r w:rsidR="00A04223" w:rsidRPr="00505B17">
        <w:rPr>
          <w:rFonts w:asciiTheme="majorHAnsi" w:hAnsiTheme="majorHAnsi"/>
          <w:b/>
          <w:i/>
        </w:rPr>
        <w:t>OF TWO MINDS</w:t>
      </w:r>
      <w:r w:rsidR="00A04223" w:rsidRPr="00505B17">
        <w:rPr>
          <w:rFonts w:asciiTheme="majorHAnsi" w:hAnsiTheme="majorHAnsi"/>
        </w:rPr>
        <w:t xml:space="preserve"> puts an authentic human face on bipolar disorder, providing an intimate, sometimes painful, sometimes painfully funny look at those who live in its shadows: our parents and children, our friends and lovers… and </w:t>
      </w:r>
      <w:proofErr w:type="gramStart"/>
      <w:r w:rsidR="00A04223" w:rsidRPr="00505B17">
        <w:rPr>
          <w:rFonts w:asciiTheme="majorHAnsi" w:hAnsiTheme="majorHAnsi"/>
        </w:rPr>
        <w:t>ourselves</w:t>
      </w:r>
      <w:proofErr w:type="gramEnd"/>
      <w:r w:rsidR="00A04223" w:rsidRPr="00505B17">
        <w:rPr>
          <w:rFonts w:asciiTheme="majorHAnsi" w:hAnsiTheme="majorHAnsi"/>
        </w:rPr>
        <w:t>.</w:t>
      </w:r>
    </w:p>
    <w:p w:rsidR="00C17CA2" w:rsidRPr="00505B17" w:rsidRDefault="00C17CA2" w:rsidP="00795CB7">
      <w:pPr>
        <w:pStyle w:val="NoSpacing"/>
        <w:rPr>
          <w:rFonts w:asciiTheme="majorHAnsi" w:hAnsiTheme="majorHAnsi"/>
        </w:rPr>
      </w:pPr>
    </w:p>
    <w:p w:rsidR="006D1745" w:rsidRPr="00505B17" w:rsidRDefault="00C06F45" w:rsidP="00795CB7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Cinedigm’s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Docurama</w:t>
      </w:r>
      <w:proofErr w:type="spellEnd"/>
      <w:r>
        <w:rPr>
          <w:rFonts w:asciiTheme="majorHAnsi" w:hAnsiTheme="majorHAnsi"/>
        </w:rPr>
        <w:t xml:space="preserve"> Films will release </w:t>
      </w:r>
      <w:r w:rsidRPr="00C06F45">
        <w:rPr>
          <w:rFonts w:asciiTheme="majorHAnsi" w:hAnsiTheme="majorHAnsi"/>
          <w:b/>
          <w:i/>
        </w:rPr>
        <w:t>OF TWO MINDS</w:t>
      </w:r>
      <w:r>
        <w:rPr>
          <w:rFonts w:asciiTheme="majorHAnsi" w:hAnsiTheme="majorHAnsi"/>
        </w:rPr>
        <w:t xml:space="preserve"> on March 14 on cable VOD, digital and DVD</w:t>
      </w:r>
      <w:r w:rsidR="005918A7">
        <w:rPr>
          <w:rFonts w:asciiTheme="majorHAnsi" w:hAnsiTheme="majorHAnsi"/>
        </w:rPr>
        <w:t xml:space="preserve"> following its theatrical release through IDA’</w:t>
      </w:r>
      <w:r w:rsidR="00DB2C0D">
        <w:rPr>
          <w:rFonts w:asciiTheme="majorHAnsi" w:hAnsiTheme="majorHAnsi"/>
        </w:rPr>
        <w:t xml:space="preserve">s </w:t>
      </w:r>
      <w:proofErr w:type="spellStart"/>
      <w:r w:rsidR="00DB2C0D">
        <w:rPr>
          <w:rFonts w:asciiTheme="majorHAnsi" w:hAnsiTheme="majorHAnsi"/>
        </w:rPr>
        <w:t>Docuweeks</w:t>
      </w:r>
      <w:proofErr w:type="spellEnd"/>
      <w:r w:rsidR="00DB2C0D">
        <w:rPr>
          <w:rFonts w:asciiTheme="majorHAnsi" w:hAnsiTheme="majorHAnsi"/>
        </w:rPr>
        <w:t xml:space="preserve"> </w:t>
      </w:r>
      <w:r w:rsidR="005918A7">
        <w:rPr>
          <w:rFonts w:asciiTheme="majorHAnsi" w:hAnsiTheme="majorHAnsi"/>
        </w:rPr>
        <w:t>last fall</w:t>
      </w:r>
      <w:r>
        <w:rPr>
          <w:rFonts w:asciiTheme="majorHAnsi" w:hAnsiTheme="majorHAnsi"/>
        </w:rPr>
        <w:t xml:space="preserve">. The film </w:t>
      </w:r>
      <w:r w:rsidR="00DB2C0D">
        <w:rPr>
          <w:rFonts w:asciiTheme="majorHAnsi" w:hAnsiTheme="majorHAnsi"/>
        </w:rPr>
        <w:t>is</w:t>
      </w:r>
      <w:r w:rsidR="006D1745" w:rsidRPr="00505B17">
        <w:rPr>
          <w:rFonts w:asciiTheme="majorHAnsi" w:hAnsiTheme="majorHAnsi"/>
        </w:rPr>
        <w:t xml:space="preserve"> the winner of the Audience and Jury Award</w:t>
      </w:r>
      <w:r w:rsidR="00761FD6">
        <w:rPr>
          <w:rFonts w:asciiTheme="majorHAnsi" w:hAnsiTheme="majorHAnsi"/>
        </w:rPr>
        <w:t>s</w:t>
      </w:r>
      <w:r w:rsidR="006D1745" w:rsidRPr="00505B17">
        <w:rPr>
          <w:rFonts w:asciiTheme="majorHAnsi" w:hAnsiTheme="majorHAnsi"/>
        </w:rPr>
        <w:t xml:space="preserve"> at the 2012 Los Angeles United Film Festival and </w:t>
      </w:r>
      <w:r w:rsidR="00DB2C0D">
        <w:rPr>
          <w:rFonts w:asciiTheme="majorHAnsi" w:hAnsiTheme="majorHAnsi"/>
        </w:rPr>
        <w:t xml:space="preserve">was </w:t>
      </w:r>
      <w:r w:rsidR="006D1745" w:rsidRPr="00505B17">
        <w:rPr>
          <w:rFonts w:asciiTheme="majorHAnsi" w:hAnsiTheme="majorHAnsi"/>
        </w:rPr>
        <w:t xml:space="preserve">an official selection at </w:t>
      </w:r>
      <w:r w:rsidR="00DB2C0D">
        <w:rPr>
          <w:rFonts w:asciiTheme="majorHAnsi" w:hAnsiTheme="majorHAnsi"/>
        </w:rPr>
        <w:t xml:space="preserve">the 2012 </w:t>
      </w:r>
      <w:proofErr w:type="spellStart"/>
      <w:r w:rsidR="00DB2C0D">
        <w:rPr>
          <w:rFonts w:asciiTheme="majorHAnsi" w:hAnsiTheme="majorHAnsi"/>
        </w:rPr>
        <w:t>DocuWeeks</w:t>
      </w:r>
      <w:proofErr w:type="spellEnd"/>
      <w:r w:rsidR="00DB2C0D">
        <w:rPr>
          <w:rFonts w:asciiTheme="majorHAnsi" w:hAnsiTheme="majorHAnsi"/>
        </w:rPr>
        <w:t>, the</w:t>
      </w:r>
      <w:r w:rsidR="00761FD6">
        <w:rPr>
          <w:rFonts w:asciiTheme="majorHAnsi" w:hAnsiTheme="majorHAnsi"/>
        </w:rPr>
        <w:t xml:space="preserve"> Newport Beach Film Festival, and </w:t>
      </w:r>
      <w:r w:rsidR="006D1745" w:rsidRPr="00505B17">
        <w:rPr>
          <w:rFonts w:asciiTheme="majorHAnsi" w:hAnsiTheme="majorHAnsi"/>
        </w:rPr>
        <w:t>the Clevel</w:t>
      </w:r>
      <w:r w:rsidR="00761FD6">
        <w:rPr>
          <w:rFonts w:asciiTheme="majorHAnsi" w:hAnsiTheme="majorHAnsi"/>
        </w:rPr>
        <w:t xml:space="preserve">and International Film Festival. </w:t>
      </w:r>
      <w:r w:rsidR="000A27E6" w:rsidRPr="000A27E6">
        <w:rPr>
          <w:rFonts w:asciiTheme="majorHAnsi" w:hAnsiTheme="majorHAnsi"/>
          <w:b/>
          <w:i/>
        </w:rPr>
        <w:t>OF TWO MINDS</w:t>
      </w:r>
      <w:r w:rsidR="000A27E6">
        <w:rPr>
          <w:rFonts w:asciiTheme="majorHAnsi" w:hAnsiTheme="majorHAnsi"/>
        </w:rPr>
        <w:t xml:space="preserve"> </w:t>
      </w:r>
      <w:r w:rsidR="007E153D">
        <w:rPr>
          <w:rFonts w:asciiTheme="majorHAnsi" w:hAnsiTheme="majorHAnsi"/>
        </w:rPr>
        <w:t xml:space="preserve">has </w:t>
      </w:r>
      <w:r w:rsidR="000A27E6">
        <w:rPr>
          <w:rFonts w:asciiTheme="majorHAnsi" w:hAnsiTheme="majorHAnsi"/>
        </w:rPr>
        <w:t xml:space="preserve">played in </w:t>
      </w:r>
      <w:r w:rsidR="007E153D">
        <w:rPr>
          <w:rFonts w:asciiTheme="majorHAnsi" w:hAnsiTheme="majorHAnsi"/>
        </w:rPr>
        <w:t xml:space="preserve">many </w:t>
      </w:r>
      <w:r w:rsidR="000A27E6">
        <w:rPr>
          <w:rFonts w:asciiTheme="majorHAnsi" w:hAnsiTheme="majorHAnsi"/>
        </w:rPr>
        <w:t xml:space="preserve">festivals and special </w:t>
      </w:r>
      <w:r w:rsidR="007E153D">
        <w:rPr>
          <w:rFonts w:asciiTheme="majorHAnsi" w:hAnsiTheme="majorHAnsi"/>
        </w:rPr>
        <w:t xml:space="preserve">events </w:t>
      </w:r>
      <w:r w:rsidR="000A27E6">
        <w:rPr>
          <w:rFonts w:asciiTheme="majorHAnsi" w:hAnsiTheme="majorHAnsi"/>
        </w:rPr>
        <w:t>screening</w:t>
      </w:r>
      <w:r w:rsidR="007E153D">
        <w:rPr>
          <w:rFonts w:asciiTheme="majorHAnsi" w:hAnsiTheme="majorHAnsi"/>
        </w:rPr>
        <w:t>s</w:t>
      </w:r>
      <w:r w:rsidR="000A27E6">
        <w:rPr>
          <w:rFonts w:asciiTheme="majorHAnsi" w:hAnsiTheme="majorHAnsi"/>
        </w:rPr>
        <w:t xml:space="preserve"> across the country and </w:t>
      </w:r>
      <w:r w:rsidR="007E153D">
        <w:rPr>
          <w:rFonts w:asciiTheme="majorHAnsi" w:hAnsiTheme="majorHAnsi"/>
        </w:rPr>
        <w:t xml:space="preserve">continues to tour in the U.S. and Canada. </w:t>
      </w:r>
      <w:r w:rsidR="000A27E6">
        <w:rPr>
          <w:rFonts w:asciiTheme="majorHAnsi" w:hAnsiTheme="majorHAnsi"/>
        </w:rPr>
        <w:t xml:space="preserve"> </w:t>
      </w:r>
    </w:p>
    <w:p w:rsidR="006A140F" w:rsidRPr="00505B17" w:rsidRDefault="006A140F" w:rsidP="00795CB7">
      <w:pPr>
        <w:pStyle w:val="NoSpacing"/>
        <w:rPr>
          <w:rFonts w:asciiTheme="majorHAnsi" w:hAnsiTheme="majorHAnsi"/>
          <w:kern w:val="1"/>
        </w:rPr>
      </w:pPr>
    </w:p>
    <w:p w:rsidR="00795CB7" w:rsidRDefault="00795CB7" w:rsidP="00C864B7">
      <w:pPr>
        <w:spacing w:after="0" w:line="240" w:lineRule="auto"/>
        <w:rPr>
          <w:rFonts w:asciiTheme="majorHAnsi" w:hAnsiTheme="majorHAnsi"/>
          <w:b/>
          <w:u w:val="single"/>
        </w:rPr>
      </w:pPr>
      <w:r w:rsidRPr="00505B17">
        <w:rPr>
          <w:rFonts w:asciiTheme="majorHAnsi" w:hAnsiTheme="majorHAnsi"/>
          <w:b/>
          <w:u w:val="single"/>
        </w:rPr>
        <w:t>BONUS PROGRAMMING</w:t>
      </w:r>
    </w:p>
    <w:p w:rsidR="00C864B7" w:rsidRPr="00C864B7" w:rsidRDefault="00C864B7" w:rsidP="00C864B7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795CB7" w:rsidRPr="00505B17" w:rsidRDefault="00A04223" w:rsidP="00A04223">
      <w:pPr>
        <w:pStyle w:val="NoSpacing"/>
        <w:numPr>
          <w:ilvl w:val="0"/>
          <w:numId w:val="1"/>
        </w:numPr>
        <w:rPr>
          <w:rFonts w:asciiTheme="majorHAnsi" w:hAnsiTheme="majorHAnsi"/>
          <w:kern w:val="1"/>
        </w:rPr>
      </w:pPr>
      <w:r w:rsidRPr="00505B17">
        <w:rPr>
          <w:rFonts w:asciiTheme="majorHAnsi" w:hAnsiTheme="majorHAnsi"/>
          <w:kern w:val="1"/>
        </w:rPr>
        <w:t>Bonus Short Film “The Mad Parade;” Interviews with Experts and Advocates; Voices of Bipolar Interviews; Theatrical Trailer</w:t>
      </w:r>
    </w:p>
    <w:p w:rsidR="00795CB7" w:rsidRPr="00505B17" w:rsidRDefault="00795CB7" w:rsidP="00795CB7">
      <w:pPr>
        <w:pStyle w:val="NoSpacing"/>
        <w:rPr>
          <w:rFonts w:asciiTheme="majorHAnsi" w:hAnsiTheme="majorHAnsi"/>
          <w:kern w:val="1"/>
        </w:rPr>
      </w:pPr>
    </w:p>
    <w:p w:rsidR="00795CB7" w:rsidRPr="00505B17" w:rsidRDefault="00795CB7" w:rsidP="00795CB7">
      <w:pPr>
        <w:spacing w:after="0" w:line="240" w:lineRule="auto"/>
        <w:rPr>
          <w:rFonts w:asciiTheme="majorHAnsi" w:hAnsiTheme="majorHAnsi"/>
          <w:b/>
          <w:u w:val="single"/>
        </w:rPr>
      </w:pPr>
      <w:r w:rsidRPr="00505B17">
        <w:rPr>
          <w:rFonts w:asciiTheme="majorHAnsi" w:hAnsiTheme="majorHAnsi"/>
          <w:b/>
          <w:u w:val="single"/>
        </w:rPr>
        <w:t>PROGRAM INFORMATION</w:t>
      </w:r>
    </w:p>
    <w:p w:rsid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</w:p>
    <w:p w:rsidR="00C864B7" w:rsidRDefault="00C864B7" w:rsidP="00505B17">
      <w:pPr>
        <w:pStyle w:val="NoSpacing"/>
        <w:rPr>
          <w:rFonts w:asciiTheme="majorHAnsi" w:hAnsiTheme="majorHAnsi"/>
          <w:color w:val="000000" w:themeColor="text1"/>
        </w:rPr>
        <w:sectPr w:rsidR="00C864B7" w:rsidSect="00C17CA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lastRenderedPageBreak/>
        <w:t>Pricing:</w:t>
      </w:r>
      <w:r w:rsidRPr="00505B17">
        <w:rPr>
          <w:rFonts w:asciiTheme="majorHAnsi" w:hAnsiTheme="majorHAnsi"/>
          <w:color w:val="000000" w:themeColor="text1"/>
        </w:rPr>
        <w:tab/>
        <w:t xml:space="preserve">         </w:t>
      </w:r>
      <w:r w:rsidRPr="00505B17">
        <w:rPr>
          <w:rFonts w:asciiTheme="majorHAnsi" w:hAnsiTheme="majorHAnsi"/>
          <w:color w:val="000000" w:themeColor="text1"/>
        </w:rPr>
        <w:tab/>
        <w:t>$29.95 US/$34.95 CA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Runtime:       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 w:cs="Arial"/>
          <w:color w:val="000000" w:themeColor="text1"/>
        </w:rPr>
        <w:t xml:space="preserve">89 </w:t>
      </w:r>
      <w:proofErr w:type="spellStart"/>
      <w:r w:rsidRPr="00505B17">
        <w:rPr>
          <w:rFonts w:asciiTheme="majorHAnsi" w:hAnsiTheme="majorHAnsi" w:cs="Arial"/>
          <w:color w:val="000000" w:themeColor="text1"/>
        </w:rPr>
        <w:t>mins</w:t>
      </w:r>
      <w:proofErr w:type="spellEnd"/>
      <w:r w:rsidRPr="00505B17"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 w:rsidRPr="00505B17"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>Rating: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>NR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Catalog #: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Style w:val="meta-value"/>
          <w:rFonts w:asciiTheme="majorHAnsi" w:hAnsiTheme="majorHAnsi"/>
        </w:rPr>
        <w:t>NNVG</w:t>
      </w:r>
      <w:r w:rsidRPr="00505B17">
        <w:rPr>
          <w:rFonts w:asciiTheme="majorHAnsi" w:hAnsiTheme="majorHAnsi" w:cs="Arial"/>
          <w:shd w:val="clear" w:color="auto" w:fill="FFFFFF"/>
        </w:rPr>
        <w:t>10003519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lastRenderedPageBreak/>
        <w:t>Language:</w:t>
      </w:r>
      <w:r w:rsidRPr="00505B17">
        <w:rPr>
          <w:rFonts w:asciiTheme="majorHAnsi" w:hAnsiTheme="majorHAnsi"/>
          <w:color w:val="000000" w:themeColor="text1"/>
        </w:rPr>
        <w:tab/>
        <w:t xml:space="preserve"> </w:t>
      </w:r>
      <w:r w:rsidRPr="00505B17">
        <w:rPr>
          <w:rFonts w:asciiTheme="majorHAnsi" w:hAnsiTheme="majorHAnsi"/>
          <w:color w:val="000000" w:themeColor="text1"/>
        </w:rPr>
        <w:tab/>
        <w:t>English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Color: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>Color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Audio Format: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 xml:space="preserve">Dolby </w:t>
      </w:r>
      <w:r w:rsidRPr="00505B17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505B17" w:rsidRPr="00505B17" w:rsidRDefault="00505B17" w:rsidP="00505B17">
      <w:pPr>
        <w:spacing w:after="0" w:line="240" w:lineRule="auto"/>
        <w:rPr>
          <w:rFonts w:asciiTheme="majorHAnsi" w:hAnsiTheme="majorHAnsi"/>
        </w:rPr>
      </w:pPr>
      <w:r w:rsidRPr="00505B17">
        <w:rPr>
          <w:rFonts w:asciiTheme="majorHAnsi" w:hAnsiTheme="majorHAnsi"/>
          <w:color w:val="000000" w:themeColor="text1"/>
        </w:rPr>
        <w:t xml:space="preserve">Genre: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>Documentary</w:t>
      </w:r>
    </w:p>
    <w:p w:rsidR="00505B17" w:rsidRDefault="00505B17" w:rsidP="006A140F">
      <w:pPr>
        <w:pStyle w:val="Default"/>
        <w:rPr>
          <w:rFonts w:asciiTheme="majorHAnsi" w:hAnsiTheme="majorHAnsi"/>
          <w:sz w:val="22"/>
          <w:szCs w:val="22"/>
        </w:rPr>
        <w:sectPr w:rsidR="00505B17" w:rsidSect="00505B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05B17" w:rsidRPr="00505B17" w:rsidRDefault="00505B17" w:rsidP="006A140F">
      <w:pPr>
        <w:pStyle w:val="Default"/>
        <w:rPr>
          <w:rFonts w:asciiTheme="majorHAnsi" w:hAnsiTheme="majorHAnsi"/>
          <w:sz w:val="22"/>
          <w:szCs w:val="22"/>
        </w:rPr>
      </w:pPr>
    </w:p>
    <w:p w:rsidR="00505B17" w:rsidRPr="00505B17" w:rsidRDefault="006A140F" w:rsidP="00C864B7">
      <w:pPr>
        <w:pStyle w:val="Default"/>
        <w:rPr>
          <w:rFonts w:asciiTheme="majorHAnsi" w:hAnsiTheme="majorHAnsi"/>
          <w:sz w:val="22"/>
          <w:szCs w:val="22"/>
        </w:rPr>
      </w:pPr>
      <w:r w:rsidRPr="00505B17">
        <w:rPr>
          <w:rFonts w:asciiTheme="majorHAnsi" w:hAnsiTheme="majorHAnsi"/>
          <w:sz w:val="22"/>
          <w:szCs w:val="22"/>
        </w:rPr>
        <w:t xml:space="preserve">For Box Art: </w:t>
      </w:r>
      <w:hyperlink r:id="rId9" w:history="1">
        <w:r w:rsidRPr="00505B17">
          <w:rPr>
            <w:rStyle w:val="Hyperlink"/>
            <w:rFonts w:asciiTheme="majorHAnsi" w:hAnsiTheme="majorHAnsi"/>
            <w:sz w:val="22"/>
            <w:szCs w:val="22"/>
          </w:rPr>
          <w:t>http://www.newvideo.com/docurama/of-two-minds/</w:t>
        </w:r>
      </w:hyperlink>
    </w:p>
    <w:p w:rsidR="00505B17" w:rsidRPr="00505B17" w:rsidRDefault="00505B17" w:rsidP="00505B17">
      <w:pPr>
        <w:spacing w:after="0" w:line="240" w:lineRule="auto"/>
        <w:rPr>
          <w:rFonts w:asciiTheme="majorHAnsi" w:hAnsiTheme="majorHAnsi"/>
        </w:rPr>
      </w:pPr>
    </w:p>
    <w:p w:rsidR="006A140F" w:rsidRPr="00505B17" w:rsidRDefault="00505B17" w:rsidP="0050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Theme="majorHAnsi" w:hAnsiTheme="majorHAnsi"/>
        </w:rPr>
      </w:pPr>
      <w:r w:rsidRPr="00505B17">
        <w:rPr>
          <w:rFonts w:asciiTheme="majorHAnsi" w:hAnsiTheme="majorHAnsi"/>
        </w:rPr>
        <w:t xml:space="preserve">For artwork or more info, contact </w:t>
      </w:r>
      <w:r w:rsidRPr="00505B17">
        <w:rPr>
          <w:rFonts w:asciiTheme="majorHAnsi" w:hAnsiTheme="majorHAnsi"/>
          <w:b/>
        </w:rPr>
        <w:t>Luis Garza</w:t>
      </w:r>
      <w:r w:rsidRPr="00505B17">
        <w:rPr>
          <w:rFonts w:asciiTheme="majorHAnsi" w:hAnsiTheme="majorHAnsi"/>
        </w:rPr>
        <w:t xml:space="preserve"> at </w:t>
      </w:r>
      <w:r w:rsidRPr="00505B17">
        <w:rPr>
          <w:rFonts w:asciiTheme="majorHAnsi" w:hAnsiTheme="majorHAnsi"/>
          <w:b/>
        </w:rPr>
        <w:t>lgarza@cinedigm.com</w:t>
      </w:r>
      <w:r w:rsidRPr="00505B17">
        <w:rPr>
          <w:rFonts w:asciiTheme="majorHAnsi" w:hAnsiTheme="majorHAnsi"/>
        </w:rPr>
        <w:t xml:space="preserve"> or (646) 259-4144</w:t>
      </w:r>
    </w:p>
    <w:sectPr w:rsidR="006A140F" w:rsidRPr="00505B17" w:rsidSect="00505B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258C"/>
    <w:multiLevelType w:val="hybridMultilevel"/>
    <w:tmpl w:val="26A8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5CB7"/>
    <w:rsid w:val="000A27E6"/>
    <w:rsid w:val="000D26E0"/>
    <w:rsid w:val="001179FB"/>
    <w:rsid w:val="0013330C"/>
    <w:rsid w:val="00185A7D"/>
    <w:rsid w:val="002D44E4"/>
    <w:rsid w:val="00376B33"/>
    <w:rsid w:val="0042159A"/>
    <w:rsid w:val="00436260"/>
    <w:rsid w:val="00474716"/>
    <w:rsid w:val="00493A8C"/>
    <w:rsid w:val="00505B17"/>
    <w:rsid w:val="005918A7"/>
    <w:rsid w:val="006A140F"/>
    <w:rsid w:val="006D1745"/>
    <w:rsid w:val="00761FD6"/>
    <w:rsid w:val="00795CB7"/>
    <w:rsid w:val="00796596"/>
    <w:rsid w:val="007C1AAF"/>
    <w:rsid w:val="007E153D"/>
    <w:rsid w:val="008555C0"/>
    <w:rsid w:val="00926359"/>
    <w:rsid w:val="0099664F"/>
    <w:rsid w:val="009C3179"/>
    <w:rsid w:val="00A04223"/>
    <w:rsid w:val="00AB162F"/>
    <w:rsid w:val="00AD53E6"/>
    <w:rsid w:val="00AE5538"/>
    <w:rsid w:val="00B86A1F"/>
    <w:rsid w:val="00C06F45"/>
    <w:rsid w:val="00C17CA2"/>
    <w:rsid w:val="00C864B7"/>
    <w:rsid w:val="00C91722"/>
    <w:rsid w:val="00D3572D"/>
    <w:rsid w:val="00DB2C0D"/>
    <w:rsid w:val="00E6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95CB7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795CB7"/>
    <w:pPr>
      <w:spacing w:after="0" w:line="240" w:lineRule="auto"/>
    </w:pPr>
    <w:rPr>
      <w:rFonts w:ascii="Arial" w:hAnsi="Arial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795CB7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95C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5CB7"/>
    <w:rPr>
      <w:i/>
      <w:iCs/>
    </w:rPr>
  </w:style>
  <w:style w:type="paragraph" w:styleId="NoSpacing">
    <w:name w:val="No Spacing"/>
    <w:uiPriority w:val="99"/>
    <w:qFormat/>
    <w:rsid w:val="00795CB7"/>
    <w:pPr>
      <w:spacing w:after="0" w:line="240" w:lineRule="auto"/>
    </w:pPr>
    <w:rPr>
      <w:rFonts w:eastAsiaTheme="minorEastAsia"/>
    </w:rPr>
  </w:style>
  <w:style w:type="paragraph" w:customStyle="1" w:styleId="NoSpacing2">
    <w:name w:val="No Spacing2"/>
    <w:uiPriority w:val="99"/>
    <w:qFormat/>
    <w:rsid w:val="00795CB7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CB7"/>
    <w:rPr>
      <w:b/>
      <w:bCs/>
    </w:rPr>
  </w:style>
  <w:style w:type="character" w:customStyle="1" w:styleId="meta-value">
    <w:name w:val="meta-value"/>
    <w:basedOn w:val="DefaultParagraphFont"/>
    <w:rsid w:val="00795CB7"/>
  </w:style>
  <w:style w:type="paragraph" w:styleId="BalloonText">
    <w:name w:val="Balloon Text"/>
    <w:basedOn w:val="Normal"/>
    <w:link w:val="BalloonTextChar"/>
    <w:uiPriority w:val="99"/>
    <w:semiHidden/>
    <w:unhideWhenUsed/>
    <w:rsid w:val="0079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14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ewvideo.com/docurama/of-two-mi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04647-8BD5-4DF4-AD95-5561ABFF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26</cp:revision>
  <dcterms:created xsi:type="dcterms:W3CDTF">2013-04-11T15:02:00Z</dcterms:created>
  <dcterms:modified xsi:type="dcterms:W3CDTF">2013-04-18T14:54:00Z</dcterms:modified>
</cp:coreProperties>
</file>