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Appliance Deployment Guide</w:t>
      </w:r>
    </w:p>
    <w:p>
      <w:pPr>
        <w:pStyle w:val="Subtitle"/>
      </w:pPr>
      <w:r>
        <w:t>Deploy the vSphere OVA, establish trusted access, and complete the five-step first deployment workflow.</w:t>
      </w:r>
    </w:p>
    <w:p>
      <w:pPr>
        <w:spacing w:after="240"/>
      </w:pPr>
      <w:r>
        <w:rPr>
          <w:color w:val="595959"/>
          <w:sz w:val="18"/>
        </w:rPr>
        <w:t>Applies to release 1.0 GA  |  Guide version 1.0  |  October 2026</w:t>
      </w:r>
    </w:p>
    <w:p>
      <w:pPr>
        <w:keepLines/>
      </w:pPr>
      <w:r>
        <w:t>Use this guide to install a new Security Appliance 1.0 GA virtual machine on VMware vSphere. It covers release verification, deployment inputs, first boot, trusted HTTPS, OIDC, KMIP, proxy policy, acceptance, and handoff to routine administration.</w:t>
      </w:r>
    </w:p>
    <w:p>
      <w:pPr>
        <w:keepLines/>
      </w:pPr>
      <w:r>
        <w:rPr>
          <w:b/>
        </w:rPr>
        <w:t xml:space="preserve">Security boundary  </w:t>
      </w:r>
      <w:r>
        <w:t>The appliance is administered through its HTTPS interface and a fixed-function VMware console. Routine operators do not receive an Ubuntu shell or SSH access.</w:t>
      </w:r>
    </w:p>
    <w:p>
      <w:pPr>
        <w:pStyle w:val="Heading1"/>
      </w:pPr>
      <w:r>
        <w:t>1 Deployment overview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1944"/>
            <w:shd w:fill="202020"/>
            <w:tcMar>
              <w:top w:w="80" w:type="dxa"/>
              <w:start w:w="110" w:type="dxa"/>
              <w:bottom w:w="80" w:type="dxa"/>
              <w:end w:w="110" w:type="dxa"/>
            </w:tcMar>
            <w:vAlign w:val="center"/>
          </w:tcPr>
          <w:p>
            <w:pPr>
              <w:jc w:val="left"/>
            </w:pPr>
            <w:r>
              <w:rPr>
                <w:rFonts w:ascii="Arial" w:hAnsi="Arial"/>
                <w:b/>
                <w:color w:val="FFFFFF"/>
                <w:sz w:val="17"/>
              </w:rPr>
              <w:t>Stage</w:t>
            </w:r>
          </w:p>
        </w:tc>
        <w:tc>
          <w:tcPr>
            <w:tcW w:type="dxa" w:w="7848"/>
            <w:shd w:fill="202020"/>
            <w:tcMar>
              <w:top w:w="80" w:type="dxa"/>
              <w:start w:w="110" w:type="dxa"/>
              <w:bottom w:w="80" w:type="dxa"/>
              <w:end w:w="110" w:type="dxa"/>
            </w:tcMar>
            <w:vAlign w:val="center"/>
          </w:tcPr>
          <w:p>
            <w:pPr>
              <w:jc w:val="left"/>
            </w:pPr>
            <w:r>
              <w:rPr>
                <w:rFonts w:ascii="Arial" w:hAnsi="Arial"/>
                <w:b/>
                <w:color w:val="FFFFFF"/>
                <w:sz w:val="17"/>
              </w:rPr>
              <w:t>Expected result</w:t>
            </w:r>
          </w:p>
        </w:tc>
      </w:tr>
      <w:tr>
        <w:trPr>
          <w:cantSplit w:val="true"/>
        </w:trPr>
        <w:tc>
          <w:tcPr>
            <w:tcW w:type="dxa" w:w="1944"/>
            <w:tcMar>
              <w:top w:w="80" w:type="dxa"/>
              <w:start w:w="110" w:type="dxa"/>
              <w:bottom w:w="80" w:type="dxa"/>
              <w:end w:w="110" w:type="dxa"/>
            </w:tcMar>
            <w:vAlign w:val="center"/>
          </w:tcPr>
          <w:p>
            <w:pPr>
              <w:spacing w:after="0"/>
            </w:pPr>
            <w:r>
              <w:rPr>
                <w:rFonts w:ascii="Arial" w:hAnsi="Arial"/>
                <w:color w:val="000000"/>
                <w:sz w:val="17"/>
              </w:rPr>
              <w:t>Plan</w:t>
            </w:r>
          </w:p>
        </w:tc>
        <w:tc>
          <w:tcPr>
            <w:tcW w:type="dxa" w:w="7848"/>
            <w:tcMar>
              <w:top w:w="80" w:type="dxa"/>
              <w:start w:w="110" w:type="dxa"/>
              <w:bottom w:w="80" w:type="dxa"/>
              <w:end w:w="110" w:type="dxa"/>
            </w:tcMar>
            <w:vAlign w:val="center"/>
          </w:tcPr>
          <w:p>
            <w:pPr>
              <w:spacing w:after="0"/>
            </w:pPr>
            <w:r>
              <w:rPr>
                <w:rFonts w:ascii="Arial" w:hAnsi="Arial"/>
                <w:color w:val="000000"/>
                <w:sz w:val="17"/>
              </w:rPr>
              <w:t>Stable management, SSO, and KMIP names; approved addressing, DNS, NTP, and client networks.</w:t>
            </w:r>
          </w:p>
        </w:tc>
      </w:tr>
      <w:tr>
        <w:trPr>
          <w:cantSplit w:val="true"/>
        </w:trPr>
        <w:tc>
          <w:tcPr>
            <w:tcW w:type="dxa" w:w="1944"/>
            <w:shd w:fill="F5F5F5"/>
            <w:tcMar>
              <w:top w:w="80" w:type="dxa"/>
              <w:start w:w="110" w:type="dxa"/>
              <w:bottom w:w="80" w:type="dxa"/>
              <w:end w:w="110" w:type="dxa"/>
            </w:tcMar>
            <w:vAlign w:val="center"/>
          </w:tcPr>
          <w:p>
            <w:pPr>
              <w:spacing w:after="0"/>
            </w:pPr>
            <w:r>
              <w:rPr>
                <w:rFonts w:ascii="Arial" w:hAnsi="Arial"/>
                <w:color w:val="000000"/>
                <w:sz w:val="17"/>
              </w:rPr>
              <w:t>Deploy</w:t>
            </w:r>
          </w:p>
        </w:tc>
        <w:tc>
          <w:tcPr>
            <w:tcW w:type="dxa" w:w="7848"/>
            <w:shd w:fill="F5F5F5"/>
            <w:tcMar>
              <w:top w:w="80" w:type="dxa"/>
              <w:start w:w="110" w:type="dxa"/>
              <w:bottom w:w="80" w:type="dxa"/>
              <w:end w:w="110" w:type="dxa"/>
            </w:tcMar>
            <w:vAlign w:val="center"/>
          </w:tcPr>
          <w:p>
            <w:pPr>
              <w:spacing w:after="0"/>
            </w:pPr>
            <w:r>
              <w:rPr>
                <w:rFonts w:ascii="Arial" w:hAnsi="Arial"/>
                <w:color w:val="000000"/>
                <w:sz w:val="17"/>
              </w:rPr>
              <w:t>OVA imported with 4 vCPU, 8 GiB RAM, a 32 GiB OS disk, a 64 GiB data disk, and one network adapter.</w:t>
            </w:r>
          </w:p>
        </w:tc>
      </w:tr>
      <w:tr>
        <w:trPr>
          <w:cantSplit w:val="true"/>
        </w:trPr>
        <w:tc>
          <w:tcPr>
            <w:tcW w:type="dxa" w:w="1944"/>
            <w:tcMar>
              <w:top w:w="80" w:type="dxa"/>
              <w:start w:w="110" w:type="dxa"/>
              <w:bottom w:w="80" w:type="dxa"/>
              <w:end w:w="110" w:type="dxa"/>
            </w:tcMar>
            <w:vAlign w:val="center"/>
          </w:tcPr>
          <w:p>
            <w:pPr>
              <w:spacing w:after="0"/>
            </w:pPr>
            <w:r>
              <w:rPr>
                <w:rFonts w:ascii="Arial" w:hAnsi="Arial"/>
                <w:color w:val="000000"/>
                <w:sz w:val="17"/>
              </w:rPr>
              <w:t>Trust</w:t>
            </w:r>
          </w:p>
        </w:tc>
        <w:tc>
          <w:tcPr>
            <w:tcW w:type="dxa" w:w="7848"/>
            <w:tcMar>
              <w:top w:w="80" w:type="dxa"/>
              <w:start w:w="110" w:type="dxa"/>
              <w:bottom w:w="80" w:type="dxa"/>
              <w:end w:w="110" w:type="dxa"/>
            </w:tcMar>
            <w:vAlign w:val="center"/>
          </w:tcPr>
          <w:p>
            <w:pPr>
              <w:spacing w:after="0"/>
            </w:pPr>
            <w:r>
              <w:rPr>
                <w:rFonts w:ascii="Arial" w:hAnsi="Arial"/>
                <w:color w:val="000000"/>
                <w:sz w:val="17"/>
              </w:rPr>
              <w:t>A CA-signed management certificate and complete chain are installed for every published HTTPS name.</w:t>
            </w:r>
          </w:p>
        </w:tc>
      </w:tr>
      <w:tr>
        <w:trPr>
          <w:cantSplit w:val="true"/>
        </w:trPr>
        <w:tc>
          <w:tcPr>
            <w:tcW w:type="dxa" w:w="1944"/>
            <w:shd w:fill="F5F5F5"/>
            <w:tcMar>
              <w:top w:w="80" w:type="dxa"/>
              <w:start w:w="110" w:type="dxa"/>
              <w:bottom w:w="80" w:type="dxa"/>
              <w:end w:w="110" w:type="dxa"/>
            </w:tcMar>
            <w:vAlign w:val="center"/>
          </w:tcPr>
          <w:p>
            <w:pPr>
              <w:spacing w:after="0"/>
            </w:pPr>
            <w:r>
              <w:rPr>
                <w:rFonts w:ascii="Arial" w:hAnsi="Arial"/>
                <w:color w:val="000000"/>
                <w:sz w:val="17"/>
              </w:rPr>
              <w:t>Configure</w:t>
            </w:r>
          </w:p>
        </w:tc>
        <w:tc>
          <w:tcPr>
            <w:tcW w:type="dxa" w:w="7848"/>
            <w:shd w:fill="F5F5F5"/>
            <w:tcMar>
              <w:top w:w="80" w:type="dxa"/>
              <w:start w:w="110" w:type="dxa"/>
              <w:bottom w:w="80" w:type="dxa"/>
              <w:end w:w="110" w:type="dxa"/>
            </w:tcMar>
            <w:vAlign w:val="center"/>
          </w:tcPr>
          <w:p>
            <w:pPr>
              <w:spacing w:after="0"/>
            </w:pPr>
            <w:r>
              <w:rPr>
                <w:rFonts w:ascii="Arial" w:hAnsi="Arial"/>
                <w:color w:val="000000"/>
                <w:sz w:val="17"/>
              </w:rPr>
              <w:t>Identity, KMIP, and proxy policies are reviewed and their functional tests pass.</w:t>
            </w:r>
          </w:p>
        </w:tc>
      </w:tr>
      <w:tr>
        <w:trPr>
          <w:cantSplit w:val="true"/>
        </w:trPr>
        <w:tc>
          <w:tcPr>
            <w:tcW w:type="dxa" w:w="1944"/>
            <w:tcMar>
              <w:top w:w="80" w:type="dxa"/>
              <w:start w:w="110" w:type="dxa"/>
              <w:bottom w:w="80" w:type="dxa"/>
              <w:end w:w="110" w:type="dxa"/>
            </w:tcMar>
            <w:vAlign w:val="center"/>
          </w:tcPr>
          <w:p>
            <w:pPr>
              <w:spacing w:after="0"/>
            </w:pPr>
            <w:r>
              <w:rPr>
                <w:rFonts w:ascii="Arial" w:hAnsi="Arial"/>
                <w:color w:val="000000"/>
                <w:sz w:val="17"/>
              </w:rPr>
              <w:t>Accept</w:t>
            </w:r>
          </w:p>
        </w:tc>
        <w:tc>
          <w:tcPr>
            <w:tcW w:type="dxa" w:w="7848"/>
            <w:tcMar>
              <w:top w:w="80" w:type="dxa"/>
              <w:start w:w="110" w:type="dxa"/>
              <w:bottom w:w="80" w:type="dxa"/>
              <w:end w:w="110" w:type="dxa"/>
            </w:tcMar>
            <w:vAlign w:val="center"/>
          </w:tcPr>
          <w:p>
            <w:pPr>
              <w:spacing w:after="0"/>
            </w:pPr>
            <w:r>
              <w:rPr>
                <w:rFonts w:ascii="Arial" w:hAnsi="Arial"/>
                <w:color w:val="000000"/>
                <w:sz w:val="17"/>
              </w:rPr>
              <w:t>The Step 5 preflight has no blocked findings and the administrator completes first deployment.</w:t>
            </w:r>
          </w:p>
        </w:tc>
      </w:tr>
    </w:tbl>
    <w:p>
      <w:pPr>
        <w:spacing w:after="20"/>
      </w:pPr>
    </w:p>
    <w:p>
      <w:pPr>
        <w:pStyle w:val="Heading1"/>
      </w:pPr>
      <w:r>
        <w:t>2 Prerequisites</w:t>
      </w:r>
    </w:p>
    <w:p>
      <w:pPr>
        <w:pStyle w:val="ListBullet"/>
        <w:keepLines/>
      </w:pPr>
      <w:r>
        <w:t>VMware vSphere permission to deploy an OVF template, select compute and storage, connect a port group, and power on the virtual machine.</w:t>
      </w:r>
    </w:p>
    <w:p>
      <w:pPr>
        <w:pStyle w:val="ListBullet"/>
        <w:keepLines/>
      </w:pPr>
      <w:r>
        <w:t>A unique appliance hostname plus stable management, SSO, and KMIP DNS records.</w:t>
      </w:r>
    </w:p>
    <w:p>
      <w:pPr>
        <w:pStyle w:val="ListBullet"/>
        <w:keepLines/>
      </w:pPr>
      <w:r>
        <w:t>A static IPv4 configuration, or a permanent DHCP reservation with matching DNS records.</w:t>
      </w:r>
    </w:p>
    <w:p>
      <w:pPr>
        <w:pStyle w:val="ListBullet"/>
        <w:keepLines/>
      </w:pPr>
      <w:r>
        <w:t>Approved DNS and NTP sources reachable from the selected port group.</w:t>
      </w:r>
    </w:p>
    <w:p>
      <w:pPr>
        <w:pStyle w:val="ListBullet"/>
        <w:keepLines/>
      </w:pPr>
      <w:r>
        <w:t>Explicit management-source CIDRs and, when KMIP or forward proxy will be used, explicit client-source CIDRs.</w:t>
      </w:r>
    </w:p>
    <w:p>
      <w:pPr>
        <w:pStyle w:val="ListBullet"/>
        <w:keepLines/>
      </w:pPr>
      <w:r>
        <w:t>A certificate authority able to issue a server-authentication certificate for the published HTTPS names.</w:t>
      </w:r>
    </w:p>
    <w:p>
      <w:pPr>
        <w:pStyle w:val="ListBullet"/>
        <w:keepLines/>
      </w:pPr>
      <w:r>
        <w:t>Three distinct secrets: local web administrator, console recovery, and Keycloak administrator.</w:t>
      </w:r>
    </w:p>
    <w:p>
      <w:pPr>
        <w:keepLines/>
      </w:pPr>
      <w:r>
        <w:rPr>
          <w:b/>
        </w:rPr>
        <w:t xml:space="preserve">Credential policy  </w:t>
      </w:r>
      <w:r>
        <w:t>The local web-administrator password must contain 15 to 256 characters without control characters. Console-recovery and Keycloak-administrator passwords must contain 16 to 256 characters. Do not reuse any of the three secrets.</w:t>
      </w:r>
    </w:p>
    <w:p>
      <w:pPr>
        <w:pStyle w:val="Heading1"/>
      </w:pPr>
      <w:r>
        <w:t>3 Verify the release</w:t>
      </w:r>
    </w:p>
    <w:p>
      <w:pPr>
        <w:spacing w:after="60"/>
        <w:ind w:left="346" w:hanging="288"/>
      </w:pPr>
      <w:r>
        <w:t xml:space="preserve">1.  </w:t>
      </w:r>
      <w:r>
        <w:t>Obtain the Security Appliance 1.0 GA OVA and its adjacent SHA-256 file from the release source.</w:t>
      </w:r>
    </w:p>
    <w:p>
      <w:pPr>
        <w:spacing w:after="60"/>
        <w:ind w:left="346" w:hanging="288"/>
      </w:pPr>
      <w:r>
        <w:t xml:space="preserve">2.  </w:t>
      </w:r>
      <w:r>
        <w:t>Calculate the OVA digest on the workstation that will perform the deployment.</w:t>
      </w:r>
    </w:p>
    <w:p>
      <w:pPr>
        <w:spacing w:after="60"/>
        <w:ind w:left="346" w:hanging="288"/>
      </w:pPr>
      <w:r>
        <w:t xml:space="preserve">3.  </w:t>
      </w:r>
      <w:r>
        <w:t>Compare the complete digest with the published checksum. Stop if the names, sizes, or digests differ.</w:t>
      </w:r>
    </w:p>
    <w:p>
      <w:pPr>
        <w:spacing w:after="60"/>
        <w:ind w:left="346" w:hanging="288"/>
      </w:pPr>
      <w:r>
        <w:t xml:space="preserve">4.  </w:t>
      </w:r>
      <w:r>
        <w:t>Retain the checksum, architecture document, and these guides with the deployment record.</w:t>
      </w:r>
    </w:p>
    <w:p>
      <w:pPr>
        <w:pStyle w:val="Code"/>
        <w:shd w:fill="E7E6E6"/>
        <w:keepLines/>
      </w:pPr>
      <w:r>
        <w:t>Get-FileHash .\Lab-Security-Appliance-1.0-GA.ova -Algorithm SHA256</w:t>
      </w:r>
    </w:p>
    <w:p>
      <w:pPr>
        <w:pStyle w:val="Heading1"/>
      </w:pPr>
      <w:r>
        <w:t>4 Plan appliance values</w:t>
      </w:r>
    </w:p>
    <w:p>
      <w:pPr>
        <w:keepLines/>
      </w:pPr>
      <w:r>
        <w:t>Record the values in an approved configuration and credential system before opening the deployment wizard. Example domains and addresses in screenshots are illustrative and must not be copied into another environment.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088"/>
            <w:shd w:fill="202020"/>
            <w:tcMar>
              <w:top w:w="80" w:type="dxa"/>
              <w:start w:w="110" w:type="dxa"/>
              <w:bottom w:w="80" w:type="dxa"/>
              <w:end w:w="110" w:type="dxa"/>
            </w:tcMar>
            <w:vAlign w:val="center"/>
          </w:tcPr>
          <w:p>
            <w:pPr>
              <w:jc w:val="left"/>
            </w:pPr>
            <w:r>
              <w:rPr>
                <w:rFonts w:ascii="Arial" w:hAnsi="Arial"/>
                <w:b/>
                <w:color w:val="FFFFFF"/>
                <w:sz w:val="17"/>
              </w:rPr>
              <w:t>Input</w:t>
            </w:r>
          </w:p>
        </w:tc>
        <w:tc>
          <w:tcPr>
            <w:tcW w:type="dxa" w:w="4968"/>
            <w:shd w:fill="202020"/>
            <w:tcMar>
              <w:top w:w="80" w:type="dxa"/>
              <w:start w:w="110" w:type="dxa"/>
              <w:bottom w:w="80" w:type="dxa"/>
              <w:end w:w="110" w:type="dxa"/>
            </w:tcMar>
            <w:vAlign w:val="center"/>
          </w:tcPr>
          <w:p>
            <w:pPr>
              <w:jc w:val="left"/>
            </w:pPr>
            <w:r>
              <w:rPr>
                <w:rFonts w:ascii="Arial" w:hAnsi="Arial"/>
                <w:b/>
                <w:color w:val="FFFFFF"/>
                <w:sz w:val="17"/>
              </w:rPr>
              <w:t>Requirement</w:t>
            </w:r>
          </w:p>
        </w:tc>
        <w:tc>
          <w:tcPr>
            <w:tcW w:type="dxa" w:w="2736"/>
            <w:shd w:fill="202020"/>
            <w:tcMar>
              <w:top w:w="80" w:type="dxa"/>
              <w:start w:w="110" w:type="dxa"/>
              <w:bottom w:w="80" w:type="dxa"/>
              <w:end w:w="110" w:type="dxa"/>
            </w:tcMar>
            <w:vAlign w:val="center"/>
          </w:tcPr>
          <w:p>
            <w:pPr>
              <w:jc w:val="left"/>
            </w:pPr>
            <w:r>
              <w:rPr>
                <w:rFonts w:ascii="Arial" w:hAnsi="Arial"/>
                <w:b/>
                <w:color w:val="FFFFFF"/>
                <w:sz w:val="17"/>
              </w:rPr>
              <w:t>Example format</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Hostname</w:t>
            </w:r>
          </w:p>
        </w:tc>
        <w:tc>
          <w:tcPr>
            <w:tcW w:type="dxa" w:w="4968"/>
            <w:tcMar>
              <w:top w:w="80" w:type="dxa"/>
              <w:start w:w="110" w:type="dxa"/>
              <w:bottom w:w="80" w:type="dxa"/>
              <w:end w:w="110" w:type="dxa"/>
            </w:tcMar>
            <w:vAlign w:val="center"/>
          </w:tcPr>
          <w:p>
            <w:pPr>
              <w:spacing w:after="0"/>
            </w:pPr>
            <w:r>
              <w:rPr>
                <w:rFonts w:ascii="Arial" w:hAnsi="Arial"/>
                <w:color w:val="000000"/>
                <w:sz w:val="17"/>
              </w:rPr>
              <w:t>Unique short DNS label</w:t>
            </w:r>
          </w:p>
        </w:tc>
        <w:tc>
          <w:tcPr>
            <w:tcW w:type="dxa" w:w="2736"/>
            <w:tcMar>
              <w:top w:w="80" w:type="dxa"/>
              <w:start w:w="110" w:type="dxa"/>
              <w:bottom w:w="80" w:type="dxa"/>
              <w:end w:w="110" w:type="dxa"/>
            </w:tcMar>
            <w:vAlign w:val="center"/>
          </w:tcPr>
          <w:p>
            <w:pPr>
              <w:spacing w:after="0"/>
            </w:pPr>
            <w:r>
              <w:rPr>
                <w:rFonts w:ascii="Arial" w:hAnsi="Arial"/>
                <w:color w:val="000000"/>
                <w:sz w:val="17"/>
              </w:rPr>
              <w:t>security</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Domain</w:t>
            </w:r>
          </w:p>
        </w:tc>
        <w:tc>
          <w:tcPr>
            <w:tcW w:type="dxa" w:w="4968"/>
            <w:shd w:fill="F5F5F5"/>
            <w:tcMar>
              <w:top w:w="80" w:type="dxa"/>
              <w:start w:w="110" w:type="dxa"/>
              <w:bottom w:w="80" w:type="dxa"/>
              <w:end w:w="110" w:type="dxa"/>
            </w:tcMar>
            <w:vAlign w:val="center"/>
          </w:tcPr>
          <w:p>
            <w:pPr>
              <w:spacing w:after="0"/>
            </w:pPr>
            <w:r>
              <w:rPr>
                <w:rFonts w:ascii="Arial" w:hAnsi="Arial"/>
                <w:color w:val="000000"/>
                <w:sz w:val="17"/>
              </w:rPr>
              <w:t>DNS suffix</w:t>
            </w:r>
          </w:p>
        </w:tc>
        <w:tc>
          <w:tcPr>
            <w:tcW w:type="dxa" w:w="2736"/>
            <w:shd w:fill="F5F5F5"/>
            <w:tcMar>
              <w:top w:w="80" w:type="dxa"/>
              <w:start w:w="110" w:type="dxa"/>
              <w:bottom w:w="80" w:type="dxa"/>
              <w:end w:w="110" w:type="dxa"/>
            </w:tcMar>
            <w:vAlign w:val="center"/>
          </w:tcPr>
          <w:p>
            <w:pPr>
              <w:spacing w:after="0"/>
            </w:pPr>
            <w:r>
              <w:rPr>
                <w:rFonts w:ascii="Arial" w:hAnsi="Arial"/>
                <w:color w:val="000000"/>
                <w:sz w:val="17"/>
              </w:rPr>
              <w:t>example.local</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Management FQDN</w:t>
            </w:r>
          </w:p>
        </w:tc>
        <w:tc>
          <w:tcPr>
            <w:tcW w:type="dxa" w:w="4968"/>
            <w:tcMar>
              <w:top w:w="80" w:type="dxa"/>
              <w:start w:w="110" w:type="dxa"/>
              <w:bottom w:w="80" w:type="dxa"/>
              <w:end w:w="110" w:type="dxa"/>
            </w:tcMar>
            <w:vAlign w:val="center"/>
          </w:tcPr>
          <w:p>
            <w:pPr>
              <w:spacing w:after="0"/>
            </w:pPr>
            <w:r>
              <w:rPr>
                <w:rFonts w:ascii="Arial" w:hAnsi="Arial"/>
                <w:color w:val="000000"/>
                <w:sz w:val="17"/>
              </w:rPr>
              <w:t>Hostname plus domain</w:t>
            </w:r>
          </w:p>
        </w:tc>
        <w:tc>
          <w:tcPr>
            <w:tcW w:type="dxa" w:w="2736"/>
            <w:tcMar>
              <w:top w:w="80" w:type="dxa"/>
              <w:start w:w="110" w:type="dxa"/>
              <w:bottom w:w="80" w:type="dxa"/>
              <w:end w:w="110" w:type="dxa"/>
            </w:tcMar>
            <w:vAlign w:val="center"/>
          </w:tcPr>
          <w:p>
            <w:pPr>
              <w:spacing w:after="0"/>
            </w:pPr>
            <w:r>
              <w:rPr>
                <w:rFonts w:ascii="Arial" w:hAnsi="Arial"/>
                <w:color w:val="000000"/>
                <w:sz w:val="17"/>
              </w:rPr>
              <w:t>security.example.local</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SSO FQDN</w:t>
            </w:r>
          </w:p>
        </w:tc>
        <w:tc>
          <w:tcPr>
            <w:tcW w:type="dxa" w:w="4968"/>
            <w:shd w:fill="F5F5F5"/>
            <w:tcMar>
              <w:top w:w="80" w:type="dxa"/>
              <w:start w:w="110" w:type="dxa"/>
              <w:bottom w:w="80" w:type="dxa"/>
              <w:end w:w="110" w:type="dxa"/>
            </w:tcMar>
            <w:vAlign w:val="center"/>
          </w:tcPr>
          <w:p>
            <w:pPr>
              <w:spacing w:after="0"/>
            </w:pPr>
            <w:r>
              <w:rPr>
                <w:rFonts w:ascii="Arial" w:hAnsi="Arial"/>
                <w:color w:val="000000"/>
                <w:sz w:val="17"/>
              </w:rPr>
              <w:t>Stable Keycloak issuer name</w:t>
            </w:r>
          </w:p>
        </w:tc>
        <w:tc>
          <w:tcPr>
            <w:tcW w:type="dxa" w:w="2736"/>
            <w:shd w:fill="F5F5F5"/>
            <w:tcMar>
              <w:top w:w="80" w:type="dxa"/>
              <w:start w:w="110" w:type="dxa"/>
              <w:bottom w:w="80" w:type="dxa"/>
              <w:end w:w="110" w:type="dxa"/>
            </w:tcMar>
            <w:vAlign w:val="center"/>
          </w:tcPr>
          <w:p>
            <w:pPr>
              <w:spacing w:after="0"/>
            </w:pPr>
            <w:r>
              <w:rPr>
                <w:rFonts w:ascii="Arial" w:hAnsi="Arial"/>
                <w:color w:val="000000"/>
                <w:sz w:val="17"/>
              </w:rPr>
              <w:t>sso.example.local</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KMIP FQDN</w:t>
            </w:r>
          </w:p>
        </w:tc>
        <w:tc>
          <w:tcPr>
            <w:tcW w:type="dxa" w:w="4968"/>
            <w:tcMar>
              <w:top w:w="80" w:type="dxa"/>
              <w:start w:w="110" w:type="dxa"/>
              <w:bottom w:w="80" w:type="dxa"/>
              <w:end w:w="110" w:type="dxa"/>
            </w:tcMar>
            <w:vAlign w:val="center"/>
          </w:tcPr>
          <w:p>
            <w:pPr>
              <w:spacing w:after="0"/>
            </w:pPr>
            <w:r>
              <w:rPr>
                <w:rFonts w:ascii="Arial" w:hAnsi="Arial"/>
                <w:color w:val="000000"/>
                <w:sz w:val="17"/>
              </w:rPr>
              <w:t>Stable key-service name</w:t>
            </w:r>
          </w:p>
        </w:tc>
        <w:tc>
          <w:tcPr>
            <w:tcW w:type="dxa" w:w="2736"/>
            <w:tcMar>
              <w:top w:w="80" w:type="dxa"/>
              <w:start w:w="110" w:type="dxa"/>
              <w:bottom w:w="80" w:type="dxa"/>
              <w:end w:w="110" w:type="dxa"/>
            </w:tcMar>
            <w:vAlign w:val="center"/>
          </w:tcPr>
          <w:p>
            <w:pPr>
              <w:spacing w:after="0"/>
            </w:pPr>
            <w:r>
              <w:rPr>
                <w:rFonts w:ascii="Arial" w:hAnsi="Arial"/>
                <w:color w:val="000000"/>
                <w:sz w:val="17"/>
              </w:rPr>
              <w:t>kmip.example.local</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Network mode</w:t>
            </w:r>
          </w:p>
        </w:tc>
        <w:tc>
          <w:tcPr>
            <w:tcW w:type="dxa" w:w="4968"/>
            <w:shd w:fill="F5F5F5"/>
            <w:tcMar>
              <w:top w:w="80" w:type="dxa"/>
              <w:start w:w="110" w:type="dxa"/>
              <w:bottom w:w="80" w:type="dxa"/>
              <w:end w:w="110" w:type="dxa"/>
            </w:tcMar>
            <w:vAlign w:val="center"/>
          </w:tcPr>
          <w:p>
            <w:pPr>
              <w:spacing w:after="0"/>
            </w:pPr>
            <w:r>
              <w:rPr>
                <w:rFonts w:ascii="Arial" w:hAnsi="Arial"/>
                <w:color w:val="000000"/>
                <w:sz w:val="17"/>
              </w:rPr>
              <w:t>Static preferred; reserved DHCP permitted</w:t>
            </w:r>
          </w:p>
        </w:tc>
        <w:tc>
          <w:tcPr>
            <w:tcW w:type="dxa" w:w="2736"/>
            <w:shd w:fill="F5F5F5"/>
            <w:tcMar>
              <w:top w:w="80" w:type="dxa"/>
              <w:start w:w="110" w:type="dxa"/>
              <w:bottom w:w="80" w:type="dxa"/>
              <w:end w:w="110" w:type="dxa"/>
            </w:tcMar>
            <w:vAlign w:val="center"/>
          </w:tcPr>
          <w:p>
            <w:pPr>
              <w:spacing w:after="0"/>
            </w:pPr>
            <w:r>
              <w:rPr>
                <w:rFonts w:ascii="Arial" w:hAnsi="Arial"/>
                <w:color w:val="000000"/>
                <w:sz w:val="17"/>
              </w:rPr>
              <w:t>static</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Addressing</w:t>
            </w:r>
          </w:p>
        </w:tc>
        <w:tc>
          <w:tcPr>
            <w:tcW w:type="dxa" w:w="4968"/>
            <w:tcMar>
              <w:top w:w="80" w:type="dxa"/>
              <w:start w:w="110" w:type="dxa"/>
              <w:bottom w:w="80" w:type="dxa"/>
              <w:end w:w="110" w:type="dxa"/>
            </w:tcMar>
            <w:vAlign w:val="center"/>
          </w:tcPr>
          <w:p>
            <w:pPr>
              <w:spacing w:after="0"/>
            </w:pPr>
            <w:r>
              <w:rPr>
                <w:rFonts w:ascii="Arial" w:hAnsi="Arial"/>
                <w:color w:val="000000"/>
                <w:sz w:val="17"/>
              </w:rPr>
              <w:t>IP, prefix, gateway for static mode</w:t>
            </w:r>
          </w:p>
        </w:tc>
        <w:tc>
          <w:tcPr>
            <w:tcW w:type="dxa" w:w="2736"/>
            <w:tcMar>
              <w:top w:w="80" w:type="dxa"/>
              <w:start w:w="110" w:type="dxa"/>
              <w:bottom w:w="80" w:type="dxa"/>
              <w:end w:w="110" w:type="dxa"/>
            </w:tcMar>
            <w:vAlign w:val="center"/>
          </w:tcPr>
          <w:p>
            <w:pPr>
              <w:spacing w:after="0"/>
            </w:pPr>
            <w:r>
              <w:rPr>
                <w:rFonts w:ascii="Arial" w:hAnsi="Arial"/>
                <w:color w:val="000000"/>
                <w:sz w:val="17"/>
              </w:rPr>
              <w:t>192.0.2.20/24</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DNS and NTP</w:t>
            </w:r>
          </w:p>
        </w:tc>
        <w:tc>
          <w:tcPr>
            <w:tcW w:type="dxa" w:w="4968"/>
            <w:shd w:fill="F5F5F5"/>
            <w:tcMar>
              <w:top w:w="80" w:type="dxa"/>
              <w:start w:w="110" w:type="dxa"/>
              <w:bottom w:w="80" w:type="dxa"/>
              <w:end w:w="110" w:type="dxa"/>
            </w:tcMar>
            <w:vAlign w:val="center"/>
          </w:tcPr>
          <w:p>
            <w:pPr>
              <w:spacing w:after="0"/>
            </w:pPr>
            <w:r>
              <w:rPr>
                <w:rFonts w:ascii="Arial" w:hAnsi="Arial"/>
                <w:color w:val="000000"/>
                <w:sz w:val="17"/>
              </w:rPr>
              <w:t>Approved reachable sources</w:t>
            </w:r>
          </w:p>
        </w:tc>
        <w:tc>
          <w:tcPr>
            <w:tcW w:type="dxa" w:w="2736"/>
            <w:shd w:fill="F5F5F5"/>
            <w:tcMar>
              <w:top w:w="80" w:type="dxa"/>
              <w:start w:w="110" w:type="dxa"/>
              <w:bottom w:w="80" w:type="dxa"/>
              <w:end w:w="110" w:type="dxa"/>
            </w:tcMar>
            <w:vAlign w:val="center"/>
          </w:tcPr>
          <w:p>
            <w:pPr>
              <w:spacing w:after="0"/>
            </w:pPr>
            <w:r>
              <w:rPr>
                <w:rFonts w:ascii="Arial" w:hAnsi="Arial"/>
                <w:color w:val="000000"/>
                <w:sz w:val="17"/>
              </w:rPr>
              <w:t>192.0.2.53; ntp.example.local</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Management CIDRs</w:t>
            </w:r>
          </w:p>
        </w:tc>
        <w:tc>
          <w:tcPr>
            <w:tcW w:type="dxa" w:w="4968"/>
            <w:tcMar>
              <w:top w:w="80" w:type="dxa"/>
              <w:start w:w="110" w:type="dxa"/>
              <w:bottom w:w="80" w:type="dxa"/>
              <w:end w:w="110" w:type="dxa"/>
            </w:tcMar>
            <w:vAlign w:val="center"/>
          </w:tcPr>
          <w:p>
            <w:pPr>
              <w:spacing w:after="0"/>
            </w:pPr>
            <w:r>
              <w:rPr>
                <w:rFonts w:ascii="Arial" w:hAnsi="Arial"/>
                <w:color w:val="000000"/>
                <w:sz w:val="17"/>
              </w:rPr>
              <w:t>Exact administrator source networks</w:t>
            </w:r>
          </w:p>
        </w:tc>
        <w:tc>
          <w:tcPr>
            <w:tcW w:type="dxa" w:w="2736"/>
            <w:tcMar>
              <w:top w:w="80" w:type="dxa"/>
              <w:start w:w="110" w:type="dxa"/>
              <w:bottom w:w="80" w:type="dxa"/>
              <w:end w:w="110" w:type="dxa"/>
            </w:tcMar>
            <w:vAlign w:val="center"/>
          </w:tcPr>
          <w:p>
            <w:pPr>
              <w:spacing w:after="0"/>
            </w:pPr>
            <w:r>
              <w:rPr>
                <w:rFonts w:ascii="Arial" w:hAnsi="Arial"/>
                <w:color w:val="000000"/>
                <w:sz w:val="17"/>
              </w:rPr>
              <w:t>192.0.2.0/24</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KMIP CIDRs</w:t>
            </w:r>
          </w:p>
        </w:tc>
        <w:tc>
          <w:tcPr>
            <w:tcW w:type="dxa" w:w="4968"/>
            <w:shd w:fill="F5F5F5"/>
            <w:tcMar>
              <w:top w:w="80" w:type="dxa"/>
              <w:start w:w="110" w:type="dxa"/>
              <w:bottom w:w="80" w:type="dxa"/>
              <w:end w:w="110" w:type="dxa"/>
            </w:tcMar>
            <w:vAlign w:val="center"/>
          </w:tcPr>
          <w:p>
            <w:pPr>
              <w:spacing w:after="0"/>
            </w:pPr>
            <w:r>
              <w:rPr>
                <w:rFonts w:ascii="Arial" w:hAnsi="Arial"/>
                <w:color w:val="000000"/>
                <w:sz w:val="17"/>
              </w:rPr>
              <w:t>Exact consumer source networks</w:t>
            </w:r>
          </w:p>
        </w:tc>
        <w:tc>
          <w:tcPr>
            <w:tcW w:type="dxa" w:w="2736"/>
            <w:shd w:fill="F5F5F5"/>
            <w:tcMar>
              <w:top w:w="80" w:type="dxa"/>
              <w:start w:w="110" w:type="dxa"/>
              <w:bottom w:w="80" w:type="dxa"/>
              <w:end w:w="110" w:type="dxa"/>
            </w:tcMar>
            <w:vAlign w:val="center"/>
          </w:tcPr>
          <w:p>
            <w:pPr>
              <w:spacing w:after="0"/>
            </w:pPr>
            <w:r>
              <w:rPr>
                <w:rFonts w:ascii="Arial" w:hAnsi="Arial"/>
                <w:color w:val="000000"/>
                <w:sz w:val="17"/>
              </w:rPr>
              <w:t>192.0.2.80/32</w:t>
            </w:r>
          </w:p>
        </w:tc>
      </w:tr>
    </w:tbl>
    <w:p>
      <w:pPr>
        <w:spacing w:after="20"/>
      </w:pPr>
    </w:p>
    <w:p>
      <w:pPr>
        <w:pStyle w:val="Heading1"/>
      </w:pPr>
      <w:r>
        <w:t>5 OVF deployment properties</w:t>
      </w:r>
    </w:p>
    <w:p>
      <w:pPr>
        <w:keepLines/>
      </w:pPr>
      <w:r>
        <w:t>The VMware wizard prefixes these property names with guestinfo.security. The VM inventory name is selected separately from the guest hostname.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376"/>
            <w:shd w:fill="202020"/>
            <w:tcMar>
              <w:top w:w="80" w:type="dxa"/>
              <w:start w:w="110" w:type="dxa"/>
              <w:bottom w:w="80" w:type="dxa"/>
              <w:end w:w="110" w:type="dxa"/>
            </w:tcMar>
            <w:vAlign w:val="center"/>
          </w:tcPr>
          <w:p>
            <w:pPr>
              <w:jc w:val="left"/>
            </w:pPr>
            <w:r>
              <w:rPr>
                <w:rFonts w:ascii="Arial" w:hAnsi="Arial"/>
                <w:b/>
                <w:color w:val="FFFFFF"/>
                <w:sz w:val="17"/>
              </w:rPr>
              <w:t>Property suffix</w:t>
            </w:r>
          </w:p>
        </w:tc>
        <w:tc>
          <w:tcPr>
            <w:tcW w:type="dxa" w:w="1800"/>
            <w:shd w:fill="202020"/>
            <w:tcMar>
              <w:top w:w="80" w:type="dxa"/>
              <w:start w:w="110" w:type="dxa"/>
              <w:bottom w:w="80" w:type="dxa"/>
              <w:end w:w="110" w:type="dxa"/>
            </w:tcMar>
            <w:vAlign w:val="center"/>
          </w:tcPr>
          <w:p>
            <w:pPr>
              <w:jc w:val="left"/>
            </w:pPr>
            <w:r>
              <w:rPr>
                <w:rFonts w:ascii="Arial" w:hAnsi="Arial"/>
                <w:b/>
                <w:color w:val="FFFFFF"/>
                <w:sz w:val="17"/>
              </w:rPr>
              <w:t>When required</w:t>
            </w:r>
          </w:p>
        </w:tc>
        <w:tc>
          <w:tcPr>
            <w:tcW w:type="dxa" w:w="5616"/>
            <w:shd w:fill="202020"/>
            <w:tcMar>
              <w:top w:w="80" w:type="dxa"/>
              <w:start w:w="110" w:type="dxa"/>
              <w:bottom w:w="80" w:type="dxa"/>
              <w:end w:w="110" w:type="dxa"/>
            </w:tcMar>
            <w:vAlign w:val="center"/>
          </w:tcPr>
          <w:p>
            <w:pPr>
              <w:jc w:val="left"/>
            </w:pPr>
            <w:r>
              <w:rPr>
                <w:rFonts w:ascii="Arial" w:hAnsi="Arial"/>
                <w:b/>
                <w:color w:val="FFFFFF"/>
                <w:sz w:val="17"/>
              </w:rPr>
              <w:t>Purpose</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hostname</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Short appliance name.</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domain</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DNS suffix used to form the management FQDN.</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network_mode</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Select static or reserved DHCP.</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ip</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Static</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Usable IPv4 address.</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prefix</w:t>
            </w:r>
          </w:p>
        </w:tc>
        <w:tc>
          <w:tcPr>
            <w:tcW w:type="dxa" w:w="1800"/>
            <w:tcMar>
              <w:top w:w="80" w:type="dxa"/>
              <w:start w:w="110" w:type="dxa"/>
              <w:bottom w:w="80" w:type="dxa"/>
              <w:end w:w="110" w:type="dxa"/>
            </w:tcMar>
            <w:vAlign w:val="center"/>
          </w:tcPr>
          <w:p>
            <w:pPr>
              <w:spacing w:after="0"/>
            </w:pPr>
            <w:r>
              <w:rPr>
                <w:rFonts w:ascii="Arial" w:hAnsi="Arial"/>
                <w:color w:val="000000"/>
                <w:sz w:val="17"/>
              </w:rPr>
              <w:t>Static</w:t>
            </w:r>
          </w:p>
        </w:tc>
        <w:tc>
          <w:tcPr>
            <w:tcW w:type="dxa" w:w="5616"/>
            <w:tcMar>
              <w:top w:w="80" w:type="dxa"/>
              <w:start w:w="110" w:type="dxa"/>
              <w:bottom w:w="80" w:type="dxa"/>
              <w:end w:w="110" w:type="dxa"/>
            </w:tcMar>
            <w:vAlign w:val="center"/>
          </w:tcPr>
          <w:p>
            <w:pPr>
              <w:spacing w:after="0"/>
            </w:pPr>
            <w:r>
              <w:rPr>
                <w:rFonts w:ascii="Arial" w:hAnsi="Arial"/>
                <w:color w:val="000000"/>
                <w:sz w:val="17"/>
              </w:rPr>
              <w:t>IPv4 network prefix length.</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gateway</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Static</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Same-subnet default gateway.</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dns</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Approved resolver addresses.</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ntp</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Approved time source names or addresses.</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admin_cidrs</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Networks allowed to reach the management interface.</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web_admin_username</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Defaults to admin; use a unique local administrator name if required.</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web_admin_password</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Local web-administrator secret.</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console_recovery_password</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Independent verifier for fixed-function console recovery.</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identity_admin_username</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Initial Keycloak administrator name.</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identity_admin_password</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Initial Keycloak administrator secret.</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sso_fqdn</w:t>
            </w:r>
          </w:p>
        </w:tc>
        <w:tc>
          <w:tcPr>
            <w:tcW w:type="dxa" w:w="1800"/>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tcMar>
              <w:top w:w="80" w:type="dxa"/>
              <w:start w:w="110" w:type="dxa"/>
              <w:bottom w:w="80" w:type="dxa"/>
              <w:end w:w="110" w:type="dxa"/>
            </w:tcMar>
            <w:vAlign w:val="center"/>
          </w:tcPr>
          <w:p>
            <w:pPr>
              <w:spacing w:after="0"/>
            </w:pPr>
            <w:r>
              <w:rPr>
                <w:rFonts w:ascii="Arial" w:hAnsi="Arial"/>
                <w:color w:val="000000"/>
                <w:sz w:val="17"/>
              </w:rPr>
              <w:t>Stable Keycloak issuer hostname.</w:t>
            </w:r>
          </w:p>
        </w:tc>
      </w:tr>
      <w:tr>
        <w:trPr>
          <w:cantSplit w:val="true"/>
        </w:trPr>
        <w:tc>
          <w:tcPr>
            <w:tcW w:type="dxa" w:w="2376"/>
            <w:shd w:fill="F5F5F5"/>
            <w:tcMar>
              <w:top w:w="80" w:type="dxa"/>
              <w:start w:w="110" w:type="dxa"/>
              <w:bottom w:w="80" w:type="dxa"/>
              <w:end w:w="110" w:type="dxa"/>
            </w:tcMar>
            <w:vAlign w:val="center"/>
          </w:tcPr>
          <w:p>
            <w:pPr>
              <w:spacing w:after="0"/>
            </w:pPr>
            <w:r>
              <w:rPr>
                <w:rFonts w:ascii="Arial" w:hAnsi="Arial"/>
                <w:color w:val="000000"/>
                <w:sz w:val="17"/>
              </w:rPr>
              <w:t>kmip_fqdn</w:t>
            </w:r>
          </w:p>
        </w:tc>
        <w:tc>
          <w:tcPr>
            <w:tcW w:type="dxa" w:w="1800"/>
            <w:shd w:fill="F5F5F5"/>
            <w:tcMar>
              <w:top w:w="80" w:type="dxa"/>
              <w:start w:w="110" w:type="dxa"/>
              <w:bottom w:w="80" w:type="dxa"/>
              <w:end w:w="110" w:type="dxa"/>
            </w:tcMar>
            <w:vAlign w:val="center"/>
          </w:tcPr>
          <w:p>
            <w:pPr>
              <w:spacing w:after="0"/>
            </w:pPr>
            <w:r>
              <w:rPr>
                <w:rFonts w:ascii="Arial" w:hAnsi="Arial"/>
                <w:color w:val="000000"/>
                <w:sz w:val="17"/>
              </w:rPr>
              <w:t>Always</w:t>
            </w:r>
          </w:p>
        </w:tc>
        <w:tc>
          <w:tcPr>
            <w:tcW w:type="dxa" w:w="5616"/>
            <w:shd w:fill="F5F5F5"/>
            <w:tcMar>
              <w:top w:w="80" w:type="dxa"/>
              <w:start w:w="110" w:type="dxa"/>
              <w:bottom w:w="80" w:type="dxa"/>
              <w:end w:w="110" w:type="dxa"/>
            </w:tcMar>
            <w:vAlign w:val="center"/>
          </w:tcPr>
          <w:p>
            <w:pPr>
              <w:spacing w:after="0"/>
            </w:pPr>
            <w:r>
              <w:rPr>
                <w:rFonts w:ascii="Arial" w:hAnsi="Arial"/>
                <w:color w:val="000000"/>
                <w:sz w:val="17"/>
              </w:rPr>
              <w:t>Stable KMIP server hostname.</w:t>
            </w:r>
          </w:p>
        </w:tc>
      </w:tr>
      <w:tr>
        <w:trPr>
          <w:cantSplit w:val="true"/>
        </w:trPr>
        <w:tc>
          <w:tcPr>
            <w:tcW w:type="dxa" w:w="2376"/>
            <w:tcMar>
              <w:top w:w="80" w:type="dxa"/>
              <w:start w:w="110" w:type="dxa"/>
              <w:bottom w:w="80" w:type="dxa"/>
              <w:end w:w="110" w:type="dxa"/>
            </w:tcMar>
            <w:vAlign w:val="center"/>
          </w:tcPr>
          <w:p>
            <w:pPr>
              <w:spacing w:after="0"/>
            </w:pPr>
            <w:r>
              <w:rPr>
                <w:rFonts w:ascii="Arial" w:hAnsi="Arial"/>
                <w:color w:val="000000"/>
                <w:sz w:val="17"/>
              </w:rPr>
              <w:t>kmip_client_cidrs</w:t>
            </w:r>
          </w:p>
        </w:tc>
        <w:tc>
          <w:tcPr>
            <w:tcW w:type="dxa" w:w="1800"/>
            <w:tcMar>
              <w:top w:w="80" w:type="dxa"/>
              <w:start w:w="110" w:type="dxa"/>
              <w:bottom w:w="80" w:type="dxa"/>
              <w:end w:w="110" w:type="dxa"/>
            </w:tcMar>
            <w:vAlign w:val="center"/>
          </w:tcPr>
          <w:p>
            <w:pPr>
              <w:spacing w:after="0"/>
            </w:pPr>
            <w:r>
              <w:rPr>
                <w:rFonts w:ascii="Arial" w:hAnsi="Arial"/>
                <w:color w:val="000000"/>
                <w:sz w:val="17"/>
              </w:rPr>
              <w:t>When ready</w:t>
            </w:r>
          </w:p>
        </w:tc>
        <w:tc>
          <w:tcPr>
            <w:tcW w:type="dxa" w:w="5616"/>
            <w:tcMar>
              <w:top w:w="80" w:type="dxa"/>
              <w:start w:w="110" w:type="dxa"/>
              <w:bottom w:w="80" w:type="dxa"/>
              <w:end w:w="110" w:type="dxa"/>
            </w:tcMar>
            <w:vAlign w:val="center"/>
          </w:tcPr>
          <w:p>
            <w:pPr>
              <w:spacing w:after="0"/>
            </w:pPr>
            <w:r>
              <w:rPr>
                <w:rFonts w:ascii="Arial" w:hAnsi="Arial"/>
                <w:color w:val="000000"/>
                <w:sz w:val="17"/>
              </w:rPr>
              <w:t>Exact approved KMIP client sources; leave blank to keep TCP 5696 closed.</w:t>
            </w:r>
          </w:p>
        </w:tc>
      </w:tr>
    </w:tbl>
    <w:p>
      <w:pPr>
        <w:spacing w:after="20"/>
      </w:pPr>
    </w:p>
    <w:p>
      <w:pPr>
        <w:pStyle w:val="Heading1"/>
      </w:pPr>
      <w:r>
        <w:t>6 Deploy in vCenter</w:t>
      </w:r>
    </w:p>
    <w:p>
      <w:pPr>
        <w:spacing w:after="60"/>
        <w:ind w:left="346" w:hanging="288"/>
      </w:pPr>
      <w:r>
        <w:t xml:space="preserve">1.  </w:t>
      </w:r>
      <w:r>
        <w:t>Select Deploy OVF Template and choose the verified OVA.</w:t>
      </w:r>
    </w:p>
    <w:p>
      <w:pPr>
        <w:spacing w:after="60"/>
        <w:ind w:left="346" w:hanging="288"/>
      </w:pPr>
      <w:r>
        <w:t xml:space="preserve">2.  </w:t>
      </w:r>
      <w:r>
        <w:t>Choose a unique VM name, compute resource, datastore, and thin-provisioned disk format.</w:t>
      </w:r>
    </w:p>
    <w:p>
      <w:pPr>
        <w:spacing w:after="60"/>
        <w:ind w:left="346" w:hanging="288"/>
      </w:pPr>
      <w:r>
        <w:t xml:space="preserve">3.  </w:t>
      </w:r>
      <w:r>
        <w:t>Map the appliance network adapter to the approved port group.</w:t>
      </w:r>
    </w:p>
    <w:p>
      <w:pPr>
        <w:spacing w:after="60"/>
        <w:ind w:left="346" w:hanging="288"/>
      </w:pPr>
      <w:r>
        <w:t xml:space="preserve">4.  </w:t>
      </w:r>
      <w:r>
        <w:t>Complete every OVF property. Leave IP, prefix, and gateway blank only in reserved-DHCP mode.</w:t>
      </w:r>
    </w:p>
    <w:p>
      <w:pPr>
        <w:spacing w:after="60"/>
        <w:ind w:left="346" w:hanging="288"/>
      </w:pPr>
      <w:r>
        <w:t xml:space="preserve">5.  </w:t>
      </w:r>
      <w:r>
        <w:t>Keep password fields masked and use three distinct values from the approved credential store.</w:t>
      </w:r>
    </w:p>
    <w:p>
      <w:pPr>
        <w:spacing w:after="60"/>
        <w:ind w:left="346" w:hanging="288"/>
      </w:pPr>
      <w:r>
        <w:t xml:space="preserve">6.  </w:t>
      </w:r>
      <w:r>
        <w:t>Review the summary, deploy the VM, and power it on. Do not attach guest customization or a seed ISO.</w:t>
      </w:r>
    </w:p>
    <w:p>
      <w:pPr>
        <w:spacing w:after="60"/>
        <w:ind w:left="346" w:hanging="288"/>
      </w:pPr>
      <w:r>
        <w:t xml:space="preserve">7.  </w:t>
      </w:r>
      <w:r>
        <w:t>Wait for first boot to finish before testing HTTPS. A validation failure keeps external services closed and reports a bounded reason on the VM console.</w:t>
      </w:r>
    </w:p>
    <w:p>
      <w:pPr>
        <w:pStyle w:val="Heading1"/>
      </w:pPr>
      <w:r>
        <w:t>7 Establish first access</w:t>
      </w:r>
    </w:p>
    <w:p>
      <w:pPr>
        <w:spacing w:after="60"/>
        <w:ind w:left="346" w:hanging="288"/>
      </w:pPr>
      <w:r>
        <w:t xml:space="preserve">1.  </w:t>
      </w:r>
      <w:r>
        <w:t>If DHCP is used, open the VMware console and read the assigned address from the fixed-function status view.</w:t>
      </w:r>
    </w:p>
    <w:p>
      <w:pPr>
        <w:spacing w:after="60"/>
        <w:ind w:left="346" w:hanging="288"/>
      </w:pPr>
      <w:r>
        <w:t xml:space="preserve">2.  </w:t>
      </w:r>
      <w:r>
        <w:t>Create or verify forward and reverse DNS records for the management, SSO, and KMIP names.</w:t>
      </w:r>
    </w:p>
    <w:p>
      <w:pPr>
        <w:spacing w:after="60"/>
        <w:ind w:left="346" w:hanging="288"/>
      </w:pPr>
      <w:r>
        <w:t xml:space="preserve">3.  </w:t>
      </w:r>
      <w:r>
        <w:t>Open https://&lt;management-fqdn&gt;/admin/. Plain HTTP and the appliance root should redirect to the canonical HTTPS management URL.</w:t>
      </w:r>
    </w:p>
    <w:p>
      <w:pPr>
        <w:spacing w:after="60"/>
        <w:ind w:left="346" w:hanging="288"/>
      </w:pPr>
      <w:r>
        <w:t xml:space="preserve">4.  </w:t>
      </w:r>
      <w:r>
        <w:t>Sign in with the deployment-supplied web administrator. A new GA appliance must show the standard sign-in page.</w:t>
      </w:r>
    </w:p>
    <w:p>
      <w:pPr>
        <w:spacing w:after="60"/>
        <w:ind w:left="346" w:hanging="288"/>
      </w:pPr>
      <w:r>
        <w:t xml:space="preserve">5.  </w:t>
      </w:r>
      <w:r>
        <w:t>Open Health Status and confirm identity, active address, gateway, DNS, NTP, storage, firewall, and service readiness.</w:t>
      </w:r>
    </w:p>
    <w:p>
      <w:pPr>
        <w:pStyle w:val="Heading1"/>
      </w:pPr>
      <w:r>
        <w:t>8 Complete first deployment</w:t>
      </w:r>
    </w:p>
    <w:p>
      <w:pPr>
        <w:pStyle w:val="Heading2"/>
      </w:pPr>
      <w:r>
        <w:t>Step 1 Prepare appliance</w:t>
      </w:r>
    </w:p>
    <w:p>
      <w:pPr>
        <w:spacing w:after="60"/>
        <w:ind w:left="346" w:hanging="288"/>
      </w:pPr>
      <w:r>
        <w:t xml:space="preserve">1.  </w:t>
      </w:r>
      <w:r>
        <w:t>Review Appliance Management values and save the correct timezone.</w:t>
      </w:r>
    </w:p>
    <w:p>
      <w:pPr>
        <w:spacing w:after="60"/>
        <w:ind w:left="346" w:hanging="288"/>
      </w:pPr>
      <w:r>
        <w:t xml:space="preserve">2.  </w:t>
      </w:r>
      <w:r>
        <w:t>If network values must change, preview them, acknowledge the interruption, apply, reconnect, and confirm access before the rollback timer expires.</w:t>
      </w:r>
    </w:p>
    <w:p>
      <w:pPr>
        <w:spacing w:after="60"/>
        <w:ind w:left="346" w:hanging="288"/>
      </w:pPr>
      <w:r>
        <w:t xml:space="preserve">3.  </w:t>
      </w:r>
      <w:r>
        <w:t>Open Certificates and Trust, generate a management CSR, and submit it to the approved CA.</w:t>
      </w:r>
    </w:p>
    <w:p>
      <w:pPr>
        <w:spacing w:after="60"/>
        <w:ind w:left="346" w:hanging="288"/>
      </w:pPr>
      <w:r>
        <w:t xml:space="preserve">4.  </w:t>
      </w:r>
      <w:r>
        <w:t>Import the signed server certificate, CA chain, and any intermediate certificates. Reconnect and verify trusted HTTPS for each published name.</w:t>
      </w:r>
    </w:p>
    <w:p>
      <w:pPr>
        <w:spacing w:after="60"/>
        <w:ind w:left="346" w:hanging="288"/>
      </w:pPr>
      <w:r>
        <w:t xml:space="preserve">5.  </w:t>
      </w:r>
      <w:r>
        <w:t>Refresh Health Status and run the management functional test.</w:t>
      </w:r>
    </w:p>
    <w:p>
      <w:pPr>
        <w:pStyle w:val="Heading2"/>
      </w:pPr>
      <w:r>
        <w:t>Step 2 Configure identity</w:t>
      </w:r>
    </w:p>
    <w:p>
      <w:pPr>
        <w:spacing w:after="60"/>
        <w:ind w:left="346" w:hanging="288"/>
      </w:pPr>
      <w:r>
        <w:t xml:space="preserve">1.  </w:t>
      </w:r>
      <w:r>
        <w:t>Open the Keycloak page and confirm PostgreSQL and Keycloak are ready.</w:t>
      </w:r>
    </w:p>
    <w:p>
      <w:pPr>
        <w:spacing w:after="60"/>
        <w:ind w:left="346" w:hanging="288"/>
      </w:pPr>
      <w:r>
        <w:t xml:space="preserve">2.  </w:t>
      </w:r>
      <w:r>
        <w:t>Open Keycloak administration, create or review the application realm, and keep the master realm for administration.</w:t>
      </w:r>
    </w:p>
    <w:p>
      <w:pPr>
        <w:spacing w:after="60"/>
        <w:ind w:left="346" w:hanging="288"/>
      </w:pPr>
      <w:r>
        <w:t xml:space="preserve">3.  </w:t>
      </w:r>
      <w:r>
        <w:t>Register exact redirect URIs, audiences, and role mappings. Browser clients use Authorization Code with PKCE.</w:t>
      </w:r>
    </w:p>
    <w:p>
      <w:pPr>
        <w:spacing w:after="60"/>
        <w:ind w:left="346" w:hanging="288"/>
      </w:pPr>
      <w:r>
        <w:t xml:space="preserve">4.  </w:t>
      </w:r>
      <w:r>
        <w:t>Run the generic OIDC qualification and confirm login, invalid-PKCE rejection, role enforcement, logout, and temporary-realm cleanup.</w:t>
      </w:r>
    </w:p>
    <w:p>
      <w:pPr>
        <w:pStyle w:val="Heading2"/>
      </w:pPr>
      <w:r>
        <w:t>Step 3 Configure key management</w:t>
      </w:r>
    </w:p>
    <w:p>
      <w:pPr>
        <w:spacing w:after="60"/>
        <w:ind w:left="346" w:hanging="288"/>
      </w:pPr>
      <w:r>
        <w:t xml:space="preserve">1.  </w:t>
      </w:r>
      <w:r>
        <w:t>Generate the client private key and CSR on the KMIP consumer so the private key never leaves that system.</w:t>
      </w:r>
    </w:p>
    <w:p>
      <w:pPr>
        <w:spacing w:after="60"/>
        <w:ind w:left="346" w:hanging="288"/>
      </w:pPr>
      <w:r>
        <w:t xml:space="preserve">2.  </w:t>
      </w:r>
      <w:r>
        <w:t>Paste the CSR into the KMIP page, enter the client DNS name, and sign the client request.</w:t>
      </w:r>
    </w:p>
    <w:p>
      <w:pPr>
        <w:spacing w:after="60"/>
        <w:ind w:left="346" w:hanging="288"/>
      </w:pPr>
      <w:r>
        <w:t xml:space="preserve">3.  </w:t>
      </w:r>
      <w:r>
        <w:t>Install the signed client certificate and downloaded KMIP CA chain on the consumer.</w:t>
      </w:r>
    </w:p>
    <w:p>
      <w:pPr>
        <w:spacing w:after="60"/>
        <w:ind w:left="346" w:hanging="288"/>
      </w:pPr>
      <w:r>
        <w:t xml:space="preserve">4.  </w:t>
      </w:r>
      <w:r>
        <w:t>Add only the consumer's exact source network to Approved KMIP client networks, then apply the policy.</w:t>
      </w:r>
    </w:p>
    <w:p>
      <w:pPr>
        <w:spacing w:after="60"/>
        <w:ind w:left="346" w:hanging="288"/>
      </w:pPr>
      <w:r>
        <w:t xml:space="preserve">5.  </w:t>
      </w:r>
      <w:r>
        <w:t>Register the KMIP endpoint on the consumer and test a disposable encrypted workload before migrating any persistent key dependency.</w:t>
      </w:r>
    </w:p>
    <w:p>
      <w:pPr>
        <w:pStyle w:val="Heading2"/>
      </w:pPr>
      <w:r>
        <w:t>Step 4 Configure proxy</w:t>
      </w:r>
    </w:p>
    <w:p>
      <w:pPr>
        <w:spacing w:after="60"/>
        <w:ind w:left="346" w:hanging="288"/>
      </w:pPr>
      <w:r>
        <w:t xml:space="preserve">1.  </w:t>
      </w:r>
      <w:r>
        <w:t>Confirm the HTTPS management and identity routes use the intended public names and private backends.</w:t>
      </w:r>
    </w:p>
    <w:p>
      <w:pPr>
        <w:spacing w:after="60"/>
        <w:ind w:left="346" w:hanging="288"/>
      </w:pPr>
      <w:r>
        <w:t xml:space="preserve">2.  </w:t>
      </w:r>
      <w:r>
        <w:t>Add a reverse-proxy route only after validating the upstream URL, expected TLS name, CA trust, client policy, redirects, cookies, and path behavior.</w:t>
      </w:r>
    </w:p>
    <w:p>
      <w:pPr>
        <w:spacing w:after="60"/>
        <w:ind w:left="346" w:hanging="288"/>
      </w:pPr>
      <w:r>
        <w:t xml:space="preserve">3.  </w:t>
      </w:r>
      <w:r>
        <w:t>Enable the explicit forward proxy only when required. Enter explicit client CIDRs and optional allowed domain suffixes. The appliance rejects a global source network and does not intercept TLS.</w:t>
      </w:r>
    </w:p>
    <w:p>
      <w:pPr>
        <w:spacing w:after="60"/>
        <w:ind w:left="346" w:hanging="288"/>
      </w:pPr>
      <w:r>
        <w:t xml:space="preserve">4.  </w:t>
      </w:r>
      <w:r>
        <w:t>Run the proxy functional tests and review the scoped activity view.</w:t>
      </w:r>
    </w:p>
    <w:p>
      <w:pPr>
        <w:pStyle w:val="Heading2"/>
      </w:pPr>
      <w:r>
        <w:t>Step 5 Complete setup</w:t>
      </w:r>
    </w:p>
    <w:p>
      <w:pPr>
        <w:spacing w:after="60"/>
        <w:ind w:left="346" w:hanging="288"/>
      </w:pPr>
      <w:r>
        <w:t xml:space="preserve">1.  </w:t>
      </w:r>
      <w:r>
        <w:t>Refresh the preflight and resolve every blocked item. Required checks cover DNS, NTP, trusted management TLS, firewall, services, OIDC qualification, and proxy readiness.</w:t>
      </w:r>
    </w:p>
    <w:p>
      <w:pPr>
        <w:spacing w:after="60"/>
        <w:ind w:left="346" w:hanging="288"/>
      </w:pPr>
      <w:r>
        <w:t xml:space="preserve">2.  </w:t>
      </w:r>
      <w:r>
        <w:t>Review any warning, including a KMIP consumer that has not yet been selected or enrolled.</w:t>
      </w:r>
    </w:p>
    <w:p>
      <w:pPr>
        <w:spacing w:after="60"/>
        <w:ind w:left="346" w:hanging="288"/>
      </w:pPr>
      <w:r>
        <w:t xml:space="preserve">3.  </w:t>
      </w:r>
      <w:r>
        <w:t>Select the completion acknowledgment and choose Complete. The first-deployment rail disappears after the backend accepts completion.</w:t>
      </w:r>
    </w:p>
    <w:p>
      <w:pPr>
        <w:pStyle w:val="Heading1"/>
      </w:pPr>
      <w:r>
        <w:t>9 Post-deployment acceptance</w:t>
      </w:r>
    </w:p>
    <w:p>
      <w:pPr>
        <w:spacing w:after="80"/>
        <w:ind w:left="144" w:hanging="144"/>
        <w:keepLines/>
      </w:pPr>
      <w:r>
        <w:rPr>
          <w:rFonts w:ascii="Arial" w:hAnsi="Arial"/>
        </w:rPr>
        <w:t xml:space="preserve">☐  </w:t>
      </w:r>
      <w:r>
        <w:t>The management URL redirects from HTTP to HTTPS and presents a trusted certificate.</w:t>
      </w:r>
    </w:p>
    <w:p>
      <w:pPr>
        <w:spacing w:after="80"/>
        <w:ind w:left="144" w:hanging="144"/>
        <w:keepLines/>
      </w:pPr>
      <w:r>
        <w:rPr>
          <w:rFonts w:ascii="Arial" w:hAnsi="Arial"/>
        </w:rPr>
        <w:t xml:space="preserve">☐  </w:t>
      </w:r>
      <w:r>
        <w:t>Unauthenticated requests to /admin/api/ are rejected.</w:t>
      </w:r>
    </w:p>
    <w:p>
      <w:pPr>
        <w:spacing w:after="80"/>
        <w:ind w:left="144" w:hanging="144"/>
        <w:keepLines/>
      </w:pPr>
      <w:r>
        <w:rPr>
          <w:rFonts w:ascii="Arial" w:hAnsi="Arial"/>
        </w:rPr>
        <w:t xml:space="preserve">☐  </w:t>
      </w:r>
      <w:r>
        <w:t>Health Status reports approved DNS and NTP sources, active firewall policy, healthy storage, and six ready required services.</w:t>
      </w:r>
    </w:p>
    <w:p>
      <w:pPr>
        <w:spacing w:after="80"/>
        <w:ind w:left="144" w:hanging="144"/>
        <w:keepLines/>
      </w:pPr>
      <w:r>
        <w:rPr>
          <w:rFonts w:ascii="Arial" w:hAnsi="Arial"/>
        </w:rPr>
        <w:t xml:space="preserve">☐  </w:t>
      </w:r>
      <w:r>
        <w:t>Management access is allowed only from approved source networks.</w:t>
      </w:r>
    </w:p>
    <w:p>
      <w:pPr>
        <w:spacing w:after="80"/>
        <w:ind w:left="144" w:hanging="144"/>
        <w:keepLines/>
      </w:pPr>
      <w:r>
        <w:rPr>
          <w:rFonts w:ascii="Arial" w:hAnsi="Arial"/>
        </w:rPr>
        <w:t xml:space="preserve">☐  </w:t>
      </w:r>
      <w:r>
        <w:t>Keycloak discovery, OIDC login with PKCE, role enforcement, and logout pass.</w:t>
      </w:r>
    </w:p>
    <w:p>
      <w:pPr>
        <w:spacing w:after="80"/>
        <w:ind w:left="144" w:hanging="144"/>
        <w:keepLines/>
      </w:pPr>
      <w:r>
        <w:rPr>
          <w:rFonts w:ascii="Arial" w:hAnsi="Arial"/>
        </w:rPr>
        <w:t xml:space="preserve">☐  </w:t>
      </w:r>
      <w:r>
        <w:t>KMIP rejects an untrusted client and accepts the enrolled mutual-TLS consumer from its approved network.</w:t>
      </w:r>
    </w:p>
    <w:p>
      <w:pPr>
        <w:spacing w:after="80"/>
        <w:ind w:left="144" w:hanging="144"/>
        <w:keepLines/>
      </w:pPr>
      <w:r>
        <w:rPr>
          <w:rFonts w:ascii="Arial" w:hAnsi="Arial"/>
        </w:rPr>
        <w:t xml:space="preserve">☐  </w:t>
      </w:r>
      <w:r>
        <w:t>Reverse-proxy and optional forward-proxy allow and deny behavior match policy.</w:t>
      </w:r>
    </w:p>
    <w:p>
      <w:pPr>
        <w:spacing w:after="80"/>
        <w:ind w:left="144" w:hanging="144"/>
        <w:keepLines/>
      </w:pPr>
      <w:r>
        <w:rPr>
          <w:rFonts w:ascii="Arial" w:hAnsi="Arial"/>
        </w:rPr>
        <w:t xml:space="preserve">☐  </w:t>
      </w:r>
      <w:r>
        <w:t>A reboot preserves configuration, service identity, PostgreSQL data, KMIP keys, firewall rules, and management access.</w:t>
      </w:r>
    </w:p>
    <w:p>
      <w:pPr>
        <w:spacing w:after="80"/>
        <w:ind w:left="144" w:hanging="144"/>
        <w:keepLines/>
      </w:pPr>
      <w:r>
        <w:rPr>
          <w:rFonts w:ascii="Arial" w:hAnsi="Arial"/>
        </w:rPr>
        <w:t xml:space="preserve">☐  </w:t>
      </w:r>
      <w:r>
        <w:t>Console recovery can reset an existing web administrator without exposing a shell.</w:t>
      </w:r>
    </w:p>
    <w:p>
      <w:pPr>
        <w:spacing w:after="80"/>
        <w:ind w:left="144" w:hanging="144"/>
        <w:keepLines/>
      </w:pPr>
      <w:r>
        <w:rPr>
          <w:rFonts w:ascii="Arial" w:hAnsi="Arial"/>
        </w:rPr>
        <w:t xml:space="preserve">☐  </w:t>
      </w:r>
      <w:r>
        <w:t>The password-bearing OVF values retained in vCenter are cleared after bootstrap.</w:t>
      </w:r>
    </w:p>
    <w:p>
      <w:pPr>
        <w:keepLines/>
      </w:pPr>
      <w:r>
        <w:rPr>
          <w:b/>
        </w:rPr>
        <w:t xml:space="preserve">Handoff  </w:t>
      </w:r>
      <w:r>
        <w:t>Store DNS, addressing, certificate ownership, approved networks, administrator ownership, enrolled OIDC and KMIP consumers, release checksum, and recovery material in the operational system of record.</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Security Appliance  |  1.0 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47"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val="0"/>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ind w:left="346" w:right="346"/>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