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Appliance User Guide</w:t>
      </w:r>
    </w:p>
    <w:p>
      <w:pPr>
        <w:pStyle w:val="Subtitle"/>
      </w:pPr>
      <w:r>
        <w:t>Operate identity, key management, proxy, certificate, update, health, and recovery workflows from the appliance interface.</w:t>
      </w:r>
    </w:p>
    <w:p>
      <w:pPr>
        <w:spacing w:after="240"/>
      </w:pPr>
      <w:r>
        <w:rPr>
          <w:color w:val="595959"/>
          <w:sz w:val="18"/>
        </w:rPr>
        <w:t>Applies to release 1.0 GA  |  Guide version 1.0  |  October 2026</w:t>
      </w:r>
    </w:p>
    <w:p>
      <w:pPr>
        <w:keepLines/>
      </w:pPr>
      <w:r>
        <w:t>This guide is for administrators who operate an installed Security Appliance 1.0 GA. It explains navigation, service controls, trust workflows, account administration, updates, alerts, diagnostics, and routine operating checks.</w:t>
      </w:r>
    </w:p>
    <w:p>
      <w:pPr>
        <w:keepLines/>
      </w:pPr>
      <w:r>
        <w:rPr>
          <w:b/>
        </w:rPr>
        <w:t xml:space="preserve">Access model  </w:t>
      </w:r>
      <w:r>
        <w:t>Use the local web-administrator account at https://&lt;appliance-fqdn&gt;/admin/. Keycloak accounts do not replace the local appliance administrator, and the fixed-function VM console does not provide an operating-system shell.</w:t>
      </w:r>
    </w:p>
    <w:p>
      <w:pPr>
        <w:pStyle w:val="Heading1"/>
      </w:pPr>
      <w:r>
        <w:t>1 Sign in and navigate</w:t>
      </w:r>
    </w:p>
    <w:p>
      <w:pPr>
        <w:spacing w:after="60"/>
        <w:ind w:left="346" w:hanging="288"/>
      </w:pPr>
      <w:r>
        <w:t xml:space="preserve">1.  </w:t>
      </w:r>
      <w:r>
        <w:t>Open the canonical HTTPS management address and verify the certificate chain before entering credentials.</w:t>
      </w:r>
    </w:p>
    <w:p>
      <w:pPr>
        <w:spacing w:after="60"/>
        <w:ind w:left="346" w:hanging="288"/>
      </w:pPr>
      <w:r>
        <w:t xml:space="preserve">2.  </w:t>
      </w:r>
      <w:r>
        <w:t>Sign in with a local appliance administrator. The default new-deployment username is admin unless the deployment owner selected another value.</w:t>
      </w:r>
    </w:p>
    <w:p>
      <w:pPr>
        <w:spacing w:after="60"/>
        <w:ind w:left="346" w:hanging="288"/>
      </w:pPr>
      <w:r>
        <w:t xml:space="preserve">3.  </w:t>
      </w:r>
      <w:r>
        <w:t>Use the theme switch if desired. The browser stores the preference locally.</w:t>
      </w:r>
    </w:p>
    <w:p>
      <w:pPr>
        <w:spacing w:after="60"/>
        <w:ind w:left="346" w:hanging="288"/>
      </w:pPr>
      <w:r>
        <w:t xml:space="preserve">4.  </w:t>
      </w:r>
      <w:r>
        <w:t>Use the primary header for Prepare Appliance while setup is incomplete, KMIP, Keycloak, Proxy, and Health Status.</w:t>
      </w:r>
    </w:p>
    <w:p>
      <w:pPr>
        <w:spacing w:after="60"/>
        <w:ind w:left="346" w:hanging="288"/>
      </w:pPr>
      <w:r>
        <w:t xml:space="preserve">5.  </w:t>
      </w:r>
      <w:r>
        <w:t>Open the signed-in username menu for Appliance Management, Certificates and Trust, Appliance Updates, Admin User Management, Change Password, Activity History, Help, and Sign Out.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088"/>
            <w:shd w:fill="202020"/>
            <w:tcMar>
              <w:top w:w="80" w:type="dxa"/>
              <w:start w:w="110" w:type="dxa"/>
              <w:bottom w:w="80" w:type="dxa"/>
              <w:end w:w="110" w:type="dxa"/>
            </w:tcMar>
            <w:vAlign w:val="center"/>
          </w:tcPr>
          <w:p>
            <w:pPr>
              <w:jc w:val="left"/>
            </w:pPr>
            <w:r>
              <w:rPr>
                <w:rFonts w:ascii="Arial" w:hAnsi="Arial"/>
                <w:b/>
                <w:color w:val="FFFFFF"/>
                <w:sz w:val="17"/>
              </w:rPr>
              <w:t>Page</w:t>
            </w:r>
          </w:p>
        </w:tc>
        <w:tc>
          <w:tcPr>
            <w:tcW w:type="dxa" w:w="7704"/>
            <w:shd w:fill="202020"/>
            <w:tcMar>
              <w:top w:w="80" w:type="dxa"/>
              <w:start w:w="110" w:type="dxa"/>
              <w:bottom w:w="80" w:type="dxa"/>
              <w:end w:w="110" w:type="dxa"/>
            </w:tcMar>
            <w:vAlign w:val="center"/>
          </w:tcPr>
          <w:p>
            <w:pPr>
              <w:jc w:val="left"/>
            </w:pPr>
            <w:r>
              <w:rPr>
                <w:rFonts w:ascii="Arial" w:hAnsi="Arial"/>
                <w:b/>
                <w:color w:val="FFFFFF"/>
                <w:sz w:val="17"/>
              </w:rPr>
              <w:t>Use it for</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Health Status</w:t>
            </w:r>
          </w:p>
        </w:tc>
        <w:tc>
          <w:tcPr>
            <w:tcW w:type="dxa" w:w="7704"/>
            <w:tcMar>
              <w:top w:w="80" w:type="dxa"/>
              <w:start w:w="110" w:type="dxa"/>
              <w:bottom w:w="80" w:type="dxa"/>
              <w:end w:w="110" w:type="dxa"/>
            </w:tcMar>
            <w:vAlign w:val="center"/>
          </w:tcPr>
          <w:p>
            <w:pPr>
              <w:spacing w:after="0"/>
            </w:pPr>
            <w:r>
              <w:rPr>
                <w:rFonts w:ascii="Arial" w:hAnsi="Arial"/>
                <w:color w:val="000000"/>
                <w:sz w:val="17"/>
              </w:rPr>
              <w:t>Identity, network, DNS, NTP, service, storage, certificate, firewall, alert, diagnostics, support-bundle, and power controls.</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KMIP</w:t>
            </w:r>
          </w:p>
        </w:tc>
        <w:tc>
          <w:tcPr>
            <w:tcW w:type="dxa" w:w="7704"/>
            <w:shd w:fill="F5F5F5"/>
            <w:tcMar>
              <w:top w:w="80" w:type="dxa"/>
              <w:start w:w="110" w:type="dxa"/>
              <w:bottom w:w="80" w:type="dxa"/>
              <w:end w:w="110" w:type="dxa"/>
            </w:tcMar>
            <w:vAlign w:val="center"/>
          </w:tcPr>
          <w:p>
            <w:pPr>
              <w:spacing w:after="0"/>
            </w:pPr>
            <w:r>
              <w:rPr>
                <w:rFonts w:ascii="Arial" w:hAnsi="Arial"/>
                <w:color w:val="000000"/>
                <w:sz w:val="17"/>
              </w:rPr>
              <w:t>KMIP service lifecycle, endpoint details, client CSR signing, approved networks, functional tests, and KMIP-only activity.</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Keycloak</w:t>
            </w:r>
          </w:p>
        </w:tc>
        <w:tc>
          <w:tcPr>
            <w:tcW w:type="dxa" w:w="7704"/>
            <w:tcMar>
              <w:top w:w="80" w:type="dxa"/>
              <w:start w:w="110" w:type="dxa"/>
              <w:bottom w:w="80" w:type="dxa"/>
              <w:end w:w="110" w:type="dxa"/>
            </w:tcMar>
            <w:vAlign w:val="center"/>
          </w:tcPr>
          <w:p>
            <w:pPr>
              <w:spacing w:after="0"/>
            </w:pPr>
            <w:r>
              <w:rPr>
                <w:rFonts w:ascii="Arial" w:hAnsi="Arial"/>
                <w:color w:val="000000"/>
                <w:sz w:val="17"/>
              </w:rPr>
              <w:t>PostgreSQL and Keycloak lifecycle, administration-console access, OIDC reference values, qualification, and identity-only activity.</w:t>
            </w:r>
          </w:p>
        </w:tc>
      </w:tr>
      <w:tr>
        <w:trPr>
          <w:cantSplit w:val="true"/>
        </w:trPr>
        <w:tc>
          <w:tcPr>
            <w:tcW w:type="dxa" w:w="2088"/>
            <w:shd w:fill="F5F5F5"/>
            <w:tcMar>
              <w:top w:w="80" w:type="dxa"/>
              <w:start w:w="110" w:type="dxa"/>
              <w:bottom w:w="80" w:type="dxa"/>
              <w:end w:w="110" w:type="dxa"/>
            </w:tcMar>
            <w:vAlign w:val="center"/>
          </w:tcPr>
          <w:p>
            <w:pPr>
              <w:spacing w:after="0"/>
            </w:pPr>
            <w:r>
              <w:rPr>
                <w:rFonts w:ascii="Arial" w:hAnsi="Arial"/>
                <w:color w:val="000000"/>
                <w:sz w:val="17"/>
              </w:rPr>
              <w:t>Proxy</w:t>
            </w:r>
          </w:p>
        </w:tc>
        <w:tc>
          <w:tcPr>
            <w:tcW w:type="dxa" w:w="7704"/>
            <w:shd w:fill="F5F5F5"/>
            <w:tcMar>
              <w:top w:w="80" w:type="dxa"/>
              <w:start w:w="110" w:type="dxa"/>
              <w:bottom w:w="80" w:type="dxa"/>
              <w:end w:w="110" w:type="dxa"/>
            </w:tcMar>
            <w:vAlign w:val="center"/>
          </w:tcPr>
          <w:p>
            <w:pPr>
              <w:spacing w:after="0"/>
            </w:pPr>
            <w:r>
              <w:rPr>
                <w:rFonts w:ascii="Arial" w:hAnsi="Arial"/>
                <w:color w:val="000000"/>
                <w:sz w:val="17"/>
              </w:rPr>
              <w:t>Reverse-proxy and forward-proxy lifecycle, endpoint details, forward policy, functional tests, and proxy-only activity.</w:t>
            </w:r>
          </w:p>
        </w:tc>
      </w:tr>
      <w:tr>
        <w:trPr>
          <w:cantSplit w:val="true"/>
        </w:trPr>
        <w:tc>
          <w:tcPr>
            <w:tcW w:type="dxa" w:w="2088"/>
            <w:tcMar>
              <w:top w:w="80" w:type="dxa"/>
              <w:start w:w="110" w:type="dxa"/>
              <w:bottom w:w="80" w:type="dxa"/>
              <w:end w:w="110" w:type="dxa"/>
            </w:tcMar>
            <w:vAlign w:val="center"/>
          </w:tcPr>
          <w:p>
            <w:pPr>
              <w:spacing w:after="0"/>
            </w:pPr>
            <w:r>
              <w:rPr>
                <w:rFonts w:ascii="Arial" w:hAnsi="Arial"/>
                <w:color w:val="000000"/>
                <w:sz w:val="17"/>
              </w:rPr>
              <w:t>User menu</w:t>
            </w:r>
          </w:p>
        </w:tc>
        <w:tc>
          <w:tcPr>
            <w:tcW w:type="dxa" w:w="7704"/>
            <w:tcMar>
              <w:top w:w="80" w:type="dxa"/>
              <w:start w:w="110" w:type="dxa"/>
              <w:bottom w:w="80" w:type="dxa"/>
              <w:end w:w="110" w:type="dxa"/>
            </w:tcMar>
            <w:vAlign w:val="center"/>
          </w:tcPr>
          <w:p>
            <w:pPr>
              <w:spacing w:after="0"/>
            </w:pPr>
            <w:r>
              <w:rPr>
                <w:rFonts w:ascii="Arial" w:hAnsi="Arial"/>
                <w:color w:val="000000"/>
                <w:sz w:val="17"/>
              </w:rPr>
              <w:t>Appliance settings, trust, updates, local administrators, password, audit history, help, and sign out.</w:t>
            </w:r>
          </w:p>
        </w:tc>
      </w:tr>
    </w:tbl>
    <w:p>
      <w:pPr>
        <w:spacing w:after="20"/>
      </w:pPr>
    </w:p>
    <w:p>
      <w:pPr>
        <w:pStyle w:val="Heading1"/>
      </w:pPr>
      <w:r>
        <w:t>2 First Deployment Steps</w:t>
      </w:r>
    </w:p>
    <w:p>
      <w:pPr>
        <w:keepLines/>
      </w:pPr>
      <w:r>
        <w:t>A new appliance displays a five-step rail until setup is completed. Next and Back controls at the lower right move through the workflow. The owning service is highlighted in the header.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448"/>
            <w:shd w:fill="202020"/>
            <w:tcMar>
              <w:top w:w="80" w:type="dxa"/>
              <w:start w:w="110" w:type="dxa"/>
              <w:bottom w:w="80" w:type="dxa"/>
              <w:end w:w="110" w:type="dxa"/>
            </w:tcMar>
            <w:vAlign w:val="center"/>
          </w:tcPr>
          <w:p>
            <w:pPr>
              <w:jc w:val="left"/>
            </w:pPr>
            <w:r>
              <w:rPr>
                <w:rFonts w:ascii="Arial" w:hAnsi="Arial"/>
                <w:b/>
                <w:color w:val="FFFFFF"/>
                <w:sz w:val="17"/>
              </w:rPr>
              <w:t>Step</w:t>
            </w:r>
          </w:p>
        </w:tc>
        <w:tc>
          <w:tcPr>
            <w:tcW w:type="dxa" w:w="7344"/>
            <w:shd w:fill="202020"/>
            <w:tcMar>
              <w:top w:w="80" w:type="dxa"/>
              <w:start w:w="110" w:type="dxa"/>
              <w:bottom w:w="80" w:type="dxa"/>
              <w:end w:w="110" w:type="dxa"/>
            </w:tcMar>
            <w:vAlign w:val="center"/>
          </w:tcPr>
          <w:p>
            <w:pPr>
              <w:jc w:val="left"/>
            </w:pPr>
            <w:r>
              <w:rPr>
                <w:rFonts w:ascii="Arial" w:hAnsi="Arial"/>
                <w:b/>
                <w:color w:val="FFFFFF"/>
                <w:sz w:val="17"/>
              </w:rPr>
              <w:t>Administrator action</w:t>
            </w:r>
          </w:p>
        </w:tc>
      </w:tr>
      <w:tr>
        <w:trPr>
          <w:cantSplit w:val="true"/>
        </w:trPr>
        <w:tc>
          <w:tcPr>
            <w:tcW w:type="dxa" w:w="2448"/>
            <w:tcMar>
              <w:top w:w="80" w:type="dxa"/>
              <w:start w:w="110" w:type="dxa"/>
              <w:bottom w:w="80" w:type="dxa"/>
              <w:end w:w="110" w:type="dxa"/>
            </w:tcMar>
            <w:vAlign w:val="center"/>
          </w:tcPr>
          <w:p>
            <w:pPr>
              <w:spacing w:after="0"/>
            </w:pPr>
            <w:r>
              <w:rPr>
                <w:rFonts w:ascii="Arial" w:hAnsi="Arial"/>
                <w:color w:val="000000"/>
                <w:sz w:val="17"/>
              </w:rPr>
              <w:t>1 Prepare appliance</w:t>
            </w:r>
          </w:p>
        </w:tc>
        <w:tc>
          <w:tcPr>
            <w:tcW w:type="dxa" w:w="7344"/>
            <w:tcMar>
              <w:top w:w="80" w:type="dxa"/>
              <w:start w:w="110" w:type="dxa"/>
              <w:bottom w:w="80" w:type="dxa"/>
              <w:end w:w="110" w:type="dxa"/>
            </w:tcMar>
            <w:vAlign w:val="center"/>
          </w:tcPr>
          <w:p>
            <w:pPr>
              <w:spacing w:after="0"/>
            </w:pPr>
            <w:r>
              <w:rPr>
                <w:rFonts w:ascii="Arial" w:hAnsi="Arial"/>
                <w:color w:val="000000"/>
                <w:sz w:val="17"/>
              </w:rPr>
              <w:t>Review identity, time, network, DNS, certificate trust, management health, and service readiness.</w:t>
            </w:r>
          </w:p>
        </w:tc>
      </w:tr>
      <w:tr>
        <w:trPr>
          <w:cantSplit w:val="true"/>
        </w:trPr>
        <w:tc>
          <w:tcPr>
            <w:tcW w:type="dxa" w:w="2448"/>
            <w:shd w:fill="F5F5F5"/>
            <w:tcMar>
              <w:top w:w="80" w:type="dxa"/>
              <w:start w:w="110" w:type="dxa"/>
              <w:bottom w:w="80" w:type="dxa"/>
              <w:end w:w="110" w:type="dxa"/>
            </w:tcMar>
            <w:vAlign w:val="center"/>
          </w:tcPr>
          <w:p>
            <w:pPr>
              <w:spacing w:after="0"/>
            </w:pPr>
            <w:r>
              <w:rPr>
                <w:rFonts w:ascii="Arial" w:hAnsi="Arial"/>
                <w:color w:val="000000"/>
                <w:sz w:val="17"/>
              </w:rPr>
              <w:t>2 Configure identity</w:t>
            </w:r>
          </w:p>
        </w:tc>
        <w:tc>
          <w:tcPr>
            <w:tcW w:type="dxa" w:w="7344"/>
            <w:shd w:fill="F5F5F5"/>
            <w:tcMar>
              <w:top w:w="80" w:type="dxa"/>
              <w:start w:w="110" w:type="dxa"/>
              <w:bottom w:w="80" w:type="dxa"/>
              <w:end w:w="110" w:type="dxa"/>
            </w:tcMar>
            <w:vAlign w:val="center"/>
          </w:tcPr>
          <w:p>
            <w:pPr>
              <w:spacing w:after="0"/>
            </w:pPr>
            <w:r>
              <w:rPr>
                <w:rFonts w:ascii="Arial" w:hAnsi="Arial"/>
                <w:color w:val="000000"/>
                <w:sz w:val="17"/>
              </w:rPr>
              <w:t>Open Keycloak, configure the application realm and client, and pass generic OIDC qualification.</w:t>
            </w:r>
          </w:p>
        </w:tc>
      </w:tr>
      <w:tr>
        <w:trPr>
          <w:cantSplit w:val="true"/>
        </w:trPr>
        <w:tc>
          <w:tcPr>
            <w:tcW w:type="dxa" w:w="2448"/>
            <w:tcMar>
              <w:top w:w="80" w:type="dxa"/>
              <w:start w:w="110" w:type="dxa"/>
              <w:bottom w:w="80" w:type="dxa"/>
              <w:end w:w="110" w:type="dxa"/>
            </w:tcMar>
            <w:vAlign w:val="center"/>
          </w:tcPr>
          <w:p>
            <w:pPr>
              <w:spacing w:after="0"/>
            </w:pPr>
            <w:r>
              <w:rPr>
                <w:rFonts w:ascii="Arial" w:hAnsi="Arial"/>
                <w:color w:val="000000"/>
                <w:sz w:val="17"/>
              </w:rPr>
              <w:t>3 Configure key management</w:t>
            </w:r>
          </w:p>
        </w:tc>
        <w:tc>
          <w:tcPr>
            <w:tcW w:type="dxa" w:w="7344"/>
            <w:tcMar>
              <w:top w:w="80" w:type="dxa"/>
              <w:start w:w="110" w:type="dxa"/>
              <w:bottom w:w="80" w:type="dxa"/>
              <w:end w:w="110" w:type="dxa"/>
            </w:tcMar>
            <w:vAlign w:val="center"/>
          </w:tcPr>
          <w:p>
            <w:pPr>
              <w:spacing w:after="0"/>
            </w:pPr>
            <w:r>
              <w:rPr>
                <w:rFonts w:ascii="Arial" w:hAnsi="Arial"/>
                <w:color w:val="000000"/>
                <w:sz w:val="17"/>
              </w:rPr>
              <w:t>Enroll a consumer-generated CSR, install the signed certificate and CA chain, approve source networks, and run a disposable workload test.</w:t>
            </w:r>
          </w:p>
        </w:tc>
      </w:tr>
      <w:tr>
        <w:trPr>
          <w:cantSplit w:val="true"/>
        </w:trPr>
        <w:tc>
          <w:tcPr>
            <w:tcW w:type="dxa" w:w="2448"/>
            <w:shd w:fill="F5F5F5"/>
            <w:tcMar>
              <w:top w:w="80" w:type="dxa"/>
              <w:start w:w="110" w:type="dxa"/>
              <w:bottom w:w="80" w:type="dxa"/>
              <w:end w:w="110" w:type="dxa"/>
            </w:tcMar>
            <w:vAlign w:val="center"/>
          </w:tcPr>
          <w:p>
            <w:pPr>
              <w:spacing w:after="0"/>
            </w:pPr>
            <w:r>
              <w:rPr>
                <w:rFonts w:ascii="Arial" w:hAnsi="Arial"/>
                <w:color w:val="000000"/>
                <w:sz w:val="17"/>
              </w:rPr>
              <w:t>4 Configure proxy</w:t>
            </w:r>
          </w:p>
        </w:tc>
        <w:tc>
          <w:tcPr>
            <w:tcW w:type="dxa" w:w="7344"/>
            <w:shd w:fill="F5F5F5"/>
            <w:tcMar>
              <w:top w:w="80" w:type="dxa"/>
              <w:start w:w="110" w:type="dxa"/>
              <w:bottom w:w="80" w:type="dxa"/>
              <w:end w:w="110" w:type="dxa"/>
            </w:tcMar>
            <w:vAlign w:val="center"/>
          </w:tcPr>
          <w:p>
            <w:pPr>
              <w:spacing w:after="0"/>
            </w:pPr>
            <w:r>
              <w:rPr>
                <w:rFonts w:ascii="Arial" w:hAnsi="Arial"/>
                <w:color w:val="000000"/>
                <w:sz w:val="17"/>
              </w:rPr>
              <w:t>Review HTTPS routes and apply optional explicit forward-proxy policy.</w:t>
            </w:r>
          </w:p>
        </w:tc>
      </w:tr>
      <w:tr>
        <w:trPr>
          <w:cantSplit w:val="true"/>
        </w:trPr>
        <w:tc>
          <w:tcPr>
            <w:tcW w:type="dxa" w:w="2448"/>
            <w:tcMar>
              <w:top w:w="80" w:type="dxa"/>
              <w:start w:w="110" w:type="dxa"/>
              <w:bottom w:w="80" w:type="dxa"/>
              <w:end w:w="110" w:type="dxa"/>
            </w:tcMar>
            <w:vAlign w:val="center"/>
          </w:tcPr>
          <w:p>
            <w:pPr>
              <w:spacing w:after="0"/>
            </w:pPr>
            <w:r>
              <w:rPr>
                <w:rFonts w:ascii="Arial" w:hAnsi="Arial"/>
                <w:color w:val="000000"/>
                <w:sz w:val="17"/>
              </w:rPr>
              <w:t>5 Complete setup</w:t>
            </w:r>
          </w:p>
        </w:tc>
        <w:tc>
          <w:tcPr>
            <w:tcW w:type="dxa" w:w="7344"/>
            <w:tcMar>
              <w:top w:w="80" w:type="dxa"/>
              <w:start w:w="110" w:type="dxa"/>
              <w:bottom w:w="80" w:type="dxa"/>
              <w:end w:w="110" w:type="dxa"/>
            </w:tcMar>
            <w:vAlign w:val="center"/>
          </w:tcPr>
          <w:p>
            <w:pPr>
              <w:spacing w:after="0"/>
            </w:pPr>
            <w:r>
              <w:rPr>
                <w:rFonts w:ascii="Arial" w:hAnsi="Arial"/>
                <w:color w:val="000000"/>
                <w:sz w:val="17"/>
              </w:rPr>
              <w:t>Resolve blocked preflight findings, acknowledge completion, and select Complete.</w:t>
            </w:r>
          </w:p>
        </w:tc>
      </w:tr>
    </w:tbl>
    <w:p>
      <w:pPr>
        <w:spacing w:after="20"/>
      </w:pPr>
    </w:p>
    <w:p>
      <w:pPr>
        <w:pStyle w:val="Heading1"/>
      </w:pPr>
      <w:r>
        <w:t>3 Health Status</w:t>
      </w:r>
    </w:p>
    <w:p>
      <w:pPr>
        <w:keepLines/>
      </w:pPr>
      <w:r>
        <w:t>Use Health Status as the first operating view before and after a change. Refresh status to collect current bounded checks.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520"/>
            <w:shd w:fill="202020"/>
            <w:tcMar>
              <w:top w:w="80" w:type="dxa"/>
              <w:start w:w="110" w:type="dxa"/>
              <w:bottom w:w="80" w:type="dxa"/>
              <w:end w:w="110" w:type="dxa"/>
            </w:tcMar>
            <w:vAlign w:val="center"/>
          </w:tcPr>
          <w:p>
            <w:pPr>
              <w:jc w:val="left"/>
            </w:pPr>
            <w:r>
              <w:rPr>
                <w:rFonts w:ascii="Arial" w:hAnsi="Arial"/>
                <w:b/>
                <w:color w:val="FFFFFF"/>
                <w:sz w:val="17"/>
              </w:rPr>
              <w:t>Area</w:t>
            </w:r>
          </w:p>
        </w:tc>
        <w:tc>
          <w:tcPr>
            <w:tcW w:type="dxa" w:w="7272"/>
            <w:shd w:fill="202020"/>
            <w:tcMar>
              <w:top w:w="80" w:type="dxa"/>
              <w:start w:w="110" w:type="dxa"/>
              <w:bottom w:w="80" w:type="dxa"/>
              <w:end w:w="110" w:type="dxa"/>
            </w:tcMar>
            <w:vAlign w:val="center"/>
          </w:tcPr>
          <w:p>
            <w:pPr>
              <w:jc w:val="left"/>
            </w:pPr>
            <w:r>
              <w:rPr>
                <w:rFonts w:ascii="Arial" w:hAnsi="Arial"/>
                <w:b/>
                <w:color w:val="FFFFFF"/>
                <w:sz w:val="17"/>
              </w:rPr>
              <w:t>What to verify</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Identity</w:t>
            </w:r>
          </w:p>
        </w:tc>
        <w:tc>
          <w:tcPr>
            <w:tcW w:type="dxa" w:w="7272"/>
            <w:tcMar>
              <w:top w:w="80" w:type="dxa"/>
              <w:start w:w="110" w:type="dxa"/>
              <w:bottom w:w="80" w:type="dxa"/>
              <w:end w:w="110" w:type="dxa"/>
            </w:tcMar>
            <w:vAlign w:val="center"/>
          </w:tcPr>
          <w:p>
            <w:pPr>
              <w:spacing w:after="0"/>
            </w:pPr>
            <w:r>
              <w:rPr>
                <w:rFonts w:ascii="Arial" w:hAnsi="Arial"/>
                <w:color w:val="000000"/>
                <w:sz w:val="17"/>
              </w:rPr>
              <w:t>Hostname and fully qualified domain name.</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Management network</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Interface, active address, source mode, and default gateway.</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DNS</w:t>
            </w:r>
          </w:p>
        </w:tc>
        <w:tc>
          <w:tcPr>
            <w:tcW w:type="dxa" w:w="7272"/>
            <w:tcMar>
              <w:top w:w="80" w:type="dxa"/>
              <w:start w:w="110" w:type="dxa"/>
              <w:bottom w:w="80" w:type="dxa"/>
              <w:end w:w="110" w:type="dxa"/>
            </w:tcMar>
            <w:vAlign w:val="center"/>
          </w:tcPr>
          <w:p>
            <w:pPr>
              <w:spacing w:after="0"/>
            </w:pPr>
            <w:r>
              <w:rPr>
                <w:rFonts w:ascii="Arial" w:hAnsi="Arial"/>
                <w:color w:val="000000"/>
                <w:sz w:val="17"/>
              </w:rPr>
              <w:t>Configured and active resolvers plus successful resolution.</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Time synchronization</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Approved source, active peer, service state, and timezone.</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Services and storage</w:t>
            </w:r>
          </w:p>
        </w:tc>
        <w:tc>
          <w:tcPr>
            <w:tcW w:type="dxa" w:w="7272"/>
            <w:tcMar>
              <w:top w:w="80" w:type="dxa"/>
              <w:start w:w="110" w:type="dxa"/>
              <w:bottom w:w="80" w:type="dxa"/>
              <w:end w:w="110" w:type="dxa"/>
            </w:tcMar>
            <w:vAlign w:val="center"/>
          </w:tcPr>
          <w:p>
            <w:pPr>
              <w:spacing w:after="0"/>
            </w:pPr>
            <w:r>
              <w:rPr>
                <w:rFonts w:ascii="Arial" w:hAnsi="Arial"/>
                <w:color w:val="000000"/>
                <w:sz w:val="17"/>
              </w:rPr>
              <w:t>Required service readiness, persistent storage use, and growth trend.</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HTTPS and firewall</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Certificate expiry and trust, host firewall, and container ingress guard.</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Active alerts</w:t>
            </w:r>
          </w:p>
        </w:tc>
        <w:tc>
          <w:tcPr>
            <w:tcW w:type="dxa" w:w="7272"/>
            <w:tcMar>
              <w:top w:w="80" w:type="dxa"/>
              <w:start w:w="110" w:type="dxa"/>
              <w:bottom w:w="80" w:type="dxa"/>
              <w:end w:w="110" w:type="dxa"/>
            </w:tcMar>
            <w:vAlign w:val="center"/>
          </w:tcPr>
          <w:p>
            <w:pPr>
              <w:spacing w:after="0"/>
            </w:pPr>
            <w:r>
              <w:rPr>
                <w:rFonts w:ascii="Arial" w:hAnsi="Arial"/>
                <w:color w:val="000000"/>
                <w:sz w:val="17"/>
              </w:rPr>
              <w:t>Current conditions and latest external alert-delivery result.</w:t>
            </w:r>
          </w:p>
        </w:tc>
      </w:tr>
    </w:tbl>
    <w:p>
      <w:pPr>
        <w:spacing w:after="20"/>
      </w:pPr>
    </w:p>
    <w:p>
      <w:pPr>
        <w:pStyle w:val="ListBullet"/>
        <w:keepLines/>
      </w:pPr>
      <w:r>
        <w:t>Run Diagnostics for bounded DNS, NTP, certificate, firewall, container, OIDC, KMIP, proxy, and private-backend checks.</w:t>
      </w:r>
    </w:p>
    <w:p>
      <w:pPr>
        <w:pStyle w:val="ListBullet"/>
        <w:keepLines/>
      </w:pPr>
      <w:r>
        <w:t>Download the sanitized support bundle before a disruptive change or when escalation is required.</w:t>
      </w:r>
    </w:p>
    <w:p>
      <w:pPr>
        <w:pStyle w:val="ListBullet"/>
        <w:keepLines/>
      </w:pPr>
      <w:r>
        <w:t>Restart or shut down the appliance only after reviewing active clients. Both actions require confirmation and the current administrator password.</w:t>
      </w:r>
    </w:p>
    <w:p>
      <w:pPr>
        <w:pStyle w:val="Heading1"/>
      </w:pPr>
      <w:r>
        <w:t>4 Appliance Management</w:t>
      </w:r>
    </w:p>
    <w:p>
      <w:pPr>
        <w:keepLines/>
      </w:pPr>
      <w:r>
        <w:t>Open Appliance Management from the user menu to manage Identity, Timezone, Management Network, and DNS and Time settings.</w:t>
      </w:r>
    </w:p>
    <w:p>
      <w:pPr>
        <w:spacing w:after="60"/>
        <w:ind w:left="346" w:hanging="288"/>
      </w:pPr>
      <w:r>
        <w:t xml:space="preserve">1.  </w:t>
      </w:r>
      <w:r>
        <w:t>Review the proposed values before applying a network-affecting change.</w:t>
      </w:r>
    </w:p>
    <w:p>
      <w:pPr>
        <w:spacing w:after="60"/>
        <w:ind w:left="346" w:hanging="288"/>
      </w:pPr>
      <w:r>
        <w:t xml:space="preserve">2.  </w:t>
      </w:r>
      <w:r>
        <w:t>Acknowledge that the browser connection may be interrupted and provide the current administrator password when requested.</w:t>
      </w:r>
    </w:p>
    <w:p>
      <w:pPr>
        <w:spacing w:after="60"/>
        <w:ind w:left="346" w:hanging="288"/>
      </w:pPr>
      <w:r>
        <w:t xml:space="preserve">3.  </w:t>
      </w:r>
      <w:r>
        <w:t>Apply the configuration, reconnect to the new address or name, and confirm management access before the rollback timer expires.</w:t>
      </w:r>
    </w:p>
    <w:p>
      <w:pPr>
        <w:spacing w:after="60"/>
        <w:ind w:left="346" w:hanging="288"/>
      </w:pPr>
      <w:r>
        <w:t xml:space="preserve">4.  </w:t>
      </w:r>
      <w:r>
        <w:t>If confirmation is not received, the appliance restores the previous reachable configuration.</w:t>
      </w:r>
    </w:p>
    <w:p>
      <w:pPr>
        <w:pStyle w:val="Heading1"/>
      </w:pPr>
      <w:r>
        <w:t>5 Certificates and Trust</w:t>
      </w:r>
    </w:p>
    <w:p>
      <w:pPr>
        <w:keepLines/>
      </w:pPr>
      <w:r>
        <w:t>The management certificate workflow keeps the private key on the appliance. Generate a CSR, submit it to the approved CA, and import the signed server certificate with the complete CA chain.</w:t>
      </w:r>
    </w:p>
    <w:p>
      <w:pPr>
        <w:pStyle w:val="ListBullet"/>
        <w:keepLines/>
      </w:pPr>
      <w:r>
        <w:t>The server certificate must match the retained private key and all configured HTTPS names.</w:t>
      </w:r>
    </w:p>
    <w:p>
      <w:pPr>
        <w:pStyle w:val="ListBullet"/>
        <w:keepLines/>
      </w:pPr>
      <w:r>
        <w:t>Download public management and KMIP CA chains for clients that need explicit trust.</w:t>
      </w:r>
    </w:p>
    <w:p>
      <w:pPr>
        <w:pStyle w:val="ListBullet"/>
        <w:keepLines/>
      </w:pPr>
      <w:r>
        <w:t>Review subject, issuer, DNS names, SHA-256 fingerprint, expiration, and trust state for public certificates and enrolled KMIP clients.</w:t>
      </w:r>
    </w:p>
    <w:p>
      <w:pPr>
        <w:pStyle w:val="ListBullet"/>
        <w:keepLines/>
      </w:pPr>
      <w:r>
        <w:t>Renew or rotate management HTTPS with a new CSR. Revoke the old certificate at its issuing CA after clients have moved.</w:t>
      </w:r>
    </w:p>
    <w:p>
      <w:pPr>
        <w:pStyle w:val="ListBullet"/>
        <w:keepLines/>
      </w:pPr>
      <w:r>
        <w:t>Private keys are never displayed or returned by the management API.</w:t>
      </w:r>
    </w:p>
    <w:p>
      <w:pPr>
        <w:pStyle w:val="Heading1"/>
      </w:pPr>
      <w:r>
        <w:t>6 Keycloak and OIDC</w:t>
      </w:r>
    </w:p>
    <w:p>
      <w:pPr>
        <w:keepLines/>
      </w:pPr>
      <w:r>
        <w:t>The Keycloak page manages the PostgreSQL dependency and Keycloak identity service. Use Open Keycloak administration to work with realms, clients, users, roles, and authentication policy.</w:t>
      </w:r>
    </w:p>
    <w:p>
      <w:pPr>
        <w:spacing w:after="60"/>
        <w:ind w:left="346" w:hanging="288"/>
      </w:pPr>
      <w:r>
        <w:t xml:space="preserve">1.  </w:t>
      </w:r>
      <w:r>
        <w:t>Create application realms and clients outside the master administration realm.</w:t>
      </w:r>
    </w:p>
    <w:p>
      <w:pPr>
        <w:spacing w:after="60"/>
        <w:ind w:left="346" w:hanging="288"/>
      </w:pPr>
      <w:r>
        <w:t xml:space="preserve">2.  </w:t>
      </w:r>
      <w:r>
        <w:t>Register exact redirect URIs and the issuer shown on the appliance page.</w:t>
      </w:r>
    </w:p>
    <w:p>
      <w:pPr>
        <w:spacing w:after="60"/>
        <w:ind w:left="346" w:hanging="288"/>
      </w:pPr>
      <w:r>
        <w:t xml:space="preserve">3.  </w:t>
      </w:r>
      <w:r>
        <w:t>Use Authorization Code with PKCE for browser clients and explicit audiences and role mappings.</w:t>
      </w:r>
    </w:p>
    <w:p>
      <w:pPr>
        <w:spacing w:after="60"/>
        <w:ind w:left="346" w:hanging="288"/>
      </w:pPr>
      <w:r>
        <w:t xml:space="preserve">4.  </w:t>
      </w:r>
      <w:r>
        <w:t>Retain a local appliance recovery administrator independently of Keycloak.</w:t>
      </w:r>
    </w:p>
    <w:p>
      <w:pPr>
        <w:spacing w:after="60"/>
        <w:ind w:left="346" w:hanging="288"/>
      </w:pPr>
      <w:r>
        <w:t xml:space="preserve">5.  </w:t>
      </w:r>
      <w:r>
        <w:t>Run the appliance OIDC qualification after changing issuer, realm, certificate trust, or client configuration.</w:t>
      </w:r>
    </w:p>
    <w:p>
      <w:pPr>
        <w:keepLines/>
      </w:pPr>
      <w:r>
        <w:rPr>
          <w:b/>
        </w:rPr>
        <w:t xml:space="preserve">Service controls  </w:t>
      </w:r>
      <w:r>
        <w:t>Start, Stop, Restart, and Run Test are available for eligible service states. Restart PostgreSQL or Keycloak only during an approved interruption window. Review the resulting job and identity-scoped activity on the same page.</w:t>
      </w:r>
    </w:p>
    <w:p>
      <w:pPr>
        <w:pStyle w:val="Heading1"/>
      </w:pPr>
      <w:r>
        <w:t>7 KMIP key management</w:t>
      </w:r>
    </w:p>
    <w:p>
      <w:pPr>
        <w:keepLines/>
      </w:pPr>
      <w:r>
        <w:t>KMIP uses mutual TLS. Each consumer owns its private key and sends only a certificate signing request to the appliance.</w:t>
      </w:r>
    </w:p>
    <w:p>
      <w:pPr>
        <w:spacing w:after="60"/>
        <w:ind w:left="346" w:hanging="288"/>
      </w:pPr>
      <w:r>
        <w:t xml:space="preserve">1.  </w:t>
      </w:r>
      <w:r>
        <w:t>Generate the key and CSR on the consumer.</w:t>
      </w:r>
    </w:p>
    <w:p>
      <w:pPr>
        <w:spacing w:after="60"/>
        <w:ind w:left="346" w:hanging="288"/>
      </w:pPr>
      <w:r>
        <w:t xml:space="preserve">2.  </w:t>
      </w:r>
      <w:r>
        <w:t>Enter the client DNS name, paste the PEM CSR, and choose Sign client CSR.</w:t>
      </w:r>
    </w:p>
    <w:p>
      <w:pPr>
        <w:spacing w:after="60"/>
        <w:ind w:left="346" w:hanging="288"/>
      </w:pPr>
      <w:r>
        <w:t xml:space="preserve">3.  </w:t>
      </w:r>
      <w:r>
        <w:t>Install the returned client certificate and KMIP CA chain on the consumer.</w:t>
      </w:r>
    </w:p>
    <w:p>
      <w:pPr>
        <w:spacing w:after="60"/>
        <w:ind w:left="346" w:hanging="288"/>
      </w:pPr>
      <w:r>
        <w:t xml:space="preserve">4.  </w:t>
      </w:r>
      <w:r>
        <w:t>Add the consumer's exact source CIDR to Approved KMIP client networks and apply the policy.</w:t>
      </w:r>
    </w:p>
    <w:p>
      <w:pPr>
        <w:spacing w:after="60"/>
        <w:ind w:left="346" w:hanging="288"/>
      </w:pPr>
      <w:r>
        <w:t xml:space="preserve">5.  </w:t>
      </w:r>
      <w:r>
        <w:t>Register the displayed endpoint and validate with a disposable encrypted workload.</w:t>
      </w:r>
    </w:p>
    <w:p>
      <w:pPr>
        <w:keepLines/>
      </w:pPr>
      <w:r>
        <w:rPr>
          <w:b/>
        </w:rPr>
        <w:t xml:space="preserve">Key-retention rule  </w:t>
      </w:r>
      <w:r>
        <w:t>Keep every provider and key store required by an encrypted workload until a supported migration or rekey has completed and independent recovery has been verified.</w:t>
      </w:r>
    </w:p>
    <w:p>
      <w:pPr>
        <w:pStyle w:val="Heading1"/>
      </w:pPr>
      <w:r>
        <w:t>8 Proxy management</w:t>
      </w:r>
    </w:p>
    <w:p>
      <w:pPr>
        <w:pStyle w:val="Heading2"/>
      </w:pPr>
      <w:r>
        <w:t>Reverse proxy</w:t>
      </w:r>
    </w:p>
    <w:p>
      <w:pPr>
        <w:keepLines/>
      </w:pPr>
      <w:r>
        <w:t>The reverse proxy provides the management and identity HTTPS entry points and can publish explicitly reviewed upstream routes. Validate the upstream URL, expected TLS name, CA trust, source policy, redirects, cookies, WebSockets, uploads, and path handling before use.</w:t>
      </w:r>
    </w:p>
    <w:p>
      <w:pPr>
        <w:pStyle w:val="Heading2"/>
      </w:pPr>
      <w:r>
        <w:t>Forward proxy</w:t>
      </w:r>
    </w:p>
    <w:p>
      <w:pPr>
        <w:keepLines/>
      </w:pPr>
      <w:r>
        <w:t>The optional Squid listener is an explicit egress proxy on TCP 3128. It is disabled by default, accepts only approved client CIDRs, filters private and appliance destinations, and does not intercept TLS.</w:t>
      </w:r>
    </w:p>
    <w:p>
      <w:pPr>
        <w:spacing w:after="60"/>
        <w:ind w:left="346" w:hanging="288"/>
      </w:pPr>
      <w:r>
        <w:t xml:space="preserve">1.  </w:t>
      </w:r>
      <w:r>
        <w:t>Select Enable only when an explicit forward proxy is required.</w:t>
      </w:r>
    </w:p>
    <w:p>
      <w:pPr>
        <w:spacing w:after="60"/>
        <w:ind w:left="346" w:hanging="288"/>
      </w:pPr>
      <w:r>
        <w:t xml:space="preserve">2.  </w:t>
      </w:r>
      <w:r>
        <w:t>Enter canonical IPv4 client CIDRs. A global source such as 0.0.0.0/0 is rejected.</w:t>
      </w:r>
    </w:p>
    <w:p>
      <w:pPr>
        <w:spacing w:after="60"/>
        <w:ind w:left="346" w:hanging="288"/>
      </w:pPr>
      <w:r>
        <w:t xml:space="preserve">3.  </w:t>
      </w:r>
      <w:r>
        <w:t>Optionally enter allowed domain suffixes. Blank domains permit public HTTP and HTTPS destinations subject to address filtering.</w:t>
      </w:r>
    </w:p>
    <w:p>
      <w:pPr>
        <w:spacing w:after="60"/>
        <w:ind w:left="346" w:hanging="288"/>
      </w:pPr>
      <w:r>
        <w:t xml:space="preserve">4.  </w:t>
      </w:r>
      <w:r>
        <w:t>Apply the policy, test an allowed and a denied destination, and review only the proxy-scoped activity log.</w:t>
      </w:r>
    </w:p>
    <w:p>
      <w:pPr>
        <w:pStyle w:val="Heading1"/>
      </w:pPr>
      <w:r>
        <w:t>9 Administrators and sessions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520"/>
            <w:shd w:fill="202020"/>
            <w:tcMar>
              <w:top w:w="80" w:type="dxa"/>
              <w:start w:w="110" w:type="dxa"/>
              <w:bottom w:w="80" w:type="dxa"/>
              <w:end w:w="110" w:type="dxa"/>
            </w:tcMar>
            <w:vAlign w:val="center"/>
          </w:tcPr>
          <w:p>
            <w:pPr>
              <w:jc w:val="left"/>
            </w:pPr>
            <w:r>
              <w:rPr>
                <w:rFonts w:ascii="Arial" w:hAnsi="Arial"/>
                <w:b/>
                <w:color w:val="FFFFFF"/>
                <w:sz w:val="17"/>
              </w:rPr>
              <w:t>Operation</w:t>
            </w:r>
          </w:p>
        </w:tc>
        <w:tc>
          <w:tcPr>
            <w:tcW w:type="dxa" w:w="7272"/>
            <w:shd w:fill="202020"/>
            <w:tcMar>
              <w:top w:w="80" w:type="dxa"/>
              <w:start w:w="110" w:type="dxa"/>
              <w:bottom w:w="80" w:type="dxa"/>
              <w:end w:w="110" w:type="dxa"/>
            </w:tcMar>
            <w:vAlign w:val="center"/>
          </w:tcPr>
          <w:p>
            <w:pPr>
              <w:jc w:val="left"/>
            </w:pPr>
            <w:r>
              <w:rPr>
                <w:rFonts w:ascii="Arial" w:hAnsi="Arial"/>
                <w:b/>
                <w:color w:val="FFFFFF"/>
                <w:sz w:val="17"/>
              </w:rPr>
              <w:t>Behavior</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Add administrator</w:t>
            </w:r>
          </w:p>
        </w:tc>
        <w:tc>
          <w:tcPr>
            <w:tcW w:type="dxa" w:w="7272"/>
            <w:tcMar>
              <w:top w:w="80" w:type="dxa"/>
              <w:start w:w="110" w:type="dxa"/>
              <w:bottom w:w="80" w:type="dxa"/>
              <w:end w:w="110" w:type="dxa"/>
            </w:tcMar>
            <w:vAlign w:val="center"/>
          </w:tcPr>
          <w:p>
            <w:pPr>
              <w:spacing w:after="0"/>
            </w:pPr>
            <w:r>
              <w:rPr>
                <w:rFonts w:ascii="Arial" w:hAnsi="Arial"/>
                <w:color w:val="000000"/>
                <w:sz w:val="17"/>
              </w:rPr>
              <w:t>Creates a local web administrator with a policy-compliant initial password.</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Enable or disable</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Changes sign-in eligibility. The signed-in administrator and final enabled administrator are protected.</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Revoke sessions</w:t>
            </w:r>
          </w:p>
        </w:tc>
        <w:tc>
          <w:tcPr>
            <w:tcW w:type="dxa" w:w="7272"/>
            <w:tcMar>
              <w:top w:w="80" w:type="dxa"/>
              <w:start w:w="110" w:type="dxa"/>
              <w:bottom w:w="80" w:type="dxa"/>
              <w:end w:w="110" w:type="dxa"/>
            </w:tcMar>
            <w:vAlign w:val="center"/>
          </w:tcPr>
          <w:p>
            <w:pPr>
              <w:spacing w:after="0"/>
            </w:pPr>
            <w:r>
              <w:rPr>
                <w:rFonts w:ascii="Arial" w:hAnsi="Arial"/>
                <w:color w:val="000000"/>
                <w:sz w:val="17"/>
              </w:rPr>
              <w:t>Invalidates the selected administrator's active GUI sessions.</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Remove</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Deletes a local administrator while preserving at least one enabled account.</w:t>
            </w:r>
          </w:p>
        </w:tc>
      </w:tr>
      <w:tr>
        <w:trPr>
          <w:cantSplit w:val="true"/>
        </w:trPr>
        <w:tc>
          <w:tcPr>
            <w:tcW w:type="dxa" w:w="2520"/>
            <w:tcMar>
              <w:top w:w="80" w:type="dxa"/>
              <w:start w:w="110" w:type="dxa"/>
              <w:bottom w:w="80" w:type="dxa"/>
              <w:end w:w="110" w:type="dxa"/>
            </w:tcMar>
            <w:vAlign w:val="center"/>
          </w:tcPr>
          <w:p>
            <w:pPr>
              <w:spacing w:after="0"/>
            </w:pPr>
            <w:r>
              <w:rPr>
                <w:rFonts w:ascii="Arial" w:hAnsi="Arial"/>
                <w:color w:val="000000"/>
                <w:sz w:val="17"/>
              </w:rPr>
              <w:t>Session policy</w:t>
            </w:r>
          </w:p>
        </w:tc>
        <w:tc>
          <w:tcPr>
            <w:tcW w:type="dxa" w:w="7272"/>
            <w:tcMar>
              <w:top w:w="80" w:type="dxa"/>
              <w:start w:w="110" w:type="dxa"/>
              <w:bottom w:w="80" w:type="dxa"/>
              <w:end w:w="110" w:type="dxa"/>
            </w:tcMar>
            <w:vAlign w:val="center"/>
          </w:tcPr>
          <w:p>
            <w:pPr>
              <w:spacing w:after="0"/>
            </w:pPr>
            <w:r>
              <w:rPr>
                <w:rFonts w:ascii="Arial" w:hAnsi="Arial"/>
                <w:color w:val="000000"/>
                <w:sz w:val="17"/>
              </w:rPr>
              <w:t>Sets an idle timeout from 5 to 60 minutes; the absolute session lifetime remains eight hours.</w:t>
            </w:r>
          </w:p>
        </w:tc>
      </w:tr>
      <w:tr>
        <w:trPr>
          <w:cantSplit w:val="true"/>
        </w:trPr>
        <w:tc>
          <w:tcPr>
            <w:tcW w:type="dxa" w:w="2520"/>
            <w:shd w:fill="F5F5F5"/>
            <w:tcMar>
              <w:top w:w="80" w:type="dxa"/>
              <w:start w:w="110" w:type="dxa"/>
              <w:bottom w:w="80" w:type="dxa"/>
              <w:end w:w="110" w:type="dxa"/>
            </w:tcMar>
            <w:vAlign w:val="center"/>
          </w:tcPr>
          <w:p>
            <w:pPr>
              <w:spacing w:after="0"/>
            </w:pPr>
            <w:r>
              <w:rPr>
                <w:rFonts w:ascii="Arial" w:hAnsi="Arial"/>
                <w:color w:val="000000"/>
                <w:sz w:val="17"/>
              </w:rPr>
              <w:t>Change password</w:t>
            </w:r>
          </w:p>
        </w:tc>
        <w:tc>
          <w:tcPr>
            <w:tcW w:type="dxa" w:w="7272"/>
            <w:shd w:fill="F5F5F5"/>
            <w:tcMar>
              <w:top w:w="80" w:type="dxa"/>
              <w:start w:w="110" w:type="dxa"/>
              <w:bottom w:w="80" w:type="dxa"/>
              <w:end w:w="110" w:type="dxa"/>
            </w:tcMar>
            <w:vAlign w:val="center"/>
          </w:tcPr>
          <w:p>
            <w:pPr>
              <w:spacing w:after="0"/>
            </w:pPr>
            <w:r>
              <w:rPr>
                <w:rFonts w:ascii="Arial" w:hAnsi="Arial"/>
                <w:color w:val="000000"/>
                <w:sz w:val="17"/>
              </w:rPr>
              <w:t>Changes the signed-in administrator password and signs out all GUI sessions.</w:t>
            </w:r>
          </w:p>
        </w:tc>
      </w:tr>
    </w:tbl>
    <w:p>
      <w:pPr>
        <w:spacing w:after="20"/>
      </w:pPr>
    </w:p>
    <w:p>
      <w:pPr>
        <w:keepLines/>
      </w:pPr>
      <w:r>
        <w:t>Use Activity History to review the latest bounded administrator actions and outcomes. Account, session, service, certificate, update, network, alert, and power actions are recorded.</w:t>
      </w:r>
    </w:p>
    <w:p>
      <w:pPr>
        <w:pStyle w:val="Heading1"/>
      </w:pPr>
      <w:r>
        <w:t>10 Appliance updates</w:t>
      </w:r>
    </w:p>
    <w:p>
      <w:pPr>
        <w:spacing w:after="60"/>
        <w:ind w:left="346" w:hanging="288"/>
      </w:pPr>
      <w:r>
        <w:t xml:space="preserve">1.  </w:t>
      </w:r>
      <w:r>
        <w:t>Obtain a signed .sau bundle from the trusted release source and review its release notes.</w:t>
      </w:r>
    </w:p>
    <w:p>
      <w:pPr>
        <w:spacing w:after="60"/>
        <w:ind w:left="346" w:hanging="288"/>
      </w:pPr>
      <w:r>
        <w:t xml:space="preserve">2.  </w:t>
      </w:r>
      <w:r>
        <w:t>Open Appliance Updates, select the bundle, and provide the current administrator password when requested.</w:t>
      </w:r>
    </w:p>
    <w:p>
      <w:pPr>
        <w:spacing w:after="60"/>
        <w:ind w:left="346" w:hanging="288"/>
      </w:pPr>
      <w:r>
        <w:t xml:space="preserve">3.  </w:t>
      </w:r>
      <w:r>
        <w:t>Choose Verify and install update. The appliance checks the signature, manifest, digests, paths, compatibility, and fixed post-install health tests.</w:t>
      </w:r>
    </w:p>
    <w:p>
      <w:pPr>
        <w:spacing w:after="60"/>
        <w:ind w:left="346" w:hanging="288"/>
      </w:pPr>
      <w:r>
        <w:t xml:space="preserve">4.  </w:t>
      </w:r>
      <w:r>
        <w:t>After success, refresh Health Status and run the owning service tests. Review the exact installed version and update history.</w:t>
      </w:r>
    </w:p>
    <w:p>
      <w:pPr>
        <w:spacing w:after="60"/>
        <w:ind w:left="346" w:hanging="288"/>
      </w:pPr>
      <w:r>
        <w:t xml:space="preserve">5.  </w:t>
      </w:r>
      <w:r>
        <w:t>If the release fails validation, the appliance restores prior files. Use Restore prior release only after reviewing client impact and current health.</w:t>
      </w:r>
    </w:p>
    <w:p>
      <w:pPr>
        <w:pStyle w:val="Heading1"/>
      </w:pPr>
      <w:r>
        <w:t>11 Alerts, support, and recovery</w:t>
      </w:r>
    </w:p>
    <w:p>
      <w:pPr>
        <w:pStyle w:val="ListBullet"/>
        <w:keepLines/>
      </w:pPr>
      <w:r>
        <w:t>Configure syslog, a generic HTTPS webhook, or a Mattermost incoming webhook from Health Status. Delivery is disabled by default and secrets are not shown after saving.</w:t>
      </w:r>
    </w:p>
    <w:p>
      <w:pPr>
        <w:pStyle w:val="ListBullet"/>
        <w:keepLines/>
      </w:pPr>
      <w:r>
        <w:t>Use Test delivery to verify the destination, then review the latest delivery outcome.</w:t>
      </w:r>
    </w:p>
    <w:p>
      <w:pPr>
        <w:pStyle w:val="ListBullet"/>
        <w:keepLines/>
      </w:pPr>
      <w:r>
        <w:t>Download a support bundle when diagnostics or service tests do not isolate the issue. The bundle contains bounded status, service activity, and audit data with credential-related content removed.</w:t>
      </w:r>
    </w:p>
    <w:p>
      <w:pPr>
        <w:pStyle w:val="ListBullet"/>
        <w:keepLines/>
      </w:pPr>
      <w:r>
        <w:t>Use the VMware console for Service and firewall status, Recover web administrator, or Restart appliance when browser access is unavailable.</w:t>
      </w:r>
    </w:p>
    <w:p>
      <w:pPr>
        <w:pStyle w:val="ListBullet"/>
        <w:keepLines/>
      </w:pPr>
      <w:r>
        <w:t>Console recovery can reset only an existing web administrator and requires the independent console-recovery credential. It invalidates all GUI sessions.</w:t>
      </w:r>
    </w:p>
    <w:p>
      <w:pPr>
        <w:pStyle w:val="Heading1"/>
      </w:pPr>
      <w:r>
        <w:t>12 Routine operating checklist</w:t>
      </w:r>
    </w:p>
    <w:p>
      <w:pPr>
        <w:spacing w:after="80"/>
        <w:ind w:left="144" w:hanging="144"/>
        <w:keepLines/>
      </w:pPr>
      <w:r>
        <w:rPr>
          <w:rFonts w:ascii="Arial" w:hAnsi="Arial"/>
        </w:rPr>
        <w:t xml:space="preserve">☐  </w:t>
      </w:r>
      <w:r>
        <w:t>Review the global health indicator and Health Status for new alerts.</w:t>
      </w:r>
    </w:p>
    <w:p>
      <w:pPr>
        <w:spacing w:after="80"/>
        <w:ind w:left="144" w:hanging="144"/>
        <w:keepLines/>
      </w:pPr>
      <w:r>
        <w:rPr>
          <w:rFonts w:ascii="Arial" w:hAnsi="Arial"/>
        </w:rPr>
        <w:t xml:space="preserve">☐  </w:t>
      </w:r>
      <w:r>
        <w:t>Check certificate expiration and renew with sufficient lead time.</w:t>
      </w:r>
    </w:p>
    <w:p>
      <w:pPr>
        <w:spacing w:after="80"/>
        <w:ind w:left="144" w:hanging="144"/>
        <w:keepLines/>
      </w:pPr>
      <w:r>
        <w:rPr>
          <w:rFonts w:ascii="Arial" w:hAnsi="Arial"/>
        </w:rPr>
        <w:t xml:space="preserve">☐  </w:t>
      </w:r>
      <w:r>
        <w:t>Confirm DNS and NTP remain on approved sources.</w:t>
      </w:r>
    </w:p>
    <w:p>
      <w:pPr>
        <w:spacing w:after="80"/>
        <w:ind w:left="144" w:hanging="144"/>
        <w:keepLines/>
      </w:pPr>
      <w:r>
        <w:rPr>
          <w:rFonts w:ascii="Arial" w:hAnsi="Arial"/>
        </w:rPr>
        <w:t xml:space="preserve">☐  </w:t>
      </w:r>
      <w:r>
        <w:t>Review persistent storage use and growth before it reaches the warning threshold.</w:t>
      </w:r>
    </w:p>
    <w:p>
      <w:pPr>
        <w:spacing w:after="80"/>
        <w:ind w:left="144" w:hanging="144"/>
        <w:keepLines/>
      </w:pPr>
      <w:r>
        <w:rPr>
          <w:rFonts w:ascii="Arial" w:hAnsi="Arial"/>
        </w:rPr>
        <w:t xml:space="preserve">☐  </w:t>
      </w:r>
      <w:r>
        <w:t>Run the relevant functional test after a service, certificate, network, trust, or proxy change.</w:t>
      </w:r>
    </w:p>
    <w:p>
      <w:pPr>
        <w:spacing w:after="80"/>
        <w:ind w:left="144" w:hanging="144"/>
        <w:keepLines/>
      </w:pPr>
      <w:r>
        <w:rPr>
          <w:rFonts w:ascii="Arial" w:hAnsi="Arial"/>
        </w:rPr>
        <w:t xml:space="preserve">☐  </w:t>
      </w:r>
      <w:r>
        <w:t>Review service-scoped activity and administrative Activity History.</w:t>
      </w:r>
    </w:p>
    <w:p>
      <w:pPr>
        <w:spacing w:after="80"/>
        <w:ind w:left="144" w:hanging="144"/>
        <w:keepLines/>
      </w:pPr>
      <w:r>
        <w:rPr>
          <w:rFonts w:ascii="Arial" w:hAnsi="Arial"/>
        </w:rPr>
        <w:t xml:space="preserve">☐  </w:t>
      </w:r>
      <w:r>
        <w:t>Verify the latest signed-update state and retain the required recovery material outside the appliance.</w:t>
      </w:r>
    </w:p>
    <w:p>
      <w:pPr>
        <w:spacing w:after="80"/>
        <w:ind w:left="144" w:hanging="144"/>
        <w:keepLines/>
      </w:pPr>
      <w:r>
        <w:rPr>
          <w:rFonts w:ascii="Arial" w:hAnsi="Arial"/>
        </w:rPr>
        <w:t xml:space="preserve">☐  </w:t>
      </w:r>
      <w:r>
        <w:t>Review enrolled OIDC clients, KMIP consumers, source networks, and proxy policy for stale access.</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Security Appliance  |  1.0 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47"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val="0"/>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ind w:left="346" w:right="346"/>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