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VCF Storage Appliance Administrator Guide</w:t>
      </w:r>
    </w:p>
    <w:p>
      <w:pPr>
        <w:pStyle w:val="Subtitle"/>
      </w:pPr>
      <w:r>
        <w:t>Operate the appliance, its service containers, administrative accounts, certificates, and signed software lifecycle.</w:t>
      </w:r>
    </w:p>
    <w:p>
      <w:pPr>
        <w:spacing w:after="180"/>
      </w:pPr>
      <w:r>
        <w:rPr>
          <w:rFonts w:ascii="Arial" w:hAnsi="Arial"/>
          <w:b/>
          <w:color w:val="000000"/>
          <w:sz w:val="18"/>
        </w:rPr>
        <w:t>Applies to appliance release 1.1.0 | Guide version 1.1 | October 6, 2026</w:t>
      </w:r>
    </w:p>
    <w:p>
      <w:pPr>
        <w:spacing w:after="160"/>
      </w:pPr>
      <w:r>
        <w:t>Use this guide after First deployment has completed. It explains routine administration through /admin/, including appliance status, network and time settings, SFTP clients, Harbor, content publication, certificates, administrator accounts, support bundles, and in-place software updates.</w:t>
      </w:r>
    </w:p>
    <w:p>
      <w:pPr>
        <w:spacing w:after="200"/>
      </w:pPr>
      <w:r>
        <w:rPr>
          <w:rFonts w:ascii="Arial" w:hAnsi="Arial"/>
          <w:b/>
          <w:color w:val="000000"/>
        </w:rPr>
        <w:t xml:space="preserve">Security boundary  </w:t>
      </w:r>
      <w:r>
        <w:rPr>
          <w:rFonts w:ascii="Arial" w:hAnsi="Arial"/>
          <w:color w:val="000000"/>
        </w:rPr>
        <w:t>Use the HTTPS management interface and the restricted VMware console menu only. The appliance provides no Ubuntu login, host SSH, web terminal, Docker API, or general shell access.</w:t>
      </w:r>
    </w:p>
    <w:p>
      <w:r>
        <w:rPr>
          <w:rFonts w:ascii="Arial" w:hAnsi="Arial"/>
          <w:b/>
          <w:color w:val="000000"/>
        </w:rPr>
        <w:t xml:space="preserve">Release status  </w:t>
      </w:r>
      <w:r>
        <w:rPr>
          <w:rFonts w:ascii="Arial" w:hAnsi="Arial"/>
          <w:color w:val="000000"/>
        </w:rPr>
        <w:t>This guide describes the signed GA 1.1.0 production release. The exact OVA passed 167 Linux unit and security tests, OVF and signature checks, and an import and first-boot smoke test. Version 1.0.3 remains the most recently completed full guided-setup and end-to-end service qualification baseline.</w:t>
      </w:r>
    </w:p>
    <w:p>
      <w:pPr>
        <w:pStyle w:val="Heading1"/>
      </w:pPr>
      <w:r>
        <w:t>1 Administration model</w:t>
      </w:r>
    </w:p>
    <w:p>
      <w:r>
        <w:rPr>
          <w:rFonts w:ascii="Arial" w:hAnsi="Arial"/>
          <w:color w:val="000000"/>
        </w:rPr>
        <w:t>The appliance uses two management surfaces. The HTTPS GUI is the normal administrative interface. The VMware console provides a restricted recovery menu for status, web-administrator reset, and confirmed restart when web access is unavailable.</w:t>
      </w:r>
    </w:p>
    <w:p>
      <w:pPr>
        <w:pStyle w:val="ListBullet"/>
      </w:pPr>
      <w:r>
        <w:rPr>
          <w:rFonts w:ascii="Arial" w:hAnsi="Arial"/>
          <w:color w:val="000000"/>
        </w:rPr>
        <w:t>Use named web-administrator accounts. Do not share the Harbor administrator, SFTP client, content-library reader, or console-recovery credential with GUI administrators unless their role requires it.</w:t>
      </w:r>
    </w:p>
    <w:p>
      <w:pPr>
        <w:pStyle w:val="ListBullet"/>
      </w:pPr>
      <w:r>
        <w:rPr>
          <w:rFonts w:ascii="Arial" w:hAnsi="Arial"/>
          <w:color w:val="000000"/>
        </w:rPr>
        <w:t>Use the Storage Harbor page for supported private projects, quotas, repositories, artifacts, members, scoped robot accounts, and service lifecycle.</w:t>
      </w:r>
    </w:p>
    <w:p>
      <w:pPr>
        <w:pStyle w:val="ListBullet"/>
      </w:pPr>
      <w:r>
        <w:rPr>
          <w:rFonts w:ascii="Arial" w:hAnsi="Arial"/>
          <w:color w:val="000000"/>
        </w:rPr>
        <w:t>Use the Storage GUI for appliance health, service lifecycle, dedicated service storage, SFTP clients, content publication, certificate replacement, accounts, and signed software updates.</w:t>
      </w:r>
    </w:p>
    <w:p>
      <w:pPr>
        <w:pStyle w:val="ListBullet"/>
      </w:pPr>
      <w:r>
        <w:rPr>
          <w:rFonts w:ascii="Arial" w:hAnsi="Arial"/>
          <w:color w:val="000000"/>
        </w:rPr>
        <w:t>Do not enable Ubuntu SSH or attempt to administer Docker directly. Unsupported host changes can bypass mount, firewall, and upgrade protections.</w:t>
      </w:r>
    </w:p>
    <w:p>
      <w:r>
        <w:rPr>
          <w:rFonts w:ascii="Arial" w:hAnsi="Arial"/>
          <w:color w:val="000000"/>
        </w:rPr>
        <w:t>The appliance provides no appliance or service-data backup by design. One previous software release is retained only for application rollback; it is not a copy of configuration or service data.</w:t>
      </w:r>
    </w:p>
    <w:p>
      <w:pPr>
        <w:pStyle w:val="Heading1"/>
      </w:pPr>
      <w:r>
        <w:t>2 Navigation and sign in</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232"/>
            <w:shd w:fill="33333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pPr>
            <w:r>
              <w:rPr>
                <w:rFonts w:ascii="Arial" w:hAnsi="Arial"/>
                <w:b/>
                <w:color w:val="FFFFFF"/>
                <w:sz w:val="18"/>
              </w:rPr>
              <w:t>Location</w:t>
            </w:r>
          </w:p>
        </w:tc>
        <w:tc>
          <w:tcPr>
            <w:tcW w:type="dxa" w:w="7560"/>
            <w:shd w:fill="33333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pPr>
            <w:r>
              <w:rPr>
                <w:rFonts w:ascii="Arial" w:hAnsi="Arial"/>
                <w:b/>
                <w:color w:val="FFFFFF"/>
                <w:sz w:val="18"/>
              </w:rPr>
              <w:t>Purpose</w:t>
            </w:r>
          </w:p>
        </w:tc>
      </w:tr>
      <w:tr>
        <w:trPr>
          <w:cantSplit/>
        </w:trPr>
        <w:tc>
          <w:tcPr>
            <w:tcW w:type="dxa" w:w="22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pPr>
            <w:r>
              <w:rPr>
                <w:rFonts w:ascii="Arial" w:hAnsi="Arial"/>
                <w:color w:val="000000"/>
                <w:sz w:val="18"/>
              </w:rPr>
              <w:t>SFTP Backups</w:t>
            </w:r>
          </w:p>
        </w:tc>
        <w:tc>
          <w:tcPr>
            <w:tcW w:type="dxa" w:w="756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pPr>
            <w:r>
              <w:rPr>
                <w:rFonts w:ascii="Arial" w:hAnsi="Arial"/>
                <w:color w:val="000000"/>
                <w:sz w:val="18"/>
              </w:rPr>
              <w:t>Client identities, quotas, approved client networks, service lifecycle, and recent redacted logs.</w:t>
            </w:r>
          </w:p>
        </w:tc>
      </w:tr>
      <w:tr>
        <w:trPr>
          <w:cantSplit/>
        </w:trPr>
        <w:tc>
          <w:tcPr>
            <w:tcW w:type="dxa" w:w="2232"/>
            <w:shd w:fill="F2F2F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pPr>
            <w:r>
              <w:rPr>
                <w:rFonts w:ascii="Arial" w:hAnsi="Arial"/>
                <w:color w:val="000000"/>
                <w:sz w:val="18"/>
              </w:rPr>
              <w:t>Harbor Registry</w:t>
            </w:r>
          </w:p>
        </w:tc>
        <w:tc>
          <w:tcPr>
            <w:tcW w:type="dxa" w:w="7560"/>
            <w:shd w:fill="F2F2F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pPr>
            <w:r>
              <w:rPr>
                <w:rFonts w:ascii="Arial" w:hAnsi="Arial"/>
                <w:color w:val="000000"/>
                <w:sz w:val="18"/>
              </w:rPr>
              <w:t>Readiness, storage, endpoint posture, lifecycle controls, supported project and artifact administration, and recent redacted logs.</w:t>
            </w:r>
          </w:p>
        </w:tc>
      </w:tr>
      <w:tr>
        <w:trPr>
          <w:cantSplit/>
        </w:trPr>
        <w:tc>
          <w:tcPr>
            <w:tcW w:type="dxa" w:w="22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pPr>
            <w:r>
              <w:rPr>
                <w:rFonts w:ascii="Arial" w:hAnsi="Arial"/>
                <w:color w:val="000000"/>
                <w:sz w:val="18"/>
              </w:rPr>
              <w:t>Content Library</w:t>
            </w:r>
          </w:p>
        </w:tc>
        <w:tc>
          <w:tcPr>
            <w:tcW w:type="dxa" w:w="756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pPr>
            <w:r>
              <w:rPr>
                <w:rFonts w:ascii="Arial" w:hAnsi="Arial"/>
                <w:color w:val="000000"/>
                <w:sz w:val="18"/>
              </w:rPr>
              <w:t>Subscription URL, reader credential, publisher status, and ISO or OVF/OVA publication.</w:t>
            </w:r>
          </w:p>
        </w:tc>
      </w:tr>
      <w:tr>
        <w:trPr>
          <w:cantSplit/>
        </w:trPr>
        <w:tc>
          <w:tcPr>
            <w:tcW w:type="dxa" w:w="2232"/>
            <w:shd w:fill="F2F2F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pPr>
            <w:r>
              <w:rPr>
                <w:rFonts w:ascii="Arial" w:hAnsi="Arial"/>
                <w:color w:val="000000"/>
                <w:sz w:val="18"/>
              </w:rPr>
              <w:t>HTTPS Certificate</w:t>
            </w:r>
          </w:p>
        </w:tc>
        <w:tc>
          <w:tcPr>
            <w:tcW w:type="dxa" w:w="7560"/>
            <w:shd w:fill="F2F2F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pPr>
            <w:r>
              <w:rPr>
                <w:rFonts w:ascii="Arial" w:hAnsi="Arial"/>
                <w:color w:val="000000"/>
                <w:sz w:val="18"/>
              </w:rPr>
              <w:t>CSR generation, certificate preview, and trusted certificate-chain import.</w:t>
            </w:r>
          </w:p>
        </w:tc>
      </w:tr>
      <w:tr>
        <w:trPr>
          <w:cantSplit/>
        </w:trPr>
        <w:tc>
          <w:tcPr>
            <w:tcW w:type="dxa" w:w="22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pPr>
            <w:r>
              <w:rPr>
                <w:rFonts w:ascii="Arial" w:hAnsi="Arial"/>
                <w:color w:val="000000"/>
                <w:sz w:val="18"/>
              </w:rPr>
              <w:t>Appliance Status</w:t>
            </w:r>
          </w:p>
        </w:tc>
        <w:tc>
          <w:tcPr>
            <w:tcW w:type="dxa" w:w="756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pPr>
            <w:r>
              <w:rPr>
                <w:rFonts w:ascii="Arial" w:hAnsi="Arial"/>
                <w:color w:val="000000"/>
                <w:sz w:val="18"/>
              </w:rPr>
              <w:t>Identity, network, DNS, time, services, storage, certificate, firewall, alerts, support bundle, and power operations.</w:t>
            </w:r>
          </w:p>
        </w:tc>
      </w:tr>
      <w:tr>
        <w:trPr>
          <w:cantSplit/>
        </w:trPr>
        <w:tc>
          <w:tcPr>
            <w:tcW w:type="dxa" w:w="2232"/>
            <w:shd w:fill="F2F2F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pPr>
            <w:r>
              <w:rPr>
                <w:rFonts w:ascii="Arial" w:hAnsi="Arial"/>
                <w:color w:val="000000"/>
                <w:sz w:val="18"/>
              </w:rPr>
              <w:t>Account menu</w:t>
            </w:r>
          </w:p>
        </w:tc>
        <w:tc>
          <w:tcPr>
            <w:tcW w:type="dxa" w:w="7560"/>
            <w:shd w:fill="F2F2F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pPr>
            <w:r>
              <w:rPr>
                <w:rFonts w:ascii="Arial" w:hAnsi="Arial"/>
                <w:color w:val="000000"/>
                <w:sz w:val="18"/>
              </w:rPr>
              <w:t>Appliance management, Storage expansion, Appliance updates, Admin user management, Activity history, and Sign out.</w:t>
            </w:r>
          </w:p>
        </w:tc>
      </w:tr>
    </w:tbl>
    <w:p>
      <w:pPr>
        <w:spacing w:after="20"/>
      </w:pPr>
    </w:p>
    <w:p>
      <w:r>
        <w:rPr>
          <w:rFonts w:ascii="Arial" w:hAnsi="Arial"/>
          <w:color w:val="000000"/>
        </w:rPr>
        <w:t>The header shows the signed-in username. Light and dark themes are browser preferences and persist in local browser storage. A theme change does not alter appliance configuration or permissions.</w:t>
      </w:r>
    </w:p>
    <w:p>
      <w:r>
        <w:rPr>
          <w:rFonts w:ascii="Arial" w:hAnsi="Arial"/>
          <w:color w:val="000000"/>
        </w:rPr>
        <w:t>The left SERVICE STATUS rail uses the last confirmed status from the current browser session while a new page loads. If refresh fails, it reports Status unavailable and retains the last confirmed state and timestamp instead of changing a running service to an unverified state.</w:t>
      </w:r>
    </w:p>
    <w:p>
      <w:pPr>
        <w:pStyle w:val="Heading1"/>
      </w:pPr>
      <w:r>
        <w:t>3 Appliance Status</w:t>
      </w:r>
    </w:p>
    <w:p>
      <w:r>
        <w:rPr>
          <w:rFonts w:ascii="Arial" w:hAnsi="Arial"/>
          <w:color w:val="000000"/>
        </w:rPr>
        <w:t>Open Appliance Status after configuration changes, service maintenance, certificate replacement, and software updates. Select Refresh status before relying on a displayed value.</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448"/>
            <w:shd w:fill="33333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pPr>
            <w:r>
              <w:rPr>
                <w:rFonts w:ascii="Arial" w:hAnsi="Arial"/>
                <w:b/>
                <w:color w:val="FFFFFF"/>
                <w:sz w:val="18"/>
              </w:rPr>
              <w:t>Card</w:t>
            </w:r>
          </w:p>
        </w:tc>
        <w:tc>
          <w:tcPr>
            <w:tcW w:type="dxa" w:w="7344"/>
            <w:shd w:fill="33333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pPr>
            <w:r>
              <w:rPr>
                <w:rFonts w:ascii="Arial" w:hAnsi="Arial"/>
                <w:b/>
                <w:color w:val="FFFFFF"/>
                <w:sz w:val="18"/>
              </w:rPr>
              <w:t>What to review</w:t>
            </w:r>
          </w:p>
        </w:tc>
      </w:tr>
      <w:tr>
        <w:trPr>
          <w:cantSplit/>
        </w:trPr>
        <w:tc>
          <w:tcPr>
            <w:tcW w:type="dxa" w:w="244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pPr>
            <w:r>
              <w:rPr>
                <w:rFonts w:ascii="Arial" w:hAnsi="Arial"/>
                <w:color w:val="000000"/>
                <w:sz w:val="18"/>
              </w:rPr>
              <w:t>Identity</w:t>
            </w:r>
          </w:p>
        </w:tc>
        <w:tc>
          <w:tcPr>
            <w:tcW w:type="dxa" w:w="73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pPr>
            <w:r>
              <w:rPr>
                <w:rFonts w:ascii="Arial" w:hAnsi="Arial"/>
                <w:color w:val="000000"/>
                <w:sz w:val="18"/>
              </w:rPr>
              <w:t>Configured hostname and fully qualified domain name.</w:t>
            </w:r>
          </w:p>
        </w:tc>
      </w:tr>
      <w:tr>
        <w:trPr>
          <w:cantSplit/>
        </w:trPr>
        <w:tc>
          <w:tcPr>
            <w:tcW w:type="dxa" w:w="2448"/>
            <w:shd w:fill="F2F2F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pPr>
            <w:r>
              <w:rPr>
                <w:rFonts w:ascii="Arial" w:hAnsi="Arial"/>
                <w:color w:val="000000"/>
                <w:sz w:val="18"/>
              </w:rPr>
              <w:t>Management network</w:t>
            </w:r>
          </w:p>
        </w:tc>
        <w:tc>
          <w:tcPr>
            <w:tcW w:type="dxa" w:w="7344"/>
            <w:shd w:fill="F2F2F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pPr>
            <w:r>
              <w:rPr>
                <w:rFonts w:ascii="Arial" w:hAnsi="Arial"/>
                <w:color w:val="000000"/>
                <w:sz w:val="18"/>
              </w:rPr>
              <w:t>mgmt0 address, default gateway, and DHCP or STATIC source.</w:t>
            </w:r>
          </w:p>
        </w:tc>
      </w:tr>
      <w:tr>
        <w:trPr>
          <w:cantSplit/>
        </w:trPr>
        <w:tc>
          <w:tcPr>
            <w:tcW w:type="dxa" w:w="244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pPr>
            <w:r>
              <w:rPr>
                <w:rFonts w:ascii="Arial" w:hAnsi="Arial"/>
                <w:color w:val="000000"/>
                <w:sz w:val="18"/>
              </w:rPr>
              <w:t>DNS</w:t>
            </w:r>
          </w:p>
        </w:tc>
        <w:tc>
          <w:tcPr>
            <w:tcW w:type="dxa" w:w="73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pPr>
            <w:r>
              <w:rPr>
                <w:rFonts w:ascii="Arial" w:hAnsi="Arial"/>
                <w:color w:val="000000"/>
                <w:sz w:val="18"/>
              </w:rPr>
              <w:t>Configured servers, active resolvers, and health.</w:t>
            </w:r>
          </w:p>
        </w:tc>
      </w:tr>
      <w:tr>
        <w:trPr>
          <w:cantSplit/>
        </w:trPr>
        <w:tc>
          <w:tcPr>
            <w:tcW w:type="dxa" w:w="2448"/>
            <w:shd w:fill="F2F2F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pPr>
            <w:r>
              <w:rPr>
                <w:rFonts w:ascii="Arial" w:hAnsi="Arial"/>
                <w:color w:val="000000"/>
                <w:sz w:val="18"/>
              </w:rPr>
              <w:t>Time synchronization</w:t>
            </w:r>
          </w:p>
        </w:tc>
        <w:tc>
          <w:tcPr>
            <w:tcW w:type="dxa" w:w="7344"/>
            <w:shd w:fill="F2F2F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pPr>
            <w:r>
              <w:rPr>
                <w:rFonts w:ascii="Arial" w:hAnsi="Arial"/>
                <w:color w:val="000000"/>
                <w:sz w:val="18"/>
              </w:rPr>
              <w:t>Configured NTP sources, current server, synchronization state, and timezone.</w:t>
            </w:r>
          </w:p>
        </w:tc>
      </w:tr>
      <w:tr>
        <w:trPr>
          <w:cantSplit/>
        </w:trPr>
        <w:tc>
          <w:tcPr>
            <w:tcW w:type="dxa" w:w="244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pPr>
            <w:r>
              <w:rPr>
                <w:rFonts w:ascii="Arial" w:hAnsi="Arial"/>
                <w:color w:val="000000"/>
                <w:sz w:val="18"/>
              </w:rPr>
              <w:t>Services and storage</w:t>
            </w:r>
          </w:p>
        </w:tc>
        <w:tc>
          <w:tcPr>
            <w:tcW w:type="dxa" w:w="73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pPr>
            <w:r>
              <w:rPr>
                <w:rFonts w:ascii="Arial" w:hAnsi="Arial"/>
                <w:color w:val="000000"/>
                <w:sz w:val="18"/>
              </w:rPr>
              <w:t>SFTP, Harbor, and library state plus each dedicated filesystem's usage and free capacity.</w:t>
            </w:r>
          </w:p>
        </w:tc>
      </w:tr>
      <w:tr>
        <w:trPr>
          <w:cantSplit/>
        </w:trPr>
        <w:tc>
          <w:tcPr>
            <w:tcW w:type="dxa" w:w="2448"/>
            <w:shd w:fill="F2F2F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pPr>
            <w:r>
              <w:rPr>
                <w:rFonts w:ascii="Arial" w:hAnsi="Arial"/>
                <w:color w:val="000000"/>
                <w:sz w:val="18"/>
              </w:rPr>
              <w:t>HTTPS and firewall</w:t>
            </w:r>
          </w:p>
        </w:tc>
        <w:tc>
          <w:tcPr>
            <w:tcW w:type="dxa" w:w="7344"/>
            <w:shd w:fill="F2F2F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pPr>
            <w:r>
              <w:rPr>
                <w:rFonts w:ascii="Arial" w:hAnsi="Arial"/>
                <w:color w:val="000000"/>
                <w:sz w:val="18"/>
              </w:rPr>
              <w:t>Certificate expiration, trust state, host firewall, and Docker container ingress guard.</w:t>
            </w:r>
          </w:p>
        </w:tc>
      </w:tr>
      <w:tr>
        <w:trPr>
          <w:cantSplit/>
        </w:trPr>
        <w:tc>
          <w:tcPr>
            <w:tcW w:type="dxa" w:w="244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pPr>
            <w:r>
              <w:rPr>
                <w:rFonts w:ascii="Arial" w:hAnsi="Arial"/>
                <w:color w:val="000000"/>
                <w:sz w:val="18"/>
              </w:rPr>
              <w:t>Active alerts</w:t>
            </w:r>
          </w:p>
        </w:tc>
        <w:tc>
          <w:tcPr>
            <w:tcW w:type="dxa" w:w="73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pPr>
            <w:r>
              <w:rPr>
                <w:rFonts w:ascii="Arial" w:hAnsi="Arial"/>
                <w:color w:val="000000"/>
                <w:sz w:val="18"/>
              </w:rPr>
              <w:t>Current conditions that require operator attention.</w:t>
            </w:r>
          </w:p>
        </w:tc>
      </w:tr>
    </w:tbl>
    <w:p>
      <w:pPr>
        <w:spacing w:after="20"/>
      </w:pPr>
    </w:p>
    <w:p>
      <w:pPr>
        <w:pStyle w:val="Heading2"/>
      </w:pPr>
      <w:r>
        <w:t>Status controls</w:t>
      </w:r>
    </w:p>
    <w:p>
      <w:pPr>
        <w:pStyle w:val="ListBullet"/>
      </w:pPr>
      <w:r>
        <w:rPr>
          <w:rFonts w:ascii="Arial" w:hAnsi="Arial"/>
          <w:color w:val="000000"/>
        </w:rPr>
        <w:t>Download support bundle creates a redacted diagnostic record containing status, system and uptime information, time configuration, and recent management logs.</w:t>
      </w:r>
    </w:p>
    <w:p>
      <w:pPr>
        <w:pStyle w:val="ListBullet"/>
      </w:pPr>
      <w:r>
        <w:rPr>
          <w:rFonts w:ascii="Arial" w:hAnsi="Arial"/>
          <w:color w:val="000000"/>
        </w:rPr>
        <w:t>Restart appliance and Shut down appliance require browser confirmation and interrupt all management and storage services.</w:t>
      </w:r>
    </w:p>
    <w:p>
      <w:pPr>
        <w:pStyle w:val="ListBullet"/>
      </w:pPr>
      <w:r>
        <w:rPr>
          <w:rFonts w:ascii="Arial" w:hAnsi="Arial"/>
          <w:color w:val="000000"/>
        </w:rPr>
        <w:t>A pending network change must be confirmed or rolled back before a power operation is accepted.</w:t>
      </w:r>
    </w:p>
    <w:p>
      <w:pPr>
        <w:pStyle w:val="Heading1"/>
      </w:pPr>
      <w:r>
        <w:t>4 Appliance management</w:t>
      </w:r>
    </w:p>
    <w:p>
      <w:r>
        <w:rPr>
          <w:rFonts w:ascii="Arial" w:hAnsi="Arial"/>
          <w:color w:val="000000"/>
        </w:rPr>
        <w:t>Open Appliance management from the account menu. Reload current settings is read-only. Identity fields are displayed but remain read-only until a coordinated rename workflow can update DNS names, certificate SANs, gateway origins, and service endpoints together.</w:t>
      </w:r>
    </w:p>
    <w:p>
      <w:pPr>
        <w:pStyle w:val="Heading2"/>
      </w:pPr>
      <w:r>
        <w:t>Timezone</w:t>
      </w:r>
    </w:p>
    <w:p>
      <w:r>
        <w:rPr>
          <w:rFonts w:ascii="Arial" w:hAnsi="Arial"/>
          <w:color w:val="000000"/>
        </w:rPr>
        <w:t>Select an available appliance timezone and choose Save timezone. NTP synchronizes the clock independently of the timezone used for local display.</w:t>
      </w:r>
    </w:p>
    <w:p>
      <w:pPr>
        <w:pStyle w:val="Heading2"/>
      </w:pPr>
      <w:r>
        <w:t>Management network DNS and time</w:t>
      </w:r>
    </w:p>
    <w:p>
      <w:pPr>
        <w:pStyle w:val="ListBullet"/>
      </w:pPr>
      <w:r>
        <w:rPr>
          <w:rFonts w:ascii="Arial" w:hAnsi="Arial"/>
          <w:color w:val="000000"/>
        </w:rPr>
        <w:t>Choose DHCP or Static address. Static mode requires a usable IPv4 address, prefix 1 through 30, an on-subnet gateway distinct from the host address, and at least one DNS server.</w:t>
      </w:r>
    </w:p>
    <w:p>
      <w:pPr>
        <w:pStyle w:val="ListBullet"/>
      </w:pPr>
      <w:r>
        <w:rPr>
          <w:rFonts w:ascii="Arial" w:hAnsi="Arial"/>
          <w:color w:val="000000"/>
        </w:rPr>
        <w:t>Provide up to three DNS server IPv4 addresses and up to five NTP hostnames or addresses.</w:t>
      </w:r>
    </w:p>
    <w:p>
      <w:pPr>
        <w:pStyle w:val="ListBullet"/>
      </w:pPr>
      <w:r>
        <w:rPr>
          <w:rFonts w:ascii="Arial" w:hAnsi="Arial"/>
          <w:color w:val="000000"/>
        </w:rPr>
        <w:t>Acknowledge that the management session can be interrupted, then apply the configuration.</w:t>
      </w:r>
    </w:p>
    <w:p>
      <w:pPr>
        <w:pStyle w:val="ListBullet"/>
      </w:pPr>
      <w:r>
        <w:rPr>
          <w:rFonts w:ascii="Arial" w:hAnsi="Arial"/>
          <w:color w:val="000000"/>
        </w:rPr>
        <w:t>Reconnect using the new address or DNS name and confirm within two minutes. If confirmation is not received, the appliance restores the previous network and firewall configuration.</w:t>
      </w:r>
    </w:p>
    <w:p>
      <w:r>
        <w:rPr>
          <w:rFonts w:ascii="Arial" w:hAnsi="Arial"/>
          <w:color w:val="000000"/>
        </w:rPr>
        <w:t>Do not restart or shut down the appliance while a network confirmation is pending. If reconnecting fails, wait for automatic rollback, then return to the prior address.</w:t>
      </w:r>
    </w:p>
    <w:p>
      <w:pPr>
        <w:pStyle w:val="Heading1"/>
      </w:pPr>
      <w:r>
        <w:t>5 Admin user management</w:t>
      </w:r>
    </w:p>
    <w:p>
      <w:r>
        <w:rPr>
          <w:rFonts w:ascii="Arial" w:hAnsi="Arial"/>
          <w:color w:val="000000"/>
        </w:rPr>
        <w:t>Open Admin user management from the account menu. Refresh users before making changes so actions use the current account state. Viewer, Operator, and Administrator roles are enforced by the backend; role changes revoke affected sessions.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448"/>
            <w:shd w:fill="33333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pPr>
            <w:r>
              <w:rPr>
                <w:rFonts w:ascii="Arial" w:hAnsi="Arial"/>
                <w:b/>
                <w:color w:val="FFFFFF"/>
                <w:sz w:val="18"/>
              </w:rPr>
              <w:t>Operation</w:t>
            </w:r>
          </w:p>
        </w:tc>
        <w:tc>
          <w:tcPr>
            <w:tcW w:type="dxa" w:w="7344"/>
            <w:shd w:fill="33333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pPr>
            <w:r>
              <w:rPr>
                <w:rFonts w:ascii="Arial" w:hAnsi="Arial"/>
                <w:b/>
                <w:color w:val="FFFFFF"/>
                <w:sz w:val="18"/>
              </w:rPr>
              <w:t>Behavior</w:t>
            </w:r>
          </w:p>
        </w:tc>
      </w:tr>
      <w:tr>
        <w:trPr>
          <w:cantSplit/>
        </w:trPr>
        <w:tc>
          <w:tcPr>
            <w:tcW w:type="dxa" w:w="244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pPr>
            <w:r>
              <w:rPr>
                <w:rFonts w:ascii="Arial" w:hAnsi="Arial"/>
                <w:color w:val="000000"/>
                <w:sz w:val="18"/>
              </w:rPr>
              <w:t>Create account</w:t>
            </w:r>
          </w:p>
        </w:tc>
        <w:tc>
          <w:tcPr>
            <w:tcW w:type="dxa" w:w="73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pPr>
            <w:r>
              <w:rPr>
                <w:rFonts w:ascii="Arial" w:hAnsi="Arial"/>
                <w:color w:val="000000"/>
                <w:sz w:val="18"/>
              </w:rPr>
              <w:t>Creates an enabled local Viewer, Operator, or Administrator after password-policy validation. Up to 32 accounts are supported.</w:t>
            </w:r>
          </w:p>
        </w:tc>
      </w:tr>
      <w:tr>
        <w:trPr>
          <w:cantSplit/>
        </w:trPr>
        <w:tc>
          <w:tcPr>
            <w:tcW w:type="dxa" w:w="2448"/>
            <w:shd w:fill="F2F2F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pPr>
            <w:r>
              <w:rPr>
                <w:rFonts w:ascii="Arial" w:hAnsi="Arial"/>
                <w:color w:val="000000"/>
                <w:sz w:val="18"/>
              </w:rPr>
              <w:t>Reset password</w:t>
            </w:r>
          </w:p>
        </w:tc>
        <w:tc>
          <w:tcPr>
            <w:tcW w:type="dxa" w:w="7344"/>
            <w:shd w:fill="F2F2F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pPr>
            <w:r>
              <w:rPr>
                <w:rFonts w:ascii="Arial" w:hAnsi="Arial"/>
                <w:color w:val="000000"/>
                <w:sz w:val="18"/>
              </w:rPr>
              <w:t>Replaces the selected account password and invalidates affected sessions.</w:t>
            </w:r>
          </w:p>
        </w:tc>
      </w:tr>
      <w:tr>
        <w:trPr>
          <w:cantSplit/>
        </w:trPr>
        <w:tc>
          <w:tcPr>
            <w:tcW w:type="dxa" w:w="244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pPr>
            <w:r>
              <w:rPr>
                <w:rFonts w:ascii="Arial" w:hAnsi="Arial"/>
                <w:color w:val="000000"/>
                <w:sz w:val="18"/>
              </w:rPr>
              <w:t>Disable or enable</w:t>
            </w:r>
          </w:p>
        </w:tc>
        <w:tc>
          <w:tcPr>
            <w:tcW w:type="dxa" w:w="73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pPr>
            <w:r>
              <w:rPr>
                <w:rFonts w:ascii="Arial" w:hAnsi="Arial"/>
                <w:color w:val="000000"/>
                <w:sz w:val="18"/>
              </w:rPr>
              <w:t>Changes sign-in eligibility. The current administrator cannot disable itself.</w:t>
            </w:r>
          </w:p>
        </w:tc>
      </w:tr>
      <w:tr>
        <w:trPr>
          <w:cantSplit/>
        </w:trPr>
        <w:tc>
          <w:tcPr>
            <w:tcW w:type="dxa" w:w="2448"/>
            <w:shd w:fill="F2F2F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pPr>
            <w:r>
              <w:rPr>
                <w:rFonts w:ascii="Arial" w:hAnsi="Arial"/>
                <w:color w:val="000000"/>
                <w:sz w:val="18"/>
              </w:rPr>
              <w:t>Remove</w:t>
            </w:r>
          </w:p>
        </w:tc>
        <w:tc>
          <w:tcPr>
            <w:tcW w:type="dxa" w:w="7344"/>
            <w:shd w:fill="F2F2F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pPr>
            <w:r>
              <w:rPr>
                <w:rFonts w:ascii="Arial" w:hAnsi="Arial"/>
                <w:color w:val="000000"/>
                <w:sz w:val="18"/>
              </w:rPr>
              <w:t>Deletes the selected GUI account. The current administrator cannot remove itself, and one enabled administrator must remain.</w:t>
            </w:r>
          </w:p>
        </w:tc>
      </w:tr>
      <w:tr>
        <w:trPr>
          <w:cantSplit/>
        </w:trPr>
        <w:tc>
          <w:tcPr>
            <w:tcW w:type="dxa" w:w="244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pPr>
            <w:r>
              <w:rPr>
                <w:rFonts w:ascii="Arial" w:hAnsi="Arial"/>
                <w:color w:val="000000"/>
                <w:sz w:val="18"/>
              </w:rPr>
              <w:t>Change my password</w:t>
            </w:r>
          </w:p>
        </w:tc>
        <w:tc>
          <w:tcPr>
            <w:tcW w:type="dxa" w:w="73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pPr>
            <w:r>
              <w:rPr>
                <w:rFonts w:ascii="Arial" w:hAnsi="Arial"/>
                <w:color w:val="000000"/>
                <w:sz w:val="18"/>
              </w:rPr>
              <w:t>Changes the current account password and signs out its active sessions.</w:t>
            </w:r>
          </w:p>
        </w:tc>
      </w:tr>
      <w:tr>
        <w:trPr>
          <w:cantSplit/>
        </w:trPr>
        <w:tc>
          <w:tcPr>
            <w:tcW w:type="dxa" w:w="2448"/>
            <w:shd w:fill="F2F2F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pPr>
            <w:r>
              <w:rPr>
                <w:rFonts w:ascii="Arial" w:hAnsi="Arial"/>
                <w:color w:val="000000"/>
                <w:sz w:val="18"/>
              </w:rPr>
              <w:t>Session and password policy</w:t>
            </w:r>
          </w:p>
        </w:tc>
        <w:tc>
          <w:tcPr>
            <w:tcW w:type="dxa" w:w="7344"/>
            <w:shd w:fill="F2F2F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pPr>
            <w:r>
              <w:rPr>
                <w:rFonts w:ascii="Arial" w:hAnsi="Arial"/>
                <w:color w:val="000000"/>
                <w:sz w:val="18"/>
              </w:rPr>
              <w:t>Sets a 15 to 480 minute absolute session timeout, a 15 to 128 character minimum password length, and optional complexity rules.</w:t>
            </w:r>
          </w:p>
        </w:tc>
      </w:tr>
    </w:tbl>
    <w:p>
      <w:pPr>
        <w:spacing w:after="20"/>
      </w:pPr>
    </w:p>
    <w:p>
      <w:r>
        <w:rPr>
          <w:rFonts w:ascii="Arial" w:hAnsi="Arial"/>
          <w:color w:val="000000"/>
        </w:rPr>
        <w:t>Sessions also expire after no more than 15 minutes of inactivity. Policy changes apply to passwords created or changed after the policy is saved; existing password hashes remain valid until changed.</w:t>
      </w:r>
    </w:p>
    <w:p>
      <w:pPr>
        <w:pStyle w:val="ListBullet"/>
      </w:pPr>
      <w:r>
        <w:rPr>
          <w:rFonts w:ascii="Arial" w:hAnsi="Arial"/>
          <w:color w:val="000000"/>
        </w:rPr>
        <w:t>Maintain at least two named enabled administrators so one account can recover the other through the GUI.</w:t>
      </w:r>
    </w:p>
    <w:p>
      <w:pPr>
        <w:pStyle w:val="ListBullet"/>
      </w:pPr>
      <w:r>
        <w:rPr>
          <w:rFonts w:ascii="Arial" w:hAnsi="Arial"/>
          <w:color w:val="000000"/>
        </w:rPr>
        <w:t>Keep Do not allow the username inside the password enabled unless an approved exception exists.</w:t>
      </w:r>
    </w:p>
    <w:p>
      <w:pPr>
        <w:pStyle w:val="ListBullet"/>
      </w:pPr>
      <w:r>
        <w:rPr>
          <w:rFonts w:ascii="Arial" w:hAnsi="Arial"/>
          <w:color w:val="000000"/>
        </w:rPr>
        <w:t>Use the VMware console recovery procedure when no working web administrator remains. Do not change OVF properties as a password-reset method.</w:t>
      </w:r>
    </w:p>
    <w:p>
      <w:pPr>
        <w:pStyle w:val="Heading1"/>
      </w:pPr>
      <w:r>
        <w:t>6 SFTP backup administration</w:t>
      </w:r>
    </w:p>
    <w:p>
      <w:r>
        <w:rPr>
          <w:rFonts w:ascii="Arial" w:hAnsi="Arial"/>
          <w:color w:val="000000"/>
        </w:rPr>
        <w:t>The appliance exposes TCP 22 only through the isolated SFTP container and only to approved backup-client CIDRs. It does not expose host SSH.</w:t>
      </w:r>
    </w:p>
    <w:p>
      <w:pPr>
        <w:pStyle w:val="Heading2"/>
      </w:pPr>
      <w:r>
        <w:t>Client accounts and quotas</w:t>
      </w:r>
    </w:p>
    <w:p>
      <w:pPr>
        <w:pStyle w:val="ListBullet"/>
      </w:pPr>
      <w:r>
        <w:rPr>
          <w:rFonts w:ascii="Arial" w:hAnsi="Arial"/>
          <w:color w:val="000000"/>
        </w:rPr>
        <w:t>Use a lower-case account name beginning with a letter and containing only lower-case letters, numbers, underscores, or hyphens. The maximum length is 31 characters.</w:t>
      </w:r>
    </w:p>
    <w:p>
      <w:pPr>
        <w:pStyle w:val="ListBullet"/>
      </w:pPr>
      <w:r>
        <w:rPr>
          <w:rFonts w:ascii="Arial" w:hAnsi="Arial"/>
          <w:color w:val="000000"/>
        </w:rPr>
        <w:t>Assign a client-specific quota in MiB. The service verifies the Linux filesystem quota before saving the account.</w:t>
      </w:r>
    </w:p>
    <w:p>
      <w:pPr>
        <w:pStyle w:val="ListBullet"/>
      </w:pPr>
      <w:r>
        <w:rPr>
          <w:rFonts w:ascii="Arial" w:hAnsi="Arial"/>
          <w:color w:val="000000"/>
        </w:rPr>
        <w:t>Prefer one or more SSH public keys. If password authentication is enabled, provide a client-specific password that differs from GUI and recovery credentials.</w:t>
      </w:r>
    </w:p>
    <w:p>
      <w:pPr>
        <w:pStyle w:val="ListBullet"/>
      </w:pPr>
      <w:r>
        <w:rPr>
          <w:rFonts w:ascii="Arial" w:hAnsi="Arial"/>
          <w:color w:val="000000"/>
        </w:rPr>
        <w:t>Generate or enter an SFTP password, then use Show password or Copy password before saving. The interface never redisplays a saved password; rotate it when the original value was not recorded.</w:t>
      </w:r>
    </w:p>
    <w:p>
      <w:pPr>
        <w:pStyle w:val="ListBullet"/>
      </w:pPr>
      <w:r>
        <w:rPr>
          <w:rFonts w:ascii="Arial" w:hAnsi="Arial"/>
          <w:color w:val="000000"/>
        </w:rPr>
        <w:t>Use the controls beneath the ENABLED or DISABLED status label on each account card. Disable blocks future access without deleting files. Remove is available only for a disabled account and preserves its backup directory and files.</w:t>
      </w:r>
    </w:p>
    <w:p>
      <w:pPr>
        <w:pStyle w:val="ListBullet"/>
      </w:pPr>
      <w:r>
        <w:rPr>
          <w:rFonts w:ascii="Arial" w:hAnsi="Arial"/>
          <w:color w:val="000000"/>
        </w:rPr>
        <w:t>Saving an account briefly stops SFTP while authentication and quota state are changed.</w:t>
      </w:r>
    </w:p>
    <w:p>
      <w:pPr>
        <w:pStyle w:val="ListBullet"/>
      </w:pPr>
      <w:r>
        <w:rPr>
          <w:rFonts w:ascii="Arial" w:hAnsi="Arial"/>
          <w:color w:val="000000"/>
        </w:rPr>
        <w:t>If an interrupted account transaction is reported, review the intended values and use Resume pending account change. The transaction is bound to the original SFTP volume.</w:t>
      </w:r>
    </w:p>
    <w:p>
      <w:r>
        <w:rPr>
          <w:rFonts w:ascii="Arial" w:hAnsi="Arial"/>
          <w:color w:val="000000"/>
        </w:rPr>
        <w:t>Each client is chrooted to its own root-owned directory and writes under its backup child directory. The GUI does not provide a data-delete operation.</w:t>
      </w:r>
    </w:p>
    <w:p>
      <w:pPr>
        <w:pStyle w:val="Heading2"/>
      </w:pPr>
      <w:r>
        <w:t>Service lifecycle and logs</w:t>
      </w:r>
    </w:p>
    <w:p>
      <w:r>
        <w:rPr>
          <w:rFonts w:ascii="Arial" w:hAnsi="Arial"/>
          <w:color w:val="000000"/>
        </w:rPr>
        <w:t>Start, Stop, and Restart use a browser confirmation. The backend verifies the operation token and current service state. Lifecycle operations change availability but do not delete client data. Show SFTP service log returns a bounded, redacted recent log.</w:t>
      </w:r>
    </w:p>
    <w:p>
      <w:pPr>
        <w:pStyle w:val="Heading1"/>
        <w:pageBreakBefore/>
      </w:pPr>
      <w:r>
        <w:t>7 Harbor registry administration</w:t>
      </w:r>
    </w:p>
    <w:p>
      <w:r>
        <w:rPr>
          <w:rFonts w:ascii="Arial" w:hAnsi="Arial"/>
          <w:color w:val="000000"/>
        </w:rPr>
        <w:t>The Storage Harbor page is the normal administrative surface for the supported registry scope and reports aggregate appliance readiness.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448"/>
            <w:shd w:fill="33333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pPr>
            <w:r>
              <w:rPr>
                <w:rFonts w:ascii="Arial" w:hAnsi="Arial"/>
                <w:b/>
                <w:color w:val="FFFFFF"/>
                <w:sz w:val="18"/>
              </w:rPr>
              <w:t>Storage page area</w:t>
            </w:r>
          </w:p>
        </w:tc>
        <w:tc>
          <w:tcPr>
            <w:tcW w:type="dxa" w:w="7344"/>
            <w:shd w:fill="33333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pPr>
            <w:r>
              <w:rPr>
                <w:rFonts w:ascii="Arial" w:hAnsi="Arial"/>
                <w:b/>
                <w:color w:val="FFFFFF"/>
                <w:sz w:val="18"/>
              </w:rPr>
              <w:t>Meaning</w:t>
            </w:r>
          </w:p>
        </w:tc>
      </w:tr>
      <w:tr>
        <w:trPr>
          <w:cantSplit/>
        </w:trPr>
        <w:tc>
          <w:tcPr>
            <w:tcW w:type="dxa" w:w="244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pPr>
            <w:r>
              <w:rPr>
                <w:rFonts w:ascii="Arial" w:hAnsi="Arial"/>
                <w:color w:val="000000"/>
                <w:sz w:val="18"/>
              </w:rPr>
              <w:t>Registry readiness</w:t>
            </w:r>
          </w:p>
        </w:tc>
        <w:tc>
          <w:tcPr>
            <w:tcW w:type="dxa" w:w="73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pPr>
            <w:r>
              <w:rPr>
                <w:rFonts w:ascii="Arial" w:hAnsi="Arial"/>
                <w:color w:val="000000"/>
                <w:sz w:val="18"/>
              </w:rPr>
              <w:t>Systemd state, Harbor API health, component status, pinned 2.14.4 release, external endpoint, and protected loopback backend.</w:t>
            </w:r>
          </w:p>
        </w:tc>
      </w:tr>
      <w:tr>
        <w:trPr>
          <w:cantSplit/>
        </w:trPr>
        <w:tc>
          <w:tcPr>
            <w:tcW w:type="dxa" w:w="2448"/>
            <w:shd w:fill="F2F2F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pPr>
            <w:r>
              <w:rPr>
                <w:rFonts w:ascii="Arial" w:hAnsi="Arial"/>
                <w:color w:val="000000"/>
                <w:sz w:val="18"/>
              </w:rPr>
              <w:t>Registry storage</w:t>
            </w:r>
          </w:p>
        </w:tc>
        <w:tc>
          <w:tcPr>
            <w:tcW w:type="dxa" w:w="7344"/>
            <w:shd w:fill="F2F2F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pPr>
            <w:r>
              <w:rPr>
                <w:rFonts w:ascii="Arial" w:hAnsi="Arial"/>
                <w:color w:val="000000"/>
                <w:sz w:val="18"/>
              </w:rPr>
              <w:t>Dedicated /srv/storage/harbor mount, available capacity, usage, and capacity state.</w:t>
            </w:r>
          </w:p>
        </w:tc>
      </w:tr>
      <w:tr>
        <w:trPr>
          <w:cantSplit/>
        </w:trPr>
        <w:tc>
          <w:tcPr>
            <w:tcW w:type="dxa" w:w="244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pPr>
            <w:r>
              <w:rPr>
                <w:rFonts w:ascii="Arial" w:hAnsi="Arial"/>
                <w:color w:val="000000"/>
                <w:sz w:val="18"/>
              </w:rPr>
              <w:t>Service lifecycle</w:t>
            </w:r>
          </w:p>
        </w:tc>
        <w:tc>
          <w:tcPr>
            <w:tcW w:type="dxa" w:w="73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pPr>
            <w:r>
              <w:rPr>
                <w:rFonts w:ascii="Arial" w:hAnsi="Arial"/>
                <w:color w:val="000000"/>
                <w:sz w:val="18"/>
              </w:rPr>
              <w:t>Confirmed Start, Stop, and Restart operations. Stored images, projects, and configuration are retained.</w:t>
            </w:r>
          </w:p>
        </w:tc>
      </w:tr>
      <w:tr>
        <w:trPr>
          <w:cantSplit/>
        </w:trPr>
        <w:tc>
          <w:tcPr>
            <w:tcW w:type="dxa" w:w="2448"/>
            <w:shd w:fill="F2F2F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pPr>
            <w:r>
              <w:rPr>
                <w:rFonts w:ascii="Arial" w:hAnsi="Arial"/>
                <w:color w:val="000000"/>
                <w:sz w:val="18"/>
              </w:rPr>
              <w:t>Harbor administration</w:t>
            </w:r>
          </w:p>
        </w:tc>
        <w:tc>
          <w:tcPr>
            <w:tcW w:type="dxa" w:w="7344"/>
            <w:shd w:fill="F2F2F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pPr>
            <w:r>
              <w:rPr>
                <w:rFonts w:ascii="Arial" w:hAnsi="Arial"/>
                <w:color w:val="000000"/>
                <w:sz w:val="18"/>
              </w:rPr>
              <w:t>Appliance-managed private projects, quotas, repository and artifact inventory, members, and scoped robot accounts.</w:t>
            </w:r>
          </w:p>
        </w:tc>
      </w:tr>
      <w:tr>
        <w:trPr>
          <w:cantSplit/>
        </w:trPr>
        <w:tc>
          <w:tcPr>
            <w:tcW w:type="dxa" w:w="244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pPr>
            <w:r>
              <w:rPr>
                <w:rFonts w:ascii="Arial" w:hAnsi="Arial"/>
                <w:color w:val="000000"/>
                <w:sz w:val="18"/>
              </w:rPr>
              <w:t>Recent service log</w:t>
            </w:r>
          </w:p>
        </w:tc>
        <w:tc>
          <w:tcPr>
            <w:tcW w:type="dxa" w:w="73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pPr>
            <w:r>
              <w:rPr>
                <w:rFonts w:ascii="Arial" w:hAnsi="Arial"/>
                <w:color w:val="000000"/>
                <w:sz w:val="18"/>
              </w:rPr>
              <w:t>Bounded, redacted appliance-managed Harbor events.</w:t>
            </w:r>
          </w:p>
        </w:tc>
      </w:tr>
    </w:tbl>
    <w:p>
      <w:pPr>
        <w:spacing w:after="20"/>
      </w:pPr>
    </w:p>
    <w:p>
      <w:pPr>
        <w:pStyle w:val="ListBullet"/>
      </w:pPr>
      <w:r>
        <w:rPr>
          <w:rFonts w:ascii="Arial" w:hAnsi="Arial"/>
          <w:color w:val="000000"/>
        </w:rPr>
        <w:t>Use scoped robot accounts for automation clients such as Lab Builder. Avoid using the built-in Harbor administrator for routine image operations.</w:t>
      </w:r>
    </w:p>
    <w:p>
      <w:pPr>
        <w:pStyle w:val="ListBullet"/>
      </w:pPr>
      <w:r>
        <w:rPr>
          <w:rFonts w:ascii="Arial" w:hAnsi="Arial"/>
          <w:color w:val="000000"/>
        </w:rPr>
        <w:t>Verify authenticated push and pull after account, certificate, proxy, retention, or replication changes.</w:t>
      </w:r>
    </w:p>
    <w:p>
      <w:pPr>
        <w:pStyle w:val="ListBullet"/>
      </w:pPr>
      <w:r>
        <w:rPr>
          <w:rFonts w:ascii="Arial" w:hAnsi="Arial"/>
          <w:color w:val="000000"/>
        </w:rPr>
        <w:t>The Harbor backend listens only on 127.0.0.1:8082. Clients must use the configured Harbor FQDN on HTTPS 443.</w:t>
      </w:r>
    </w:p>
    <w:p>
      <w:pPr>
        <w:pStyle w:val="ListBullet"/>
      </w:pPr>
      <w:r>
        <w:rPr>
          <w:rFonts w:ascii="Arial" w:hAnsi="Arial"/>
          <w:color w:val="000000"/>
        </w:rPr>
        <w:t>Offline vulnerability-database refresh and scanner operation are outside the GA 1.1 supported scope. Do not represent scan freshness as healthy until that workflow is separately approved and qualified.</w:t>
      </w:r>
    </w:p>
    <w:p>
      <w:pPr>
        <w:pStyle w:val="Heading1"/>
      </w:pPr>
      <w:r>
        <w:t>8 Content library administration</w:t>
      </w:r>
    </w:p>
    <w:p>
      <w:r>
        <w:rPr>
          <w:rFonts w:ascii="Arial" w:hAnsi="Arial"/>
          <w:color w:val="000000"/>
        </w:rPr>
        <w:t>The publisher serves a third-party subscribed library at https://&lt;library-fqdn&gt;/lib.json. vCenter owns the subscribed library and its backing datastore; the appliance does not require stored vCenter credentials.</w:t>
      </w:r>
    </w:p>
    <w:p>
      <w:pPr>
        <w:pStyle w:val="Heading2"/>
      </w:pPr>
      <w:r>
        <w:t>Reader credential</w:t>
      </w:r>
    </w:p>
    <w:p>
      <w:pPr>
        <w:pStyle w:val="ListBullet"/>
      </w:pPr>
      <w:r>
        <w:rPr>
          <w:rFonts w:ascii="Arial" w:hAnsi="Arial"/>
          <w:color w:val="000000"/>
        </w:rPr>
        <w:t>Choose Show one-time reader credential after initialization and store the vcsp username and generated password immediately. The password cannot be displayed again.</w:t>
      </w:r>
    </w:p>
    <w:p>
      <w:pPr>
        <w:pStyle w:val="ListBullet"/>
      </w:pPr>
      <w:r>
        <w:rPr>
          <w:rFonts w:ascii="Arial" w:hAnsi="Arial"/>
          <w:color w:val="000000"/>
        </w:rPr>
        <w:t>Rotate reader credential when it is exposed or scheduled for rotation. Existing vCenter subscriptions stop synchronizing until their stored credential is updated.</w:t>
      </w:r>
    </w:p>
    <w:p>
      <w:pPr>
        <w:pStyle w:val="ListBullet"/>
      </w:pPr>
      <w:r>
        <w:rPr>
          <w:rFonts w:ascii="Arial" w:hAnsi="Arial"/>
          <w:color w:val="000000"/>
        </w:rPr>
        <w:t>Anonymous publication is denied.</w:t>
      </w:r>
    </w:p>
    <w:p>
      <w:pPr>
        <w:pStyle w:val="Heading2"/>
      </w:pPr>
      <w:r>
        <w:t>Publish or update an item</w:t>
      </w:r>
    </w:p>
    <w:p>
      <w:pPr>
        <w:pStyle w:val="ListBullet"/>
      </w:pPr>
      <w:r>
        <w:rPr>
          <w:rFonts w:ascii="Arial" w:hAnsi="Arial"/>
          <w:color w:val="000000"/>
        </w:rPr>
        <w:t>Enter a stable item key containing 1 to 128 letters, numbers, periods, underscores, or hyphens. The first character must be a letter or number.</w:t>
      </w:r>
    </w:p>
    <w:p>
      <w:pPr>
        <w:pStyle w:val="ListBullet"/>
      </w:pPr>
      <w:r>
        <w:rPr>
          <w:rFonts w:ascii="Arial" w:hAnsi="Arial"/>
          <w:color w:val="000000"/>
        </w:rPr>
        <w:t>Use the same item key to publish a new revision of an existing catalog item. Use a new key for a distinct item.</w:t>
      </w:r>
    </w:p>
    <w:p>
      <w:pPr>
        <w:pStyle w:val="ListBullet"/>
      </w:pPr>
      <w:r>
        <w:rPr>
          <w:rFonts w:ascii="Arial" w:hAnsi="Arial"/>
          <w:color w:val="000000"/>
        </w:rPr>
        <w:t>Enter a display name, select ISO or OVF/OVA, choose the file, and enter the current catalog revision.</w:t>
      </w:r>
    </w:p>
    <w:p>
      <w:pPr>
        <w:pStyle w:val="ListBullet"/>
      </w:pPr>
      <w:r>
        <w:rPr>
          <w:rFonts w:ascii="Arial" w:hAnsi="Arial"/>
          <w:color w:val="000000"/>
        </w:rPr>
        <w:t>Choose Upload and publish, then review the browser confirmation naming the display name and item key. Cancel makes no catalog change.</w:t>
      </w:r>
    </w:p>
    <w:p>
      <w:pPr>
        <w:pStyle w:val="ListBullet"/>
      </w:pPr>
      <w:r>
        <w:rPr>
          <w:rFonts w:ascii="Arial" w:hAnsi="Arial"/>
          <w:color w:val="000000"/>
        </w:rPr>
        <w:t>After publication, record the returned catalog revision and refresh or synchronize the subscribed library in vCenter.</w:t>
      </w:r>
    </w:p>
    <w:p>
      <w:r>
        <w:rPr>
          <w:rFonts w:ascii="Arial" w:hAnsi="Arial"/>
          <w:color w:val="000000"/>
        </w:rPr>
        <w:t>OVA uploads are safely expanded into OVF content. The publisher rejects unsafe archive paths and non-regular members, validates metadata, and publishes a new immutable generation by atomic pointer change.</w:t>
      </w:r>
    </w:p>
    <w:p>
      <w:r>
        <w:rPr>
          <w:rFonts w:ascii="Arial" w:hAnsi="Arial"/>
          <w:color w:val="000000"/>
        </w:rPr>
        <w:t>Published content lists the current catalog and files. Validate an item to inspect its metadata and checksums. Rebuild publisher metadata only after the underlying catalog and files pass integrity checks; rebuilding does not change the catalog revision or published files.</w:t>
      </w:r>
    </w:p>
    <w:p>
      <w:pPr>
        <w:pStyle w:val="Heading1"/>
      </w:pPr>
      <w:r>
        <w:t>9 HTTPS certificate lifecycle</w:t>
      </w:r>
    </w:p>
    <w:p>
      <w:r>
        <w:rPr>
          <w:rFonts w:ascii="Arial" w:hAnsi="Arial"/>
          <w:color w:val="000000"/>
        </w:rPr>
        <w:t>Use HTTPS Certificate to replace an expiring or untrusted appliance certificate. Generate the CSR on the appliance so its private key never leaves the VM.</w:t>
      </w:r>
    </w:p>
    <w:p>
      <w:pPr>
        <w:pStyle w:val="ListBullet"/>
      </w:pPr>
      <w:r>
        <w:rPr>
          <w:rFonts w:ascii="Arial" w:hAnsi="Arial"/>
          <w:color w:val="000000"/>
        </w:rPr>
        <w:t>Confirm DNS records and the intended appliance, Harbor, and content-library names before generating the CSR.</w:t>
      </w:r>
    </w:p>
    <w:p>
      <w:pPr>
        <w:pStyle w:val="ListBullet"/>
      </w:pPr>
      <w:r>
        <w:rPr>
          <w:rFonts w:ascii="Arial" w:hAnsi="Arial"/>
          <w:color w:val="000000"/>
        </w:rPr>
        <w:t>Have the approved CA issue a server-authentication certificate for every requested DNS name.</w:t>
      </w:r>
    </w:p>
    <w:p>
      <w:pPr>
        <w:pStyle w:val="ListBullet"/>
      </w:pPr>
      <w:r>
        <w:rPr>
          <w:rFonts w:ascii="Arial" w:hAnsi="Arial"/>
          <w:color w:val="000000"/>
        </w:rPr>
        <w:t>Preview PEM, DER, or PKCS#7 certificate files before import. Never paste a private key into the browser.</w:t>
      </w:r>
    </w:p>
    <w:p>
      <w:pPr>
        <w:pStyle w:val="ListBullet"/>
      </w:pPr>
      <w:r>
        <w:rPr>
          <w:rFonts w:ascii="Arial" w:hAnsi="Arial"/>
          <w:color w:val="000000"/>
        </w:rPr>
        <w:t>The appliance verifies hostname coverage, chain trust, private-key match, remaining validity, Nginx configuration, and the live gateway certificate before committing the replacement.</w:t>
      </w:r>
    </w:p>
    <w:p>
      <w:pPr>
        <w:pStyle w:val="ListBullet"/>
      </w:pPr>
      <w:r>
        <w:rPr>
          <w:rFonts w:ascii="Arial" w:hAnsi="Arial"/>
          <w:color w:val="000000"/>
        </w:rPr>
        <w:t>After import, test /admin/, Harbor authentication, and content-library synchronization from clients that use the approved trust chain.</w:t>
      </w:r>
    </w:p>
    <w:p>
      <w:pPr>
        <w:pStyle w:val="Heading1"/>
      </w:pPr>
      <w:r>
        <w:t>10 Appliance updates</w:t>
      </w:r>
    </w:p>
    <w:p>
      <w:r>
        <w:rPr>
          <w:rFonts w:ascii="Arial" w:hAnsi="Arial"/>
          <w:color w:val="000000"/>
        </w:rPr>
        <w:t>Open Appliance updates from the account menu. The update mechanism replaces approved application software paths only. It preserves identity, networking, certificates, accounts, setup state, and service data.</w:t>
      </w:r>
    </w:p>
    <w:p>
      <w:pPr>
        <w:pStyle w:val="Heading2"/>
      </w:pPr>
      <w:r>
        <w:t>Establish release trust</w:t>
      </w:r>
    </w:p>
    <w:p>
      <w:pPr>
        <w:pStyle w:val="ListBullet"/>
      </w:pPr>
      <w:r>
        <w:rPr>
          <w:rFonts w:ascii="Arial" w:hAnsi="Arial"/>
          <w:color w:val="000000"/>
        </w:rPr>
        <w:t>Obtain the approved Storage release public key and its SHA-256 fingerprint through separate trusted channels.</w:t>
      </w:r>
    </w:p>
    <w:p>
      <w:pPr>
        <w:pStyle w:val="ListBullet"/>
      </w:pPr>
      <w:r>
        <w:rPr>
          <w:rFonts w:ascii="Arial" w:hAnsi="Arial"/>
          <w:color w:val="000000"/>
        </w:rPr>
        <w:t>Upload the public key, enter the independently verified fingerprint, acknowledge the publisher, and install the trust key.</w:t>
      </w:r>
    </w:p>
    <w:p>
      <w:pPr>
        <w:pStyle w:val="ListBullet"/>
      </w:pPr>
      <w:r>
        <w:rPr>
          <w:rFonts w:ascii="Arial" w:hAnsi="Arial"/>
          <w:color w:val="000000"/>
        </w:rPr>
        <w:t>Key rotation is not a routine GUI action and requires a separate approved maintenance procedure.</w:t>
      </w:r>
    </w:p>
    <w:p>
      <w:pPr>
        <w:pStyle w:val="Heading2"/>
      </w:pPr>
      <w:r>
        <w:t>Stage and apply software</w:t>
      </w:r>
    </w:p>
    <w:p>
      <w:pPr>
        <w:pStyle w:val="ListBullet"/>
      </w:pPr>
      <w:r>
        <w:rPr>
          <w:rFonts w:ascii="Arial" w:hAnsi="Arial"/>
          <w:color w:val="000000"/>
        </w:rPr>
        <w:t>Upload a signed Storage software package no larger than 32 MiB. Uploading validates and stages the package; it does not install it.</w:t>
      </w:r>
    </w:p>
    <w:p>
      <w:pPr>
        <w:pStyle w:val="ListBullet"/>
      </w:pPr>
      <w:r>
        <w:rPr>
          <w:rFonts w:ascii="Arial" w:hAnsi="Arial"/>
          <w:color w:val="000000"/>
        </w:rPr>
        <w:t>Review the target version, increasing release sequence, source-version compatibility, signature, manifest, checksums, and file scope reported by the page.</w:t>
      </w:r>
    </w:p>
    <w:p>
      <w:pPr>
        <w:pStyle w:val="ListBullet"/>
      </w:pPr>
      <w:r>
        <w:rPr>
          <w:rFonts w:ascii="Arial" w:hAnsi="Arial"/>
          <w:color w:val="000000"/>
        </w:rPr>
        <w:t>Type APPLY to queue installation. Management briefly restarts while a fixed system service replaces the validated application files and performs a health check.</w:t>
      </w:r>
    </w:p>
    <w:p>
      <w:pPr>
        <w:pStyle w:val="ListBullet"/>
      </w:pPr>
      <w:r>
        <w:rPr>
          <w:rFonts w:ascii="Arial" w:hAnsi="Arial"/>
          <w:color w:val="000000"/>
        </w:rPr>
        <w:t>Refresh status after reconnecting. A failed health check automatically restores the previous application software when recovery succeeds.</w:t>
      </w:r>
    </w:p>
    <w:p>
      <w:pPr>
        <w:pStyle w:val="Heading2"/>
      </w:pPr>
      <w:r>
        <w:t>Rollback</w:t>
      </w:r>
    </w:p>
    <w:p>
      <w:r>
        <w:rPr>
          <w:rFonts w:ascii="Arial" w:hAnsi="Arial"/>
          <w:color w:val="000000"/>
        </w:rPr>
        <w:t>The appliance retains one previous application release. Type ROLLBACK only when that release is displayed and the reason is understood. Rollback does not restore SFTP data, Harbor data, published content, certificates, accounts, or configuration.</w:t>
      </w:r>
    </w:p>
    <w:p>
      <w:pPr>
        <w:pStyle w:val="Heading1"/>
      </w:pPr>
      <w:r>
        <w:t>11 Capacity and service storage</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088"/>
            <w:shd w:fill="33333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pPr>
            <w:r>
              <w:rPr>
                <w:rFonts w:ascii="Arial" w:hAnsi="Arial"/>
                <w:b/>
                <w:color w:val="FFFFFF"/>
                <w:sz w:val="18"/>
              </w:rPr>
              <w:t>Usage</w:t>
            </w:r>
          </w:p>
        </w:tc>
        <w:tc>
          <w:tcPr>
            <w:tcW w:type="dxa" w:w="1800"/>
            <w:shd w:fill="33333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pPr>
            <w:r>
              <w:rPr>
                <w:rFonts w:ascii="Arial" w:hAnsi="Arial"/>
                <w:b/>
                <w:color w:val="FFFFFF"/>
                <w:sz w:val="18"/>
              </w:rPr>
              <w:t>State</w:t>
            </w:r>
          </w:p>
        </w:tc>
        <w:tc>
          <w:tcPr>
            <w:tcW w:type="dxa" w:w="5904"/>
            <w:shd w:fill="33333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pPr>
            <w:r>
              <w:rPr>
                <w:rFonts w:ascii="Arial" w:hAnsi="Arial"/>
                <w:b/>
                <w:color w:val="FFFFFF"/>
                <w:sz w:val="18"/>
              </w:rPr>
              <w:t>Required action</w:t>
            </w:r>
          </w:p>
        </w:tc>
      </w:tr>
      <w:tr>
        <w:trPr>
          <w:cantSplit/>
        </w:trPr>
        <w:tc>
          <w:tcPr>
            <w:tcW w:type="dxa" w:w="208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pPr>
            <w:r>
              <w:rPr>
                <w:rFonts w:ascii="Arial" w:hAnsi="Arial"/>
                <w:color w:val="000000"/>
                <w:sz w:val="18"/>
              </w:rPr>
              <w:t>Below 70 percent</w:t>
            </w:r>
          </w:p>
        </w:tc>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pPr>
            <w:r>
              <w:rPr>
                <w:rFonts w:ascii="Arial" w:hAnsi="Arial"/>
                <w:color w:val="000000"/>
                <w:sz w:val="18"/>
              </w:rPr>
              <w:t>Normal</w:t>
            </w:r>
          </w:p>
        </w:tc>
        <w:tc>
          <w:tcPr>
            <w:tcW w:type="dxa" w:w="590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pPr>
            <w:r>
              <w:rPr>
                <w:rFonts w:ascii="Arial" w:hAnsi="Arial"/>
                <w:color w:val="000000"/>
                <w:sz w:val="18"/>
              </w:rPr>
              <w:t>Continue routine monitoring.</w:t>
            </w:r>
          </w:p>
        </w:tc>
      </w:tr>
      <w:tr>
        <w:trPr>
          <w:cantSplit/>
        </w:trPr>
        <w:tc>
          <w:tcPr>
            <w:tcW w:type="dxa" w:w="2088"/>
            <w:shd w:fill="F2F2F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pPr>
            <w:r>
              <w:rPr>
                <w:rFonts w:ascii="Arial" w:hAnsi="Arial"/>
                <w:color w:val="000000"/>
                <w:sz w:val="18"/>
              </w:rPr>
              <w:t>70 percent or higher</w:t>
            </w:r>
          </w:p>
        </w:tc>
        <w:tc>
          <w:tcPr>
            <w:tcW w:type="dxa" w:w="1800"/>
            <w:shd w:fill="F2F2F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pPr>
            <w:r>
              <w:rPr>
                <w:rFonts w:ascii="Arial" w:hAnsi="Arial"/>
                <w:color w:val="000000"/>
                <w:sz w:val="18"/>
              </w:rPr>
              <w:t>Warning</w:t>
            </w:r>
          </w:p>
        </w:tc>
        <w:tc>
          <w:tcPr>
            <w:tcW w:type="dxa" w:w="5904"/>
            <w:shd w:fill="F2F2F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pPr>
            <w:r>
              <w:rPr>
                <w:rFonts w:ascii="Arial" w:hAnsi="Arial"/>
                <w:color w:val="000000"/>
                <w:sz w:val="18"/>
              </w:rPr>
              <w:t>Review growth and reduce avoidable staging or retained content.</w:t>
            </w:r>
          </w:p>
        </w:tc>
      </w:tr>
      <w:tr>
        <w:trPr>
          <w:cantSplit/>
        </w:trPr>
        <w:tc>
          <w:tcPr>
            <w:tcW w:type="dxa" w:w="208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pPr>
            <w:r>
              <w:rPr>
                <w:rFonts w:ascii="Arial" w:hAnsi="Arial"/>
                <w:color w:val="000000"/>
                <w:sz w:val="18"/>
              </w:rPr>
              <w:t>85 percent or higher</w:t>
            </w:r>
          </w:p>
        </w:tc>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pPr>
            <w:r>
              <w:rPr>
                <w:rFonts w:ascii="Arial" w:hAnsi="Arial"/>
                <w:color w:val="000000"/>
                <w:sz w:val="18"/>
              </w:rPr>
              <w:t>Critical</w:t>
            </w:r>
          </w:p>
        </w:tc>
        <w:tc>
          <w:tcPr>
            <w:tcW w:type="dxa" w:w="590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pPr>
            <w:r>
              <w:rPr>
                <w:rFonts w:ascii="Arial" w:hAnsi="Arial"/>
                <w:color w:val="000000"/>
                <w:sz w:val="18"/>
              </w:rPr>
              <w:t>Plan immediate capacity relief and avoid nonessential large operations.</w:t>
            </w:r>
          </w:p>
        </w:tc>
      </w:tr>
      <w:tr>
        <w:trPr>
          <w:cantSplit/>
        </w:trPr>
        <w:tc>
          <w:tcPr>
            <w:tcW w:type="dxa" w:w="2088"/>
            <w:shd w:fill="F2F2F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pPr>
            <w:r>
              <w:rPr>
                <w:rFonts w:ascii="Arial" w:hAnsi="Arial"/>
                <w:color w:val="000000"/>
                <w:sz w:val="18"/>
              </w:rPr>
              <w:t>95 percent or higher</w:t>
            </w:r>
          </w:p>
        </w:tc>
        <w:tc>
          <w:tcPr>
            <w:tcW w:type="dxa" w:w="1800"/>
            <w:shd w:fill="F2F2F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pPr>
            <w:r>
              <w:rPr>
                <w:rFonts w:ascii="Arial" w:hAnsi="Arial"/>
                <w:color w:val="000000"/>
                <w:sz w:val="18"/>
              </w:rPr>
              <w:t>Block</w:t>
            </w:r>
          </w:p>
        </w:tc>
        <w:tc>
          <w:tcPr>
            <w:tcW w:type="dxa" w:w="5904"/>
            <w:shd w:fill="F2F2F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pPr>
            <w:r>
              <w:rPr>
                <w:rFonts w:ascii="Arial" w:hAnsi="Arial"/>
                <w:color w:val="000000"/>
                <w:sz w:val="18"/>
              </w:rPr>
              <w:t>New large jobs must be refused until adequate free space is restored.</w:t>
            </w:r>
          </w:p>
        </w:tc>
      </w:tr>
    </w:tbl>
    <w:p>
      <w:pPr>
        <w:spacing w:after="20"/>
      </w:pPr>
    </w:p>
    <w:p>
      <w:r>
        <w:rPr>
          <w:rFonts w:ascii="Arial" w:hAnsi="Arial"/>
          <w:color w:val="000000"/>
        </w:rPr>
        <w:t>Each service uses a dedicated filesystem. If an expected mount or volume marker is absent, the service must remain stopped. Do not redirect it to the OS filesystem or manually edit bind mounts.</w:t>
      </w:r>
    </w:p>
    <w:p>
      <w:r>
        <w:rPr>
          <w:rFonts w:ascii="Arial" w:hAnsi="Arial"/>
          <w:color w:val="000000"/>
        </w:rPr>
        <w:t>Storage expansion reports the fixed service disks and may grow a verified volume after an infrastructure administrator enlarges its matching VMDK. Confirm the service, disk identity, mount, filesystem UUID, and detected growth before applying. The action cannot shrink, format, replace, or adopt a foreign disk. This workflow still requires an approved capacity change.</w:t>
      </w:r>
    </w:p>
    <w:p>
      <w:pPr>
        <w:pStyle w:val="Heading1"/>
      </w:pPr>
      <w:r>
        <w:t>12 Routine operating schedule</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1944"/>
            <w:shd w:fill="33333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pPr>
            <w:r>
              <w:rPr>
                <w:rFonts w:ascii="Arial" w:hAnsi="Arial"/>
                <w:b/>
                <w:color w:val="FFFFFF"/>
                <w:sz w:val="18"/>
              </w:rPr>
              <w:t>Frequency</w:t>
            </w:r>
          </w:p>
        </w:tc>
        <w:tc>
          <w:tcPr>
            <w:tcW w:type="dxa" w:w="7848"/>
            <w:shd w:fill="33333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pPr>
            <w:r>
              <w:rPr>
                <w:rFonts w:ascii="Arial" w:hAnsi="Arial"/>
                <w:b/>
                <w:color w:val="FFFFFF"/>
                <w:sz w:val="18"/>
              </w:rPr>
              <w:t>Review</w:t>
            </w:r>
          </w:p>
        </w:tc>
      </w:tr>
      <w:tr>
        <w:trPr>
          <w:cantSplit/>
        </w:trPr>
        <w:tc>
          <w:tcPr>
            <w:tcW w:type="dxa" w:w="19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pPr>
            <w:r>
              <w:rPr>
                <w:rFonts w:ascii="Arial" w:hAnsi="Arial"/>
                <w:color w:val="000000"/>
                <w:sz w:val="18"/>
              </w:rPr>
              <w:t>After every change</w:t>
            </w:r>
          </w:p>
        </w:tc>
        <w:tc>
          <w:tcPr>
            <w:tcW w:type="dxa" w:w="784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pPr>
            <w:r>
              <w:rPr>
                <w:rFonts w:ascii="Arial" w:hAnsi="Arial"/>
                <w:color w:val="000000"/>
                <w:sz w:val="18"/>
              </w:rPr>
              <w:t>Refresh Appliance Status; verify DNS, time, certificate, firewall, affected service endpoint, and recent logs.</w:t>
            </w:r>
          </w:p>
        </w:tc>
      </w:tr>
      <w:tr>
        <w:trPr>
          <w:cantSplit/>
        </w:trPr>
        <w:tc>
          <w:tcPr>
            <w:tcW w:type="dxa" w:w="1944"/>
            <w:shd w:fill="F2F2F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pPr>
            <w:r>
              <w:rPr>
                <w:rFonts w:ascii="Arial" w:hAnsi="Arial"/>
                <w:color w:val="000000"/>
                <w:sz w:val="18"/>
              </w:rPr>
              <w:t>Weekly</w:t>
            </w:r>
          </w:p>
        </w:tc>
        <w:tc>
          <w:tcPr>
            <w:tcW w:type="dxa" w:w="7848"/>
            <w:shd w:fill="F2F2F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pPr>
            <w:r>
              <w:rPr>
                <w:rFonts w:ascii="Arial" w:hAnsi="Arial"/>
                <w:color w:val="000000"/>
                <w:sz w:val="18"/>
              </w:rPr>
              <w:t>Review active alerts, service status, service-disk use, SFTP client state, Harbor API health, and content-library synchronization.</w:t>
            </w:r>
          </w:p>
        </w:tc>
      </w:tr>
      <w:tr>
        <w:trPr>
          <w:cantSplit/>
        </w:trPr>
        <w:tc>
          <w:tcPr>
            <w:tcW w:type="dxa" w:w="19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pPr>
            <w:r>
              <w:rPr>
                <w:rFonts w:ascii="Arial" w:hAnsi="Arial"/>
                <w:color w:val="000000"/>
                <w:sz w:val="18"/>
              </w:rPr>
              <w:t>Monthly</w:t>
            </w:r>
          </w:p>
        </w:tc>
        <w:tc>
          <w:tcPr>
            <w:tcW w:type="dxa" w:w="784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pPr>
            <w:r>
              <w:rPr>
                <w:rFonts w:ascii="Arial" w:hAnsi="Arial"/>
                <w:color w:val="000000"/>
                <w:sz w:val="18"/>
              </w:rPr>
              <w:t>Review certificate lifetime, administrator accounts and policy, credential rotation schedule, Harbor projects and robot accounts, and storage growth.</w:t>
            </w:r>
          </w:p>
        </w:tc>
      </w:tr>
      <w:tr>
        <w:trPr>
          <w:cantSplit/>
        </w:trPr>
        <w:tc>
          <w:tcPr>
            <w:tcW w:type="dxa" w:w="1944"/>
            <w:shd w:fill="F2F2F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pPr>
            <w:r>
              <w:rPr>
                <w:rFonts w:ascii="Arial" w:hAnsi="Arial"/>
                <w:color w:val="000000"/>
                <w:sz w:val="18"/>
              </w:rPr>
              <w:t>Before an update</w:t>
            </w:r>
          </w:p>
        </w:tc>
        <w:tc>
          <w:tcPr>
            <w:tcW w:type="dxa" w:w="7848"/>
            <w:shd w:fill="F2F2F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pPr>
            <w:r>
              <w:rPr>
                <w:rFonts w:ascii="Arial" w:hAnsi="Arial"/>
                <w:color w:val="000000"/>
                <w:sz w:val="18"/>
              </w:rPr>
              <w:t>Confirm no network, account, publication, or setup transaction is pending; verify the signed package and expected source version.</w:t>
            </w:r>
          </w:p>
        </w:tc>
      </w:tr>
      <w:tr>
        <w:trPr>
          <w:cantSplit/>
        </w:trPr>
        <w:tc>
          <w:tcPr>
            <w:tcW w:type="dxa" w:w="19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pPr>
            <w:r>
              <w:rPr>
                <w:rFonts w:ascii="Arial" w:hAnsi="Arial"/>
                <w:color w:val="000000"/>
                <w:sz w:val="18"/>
              </w:rPr>
              <w:t>After an update</w:t>
            </w:r>
          </w:p>
        </w:tc>
        <w:tc>
          <w:tcPr>
            <w:tcW w:type="dxa" w:w="784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pPr>
            <w:r>
              <w:rPr>
                <w:rFonts w:ascii="Arial" w:hAnsi="Arial"/>
                <w:color w:val="000000"/>
                <w:sz w:val="18"/>
              </w:rPr>
              <w:t>Confirm the installed version, management login, service health, firewall state, SFTP transfer, Harbor pull, and library synchronization.</w:t>
            </w:r>
          </w:p>
        </w:tc>
      </w:tr>
    </w:tbl>
    <w:p>
      <w:pPr>
        <w:spacing w:after="20"/>
      </w:pPr>
    </w:p>
    <w:p>
      <w:pPr>
        <w:pStyle w:val="Heading2"/>
      </w:pPr>
      <w:r>
        <w:t>Activity history and webhook alerts</w:t>
      </w:r>
    </w:p>
    <w:p>
      <w:r>
        <w:rPr>
          <w:rFonts w:ascii="Arial" w:hAnsi="Arial"/>
          <w:color w:val="000000"/>
        </w:rPr>
        <w:t>Activity history shows bounded results for administrative changes without passwords, tokens, or request bodies. Optional webhook alerts send signed HTTPS notifications for selected health transitions. Store the signing key when it is shown once, and use Send test alert before relying on delivery. A failed or stale delivery is not evidence that an alert condition cleared.</w:t>
      </w:r>
    </w:p>
    <w:p>
      <w:pPr>
        <w:pStyle w:val="Heading1"/>
      </w:pPr>
      <w:r>
        <w:t>13 Security requirements</w:t>
      </w:r>
    </w:p>
    <w:p>
      <w:pPr>
        <w:pStyle w:val="ListBullet"/>
      </w:pPr>
      <w:r>
        <w:rPr>
          <w:rFonts w:ascii="Arial" w:hAnsi="Arial"/>
          <w:color w:val="000000"/>
        </w:rPr>
        <w:t>Keep TCP 443 limited to approved management and service consumers and TCP 22 limited to approved SFTP clients.</w:t>
      </w:r>
    </w:p>
    <w:p>
      <w:pPr>
        <w:pStyle w:val="ListBullet"/>
      </w:pPr>
      <w:r>
        <w:rPr>
          <w:rFonts w:ascii="Arial" w:hAnsi="Arial"/>
          <w:color w:val="000000"/>
        </w:rPr>
        <w:t>Do not expose TCP 80, host SSH, container backends, databases, caches, Docker APIs, or a shell.</w:t>
      </w:r>
    </w:p>
    <w:p>
      <w:pPr>
        <w:pStyle w:val="ListBullet"/>
      </w:pPr>
      <w:r>
        <w:rPr>
          <w:rFonts w:ascii="Arial" w:hAnsi="Arial"/>
          <w:color w:val="000000"/>
        </w:rPr>
        <w:t>Protect vCenter console, VM reconfiguration, datastore, and snapshot permissions. Infrastructure administrators can bypass guest controls by changing virtual hardware or disks.</w:t>
      </w:r>
    </w:p>
    <w:p>
      <w:pPr>
        <w:pStyle w:val="ListBullet"/>
      </w:pPr>
      <w:r>
        <w:rPr>
          <w:rFonts w:ascii="Arial" w:hAnsi="Arial"/>
          <w:color w:val="000000"/>
        </w:rPr>
        <w:t>Keep credentials, tokens, private keys, and raw authorization headers out of screenshots, support tickets, exported logs, and release packages.</w:t>
      </w:r>
    </w:p>
    <w:p>
      <w:pPr>
        <w:pStyle w:val="ListBullet"/>
      </w:pPr>
      <w:r>
        <w:rPr>
          <w:rFonts w:ascii="Arial" w:hAnsi="Arial"/>
          <w:color w:val="000000"/>
        </w:rPr>
        <w:t>Treat the absence of appliance and service-data backup as an accepted data-loss risk. Software rollback is not data recovery.</w:t>
      </w:r>
    </w:p>
    <w:sectPr w:rsidR="00FC693F" w:rsidRPr="0006063C" w:rsidSect="00034616">
      <w:headerReference w:type="default" r:id="rId9"/>
      <w:footerReference w:type="default" r:id="rId10"/>
      <w:pgSz w:w="12240" w:h="15840"/>
      <w:pgMar w:top="1037" w:right="1123" w:bottom="950" w:left="1123"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Arial" w:hAnsi="Arial"/>
        <w:color w:val="000000"/>
        <w:sz w:val="16"/>
      </w:rPr>
      <w:t xml:space="preserve">Internal operator reference    |    Applies to 1.1.0    |    </w:t>
    </w:r>
    <w:r>
      <w:rPr>
        <w:rFonts w:ascii="Arial" w:hAnsi="Arial"/>
        <w:color w:val="000000"/>
        <w:sz w:val="16"/>
      </w:rPr>
      <w:t xml:space="preserve">Page </w:t>
    </w:r>
    <w:r>
      <w:rPr>
        <w:rFonts w:ascii="Arial" w:hAnsi="Arial"/>
        <w:color w:val="000000"/>
        <w:sz w:val="16"/>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Arial" w:hAnsi="Arial"/>
        <w:b/>
        <w:color w:val="000000"/>
        <w:sz w:val="16"/>
      </w:rPr>
      <w:t>VCF STORAGE APPLIANCE    |    ADMINISTRATOR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b w:val="0"/>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80"/>
      <w:outlineLvl w:val="0"/>
    </w:pPr>
    <w:rPr>
      <w:rFonts w:asciiTheme="majorHAnsi" w:eastAsiaTheme="majorEastAsia" w:hAnsiTheme="majorHAnsi" w:cstheme="majorBidi"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80" w:after="6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20" w:after="40"/>
      <w:outlineLvl w:val="2"/>
    </w:pPr>
    <w:rPr>
      <w:rFonts w:asciiTheme="majorHAnsi" w:eastAsiaTheme="majorEastAsia" w:hAnsiTheme="majorHAnsi" w:cstheme="majorBidi" w:ascii="Arial" w:hAnsi="Arial"/>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40" w:lineRule="auto"/>
      <w:contextualSpacing/>
    </w:pPr>
    <w:rPr>
      <w:rFonts w:asciiTheme="majorHAnsi" w:eastAsiaTheme="majorEastAsia" w:hAnsiTheme="majorHAnsi" w:cstheme="majorBidi" w:ascii="Arial" w:hAnsi="Arial"/>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60"/>
    </w:pPr>
    <w:rPr>
      <w:rFonts w:asciiTheme="majorHAnsi" w:eastAsiaTheme="majorEastAsia" w:hAnsiTheme="majorHAnsi" w:cstheme="majorBidi" w:ascii="Arial" w:hAnsi="Arial"/>
      <w:b w:val="0"/>
      <w:i w:val="0"/>
      <w:iCs/>
      <w:color w:val="000000"/>
      <w:spacing w:val="15"/>
      <w:sz w:val="23"/>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ind w:left="317" w:hanging="230"/>
      <w:contextualSpacing/>
    </w:pPr>
    <w:rPr>
      <w:rFonts w:ascii="Arial" w:hAnsi="Arial"/>
      <w:b w:val="0"/>
      <w:color w:val="000000"/>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ind w:left="317" w:hanging="230"/>
      <w:contextualSpacing/>
    </w:pPr>
    <w:rPr>
      <w:rFonts w:ascii="Arial" w:hAnsi="Arial"/>
      <w:b w:val="0"/>
      <w:color w:val="000000"/>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Storage Appliance Administrator Guide</dc:title>
  <dc:subject>VCF Storage Appliance operator documentation</dc:subject>
  <dc:creator>Lab Infrastructure</dc:creator>
  <cp:keywords>Storage Appliance, SFTP, Harbor, vCenter Content Library</cp:keywords>
  <dc:description/>
  <cp:lastModifiedBy/>
  <cp:revision>1</cp:revision>
  <dcterms:created xsi:type="dcterms:W3CDTF">2013-12-23T23:15:00Z</dcterms:created>
  <dcterms:modified xsi:type="dcterms:W3CDTF">2013-12-23T23:15:00Z</dcterms:modified>
  <cp:category/>
</cp:coreProperties>
</file>