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Storage Appliance Administrator Guide</w:t>
      </w:r>
    </w:p>
    <w:p>
      <w:pPr>
        <w:pStyle w:val="Subtitle"/>
      </w:pPr>
      <w:r>
        <w:t>Operate the appliance, its service containers, administrative accounts, certificates, and signed software lifecycle.</w:t>
      </w:r>
    </w:p>
    <w:p>
      <w:pPr>
        <w:spacing w:after="180"/>
      </w:pPr>
      <w:r>
        <w:rPr>
          <w:rFonts w:ascii="Arial" w:hAnsi="Arial"/>
          <w:b/>
          <w:color w:val="000000"/>
          <w:sz w:val="18"/>
        </w:rPr>
        <w:t>Applies to appliance release 1.2.0 | Guide version 1.2 | October 7, 2026</w:t>
      </w:r>
    </w:p>
    <w:p>
      <w:pPr>
        <w:spacing w:after="160"/>
      </w:pPr>
      <w:r>
        <w:t>Use this guide after First deployment has completed. It explains routine administration through /admin/, including appliance status, network and time settings, SFTP clients, Harbor, content publication, certificates, administrator accounts, support bundles, and in-place software updates.</w:t>
      </w:r>
    </w:p>
    <w:p>
      <w:pPr>
        <w:spacing w:after="200"/>
      </w:pPr>
      <w:r>
        <w:rPr>
          <w:rFonts w:ascii="Arial" w:hAnsi="Arial"/>
          <w:b/>
          <w:color w:val="000000"/>
        </w:rPr>
        <w:t xml:space="preserve">Security boundary  </w:t>
      </w:r>
      <w:r>
        <w:rPr>
          <w:rFonts w:ascii="Arial" w:hAnsi="Arial"/>
          <w:color w:val="000000"/>
        </w:rPr>
        <w:t>Use the HTTPS management interface and the restricted VMware console menu only. The appliance provides no Ubuntu login, host SSH, web terminal, Docker API, or general shell access.</w:t>
      </w:r>
    </w:p>
    <w:p>
      <w:r>
        <w:rPr>
          <w:rFonts w:ascii="Arial" w:hAnsi="Arial"/>
          <w:b/>
          <w:color w:val="000000"/>
        </w:rPr>
        <w:t xml:space="preserve">Release status  </w:t>
      </w:r>
      <w:r>
        <w:rPr>
          <w:rFonts w:ascii="Arial" w:hAnsi="Arial"/>
          <w:color w:val="000000"/>
        </w:rPr>
        <w:t>This guide describes the signed GA 1.2.0 production release. The exact OVA passed 167 Linux unit and security tests, OVF and signature checks, and an import and first-boot smoke test. The signed 1.2.0 in-place update was also validated on the live appliance with its accounts, service configuration, and stored data preserved.</w:t>
      </w:r>
    </w:p>
    <w:p>
      <w:pPr>
        <w:pStyle w:val="Heading1"/>
      </w:pPr>
      <w:r>
        <w:t>1 Administration model</w:t>
      </w:r>
    </w:p>
    <w:p>
      <w:r>
        <w:rPr>
          <w:rFonts w:ascii="Arial" w:hAnsi="Arial"/>
          <w:color w:val="000000"/>
        </w:rPr>
        <w:t>The appliance uses two management surfaces. The HTTPS GUI is the normal administrative interface. The VMware console provides a restricted recovery menu for status, web-administrator reset, and confirmed restart when web access is unavailable.</w:t>
      </w:r>
    </w:p>
    <w:p>
      <w:pPr>
        <w:pStyle w:val="ListBullet"/>
      </w:pPr>
      <w:r>
        <w:rPr>
          <w:rFonts w:ascii="Arial" w:hAnsi="Arial"/>
          <w:color w:val="000000"/>
        </w:rPr>
        <w:t>Use named web-administrator accounts. Do not share the Harbor administrator, SFTP client, content-library reader, or console-recovery credential with GUI administrators unless their role requires it.</w:t>
      </w:r>
    </w:p>
    <w:p>
      <w:pPr>
        <w:pStyle w:val="ListBullet"/>
      </w:pPr>
      <w:r>
        <w:rPr>
          <w:rFonts w:ascii="Arial" w:hAnsi="Arial"/>
          <w:color w:val="000000"/>
        </w:rPr>
        <w:t>Use the Storage Harbor page for supported private projects, quotas, repositories, artifacts, members, scoped robot accounts, and service lifecycle.</w:t>
      </w:r>
    </w:p>
    <w:p>
      <w:pPr>
        <w:pStyle w:val="ListBullet"/>
      </w:pPr>
      <w:r>
        <w:rPr>
          <w:rFonts w:ascii="Arial" w:hAnsi="Arial"/>
          <w:color w:val="000000"/>
        </w:rPr>
        <w:t>Use the Storage GUI for appliance health, service lifecycle, dedicated service storage, SFTP clients, content publication, certificate replacement, accounts, and signed software updates.</w:t>
      </w:r>
    </w:p>
    <w:p>
      <w:pPr>
        <w:pStyle w:val="ListBullet"/>
      </w:pPr>
      <w:r>
        <w:rPr>
          <w:rFonts w:ascii="Arial" w:hAnsi="Arial"/>
          <w:color w:val="000000"/>
        </w:rPr>
        <w:t>Do not enable Ubuntu SSH or attempt to administer Docker directly. Unsupported host changes can bypass mount, firewall, and upgrade protections.</w:t>
      </w:r>
    </w:p>
    <w:p>
      <w:r>
        <w:rPr>
          <w:rFonts w:ascii="Arial" w:hAnsi="Arial"/>
          <w:color w:val="000000"/>
        </w:rPr>
        <w:t>The appliance provides no appliance or service-data backup by design. One previous software release is retained only for application rollback; it is not a copy of configuration or service data.</w:t>
      </w:r>
    </w:p>
    <w:p>
      <w:pPr>
        <w:pStyle w:val="Heading1"/>
      </w:pPr>
      <w:r>
        <w:t>2 Navigation and sign in</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Location</w:t>
            </w:r>
          </w:p>
        </w:tc>
        <w:tc>
          <w:tcPr>
            <w:tcW w:type="dxa" w:w="7560"/>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Purpose</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SFTP Backups</w:t>
            </w:r>
          </w:p>
        </w:tc>
        <w:tc>
          <w:tcPr>
            <w:tcW w:type="dxa" w:w="75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Client identities, quotas, approved client networks, service lifecycle, and recent redacted logs.</w:t>
            </w:r>
          </w:p>
        </w:tc>
      </w:tr>
      <w:tr>
        <w:trPr>
          <w:cantSplit/>
        </w:trPr>
        <w:tc>
          <w:tcPr>
            <w:tcW w:type="dxa" w:w="223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Harbor Registry</w:t>
            </w:r>
          </w:p>
        </w:tc>
        <w:tc>
          <w:tcPr>
            <w:tcW w:type="dxa" w:w="756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Readiness, storage, endpoint posture, lifecycle controls, supported project and artifact administration, and recent redacted logs.</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Content Library</w:t>
            </w:r>
          </w:p>
        </w:tc>
        <w:tc>
          <w:tcPr>
            <w:tcW w:type="dxa" w:w="75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Subscription URL, reader credential, publisher status, and ISO or OVF/OVA publication.</w:t>
            </w:r>
          </w:p>
        </w:tc>
      </w:tr>
      <w:tr>
        <w:trPr>
          <w:cantSplit/>
        </w:trPr>
        <w:tc>
          <w:tcPr>
            <w:tcW w:type="dxa" w:w="223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HTTPS Certificate</w:t>
            </w:r>
          </w:p>
        </w:tc>
        <w:tc>
          <w:tcPr>
            <w:tcW w:type="dxa" w:w="756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CSR generation, certificate preview, and trusted certificate-chain import.</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Appliance Status</w:t>
            </w:r>
          </w:p>
        </w:tc>
        <w:tc>
          <w:tcPr>
            <w:tcW w:type="dxa" w:w="75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Identity, network, DNS, time, services, storage, certificate, firewall, alerts, support bundle, and power operations.</w:t>
            </w:r>
          </w:p>
        </w:tc>
      </w:tr>
      <w:tr>
        <w:trPr>
          <w:cantSplit/>
        </w:trPr>
        <w:tc>
          <w:tcPr>
            <w:tcW w:type="dxa" w:w="2232"/>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Account menu</w:t>
            </w:r>
          </w:p>
        </w:tc>
        <w:tc>
          <w:tcPr>
            <w:tcW w:type="dxa" w:w="756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Appliance management, Storage expansion, Appliance updates, Admin user management, Activity history, and Sign out.</w:t>
            </w:r>
          </w:p>
        </w:tc>
      </w:tr>
    </w:tbl>
    <w:p>
      <w:pPr>
        <w:spacing w:after="20"/>
      </w:pPr>
    </w:p>
    <w:p>
      <w:r>
        <w:rPr>
          <w:rFonts w:ascii="Arial" w:hAnsi="Arial"/>
          <w:color w:val="000000"/>
        </w:rPr>
        <w:t>The header shows the signed-in username. Light and dark themes are browser preferences and persist in local browser storage. A theme change does not alter appliance configuration or permissions.</w:t>
      </w:r>
    </w:p>
    <w:p>
      <w:r>
        <w:rPr>
          <w:rFonts w:ascii="Arial" w:hAnsi="Arial"/>
          <w:color w:val="000000"/>
        </w:rPr>
        <w:t>The left SERVICE STATUS rail uses the last confirmed status from the current browser session while a new page loads. If refresh fails, it reports Status unavailable and retains the last confirmed state and timestamp instead of changing a running service to an unverified state.</w:t>
      </w:r>
    </w:p>
    <w:p>
      <w:pPr>
        <w:pStyle w:val="Heading1"/>
      </w:pPr>
      <w:r>
        <w:t>3 Appliance Status</w:t>
      </w:r>
    </w:p>
    <w:p>
      <w:r>
        <w:rPr>
          <w:rFonts w:ascii="Arial" w:hAnsi="Arial"/>
          <w:color w:val="000000"/>
        </w:rPr>
        <w:t>Open Appliance Status after configuration changes, service maintenance, certificate replacement, and software updates. Select Refresh status before relying on a displayed value.</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44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Card</w:t>
            </w:r>
          </w:p>
        </w:tc>
        <w:tc>
          <w:tcPr>
            <w:tcW w:type="dxa" w:w="734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What to review</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Identity</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Configured hostname and fully qualified domain name.</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Management network</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mgmt0 address, default gateway, and DHCP or STATIC source.</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DNS</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Configured servers, active resolvers, and health.</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Time synchronization</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Configured NTP sources, current server, synchronization state, and timezone.</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Services and storage</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SFTP, Harbor, and library state plus each dedicated filesystem's usage and free capacity.</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HTTPS and firewall</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Certificate expiration, trust state, host firewall, and Docker container ingress guard.</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Active alerts</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Current conditions that require operator attention.</w:t>
            </w:r>
          </w:p>
        </w:tc>
      </w:tr>
    </w:tbl>
    <w:p>
      <w:pPr>
        <w:spacing w:after="20"/>
      </w:pPr>
    </w:p>
    <w:p>
      <w:pPr>
        <w:pStyle w:val="Heading2"/>
      </w:pPr>
      <w:r>
        <w:t>Status controls</w:t>
      </w:r>
    </w:p>
    <w:p>
      <w:pPr>
        <w:pStyle w:val="ListBullet"/>
      </w:pPr>
      <w:r>
        <w:rPr>
          <w:rFonts w:ascii="Arial" w:hAnsi="Arial"/>
          <w:color w:val="000000"/>
        </w:rPr>
        <w:t>Download support bundle creates a redacted diagnostic record containing status, system and uptime information, time configuration, and recent management logs.</w:t>
      </w:r>
    </w:p>
    <w:p>
      <w:pPr>
        <w:pStyle w:val="ListBullet"/>
      </w:pPr>
      <w:r>
        <w:rPr>
          <w:rFonts w:ascii="Arial" w:hAnsi="Arial"/>
          <w:color w:val="000000"/>
        </w:rPr>
        <w:t>Restart appliance and Shut down appliance require browser confirmation and interrupt all management and storage services.</w:t>
      </w:r>
    </w:p>
    <w:p>
      <w:pPr>
        <w:pStyle w:val="ListBullet"/>
      </w:pPr>
      <w:r>
        <w:rPr>
          <w:rFonts w:ascii="Arial" w:hAnsi="Arial"/>
          <w:color w:val="000000"/>
        </w:rPr>
        <w:t>A pending network change must be confirmed or rolled back before a power operation is accepted.</w:t>
      </w:r>
    </w:p>
    <w:p>
      <w:pPr>
        <w:pStyle w:val="Heading1"/>
      </w:pPr>
      <w:r>
        <w:t>4 Appliance management</w:t>
      </w:r>
    </w:p>
    <w:p>
      <w:r>
        <w:rPr>
          <w:rFonts w:ascii="Arial" w:hAnsi="Arial"/>
          <w:color w:val="000000"/>
        </w:rPr>
        <w:t>Open Appliance management from the account menu. Reload current settings is read-only. Identity fields are displayed but remain read-only until a coordinated rename workflow can update DNS names, certificate SANs, gateway origins, and service endpoints together.</w:t>
      </w:r>
    </w:p>
    <w:p>
      <w:pPr>
        <w:pStyle w:val="Heading2"/>
      </w:pPr>
      <w:r>
        <w:t>Timezone</w:t>
      </w:r>
    </w:p>
    <w:p>
      <w:r>
        <w:rPr>
          <w:rFonts w:ascii="Arial" w:hAnsi="Arial"/>
          <w:color w:val="000000"/>
        </w:rPr>
        <w:t>Select an available appliance timezone and choose Save timezone. NTP synchronizes the clock independently of the timezone used for local display.</w:t>
      </w:r>
    </w:p>
    <w:p>
      <w:pPr>
        <w:pStyle w:val="Heading2"/>
      </w:pPr>
      <w:r>
        <w:t>Management network DNS and time</w:t>
      </w:r>
    </w:p>
    <w:p>
      <w:pPr>
        <w:pStyle w:val="ListBullet"/>
      </w:pPr>
      <w:r>
        <w:rPr>
          <w:rFonts w:ascii="Arial" w:hAnsi="Arial"/>
          <w:color w:val="000000"/>
        </w:rPr>
        <w:t>Choose DHCP or Static address. Static mode requires a usable IPv4 address, prefix 1 through 30, an on-subnet gateway distinct from the host address, and at least one DNS server.</w:t>
      </w:r>
    </w:p>
    <w:p>
      <w:pPr>
        <w:pStyle w:val="ListBullet"/>
      </w:pPr>
      <w:r>
        <w:rPr>
          <w:rFonts w:ascii="Arial" w:hAnsi="Arial"/>
          <w:color w:val="000000"/>
        </w:rPr>
        <w:t>Provide up to three DNS server IPv4 addresses and up to five NTP hostnames or addresses.</w:t>
      </w:r>
    </w:p>
    <w:p>
      <w:pPr>
        <w:pStyle w:val="ListBullet"/>
      </w:pPr>
      <w:r>
        <w:rPr>
          <w:rFonts w:ascii="Arial" w:hAnsi="Arial"/>
          <w:color w:val="000000"/>
        </w:rPr>
        <w:t>Acknowledge that the management session can be interrupted, then apply the configuration.</w:t>
      </w:r>
    </w:p>
    <w:p>
      <w:pPr>
        <w:pStyle w:val="ListBullet"/>
      </w:pPr>
      <w:r>
        <w:rPr>
          <w:rFonts w:ascii="Arial" w:hAnsi="Arial"/>
          <w:color w:val="000000"/>
        </w:rPr>
        <w:t>Reconnect using the new address or DNS name and confirm within two minutes. If confirmation is not received, the appliance restores the previous network and firewall configuration.</w:t>
      </w:r>
    </w:p>
    <w:p>
      <w:r>
        <w:rPr>
          <w:rFonts w:ascii="Arial" w:hAnsi="Arial"/>
          <w:color w:val="000000"/>
        </w:rPr>
        <w:t>Do not restart or shut down the appliance while a network confirmation is pending. If reconnecting fails, wait for automatic rollback, then return to the prior address.</w:t>
      </w:r>
    </w:p>
    <w:p>
      <w:pPr>
        <w:pStyle w:val="Heading1"/>
      </w:pPr>
      <w:r>
        <w:t>5 Admin user management</w:t>
      </w:r>
    </w:p>
    <w:p>
      <w:r>
        <w:rPr>
          <w:rFonts w:ascii="Arial" w:hAnsi="Arial"/>
          <w:color w:val="000000"/>
        </w:rPr>
        <w:t>Open Admin user management from the account menu. Refresh users before making changes so actions use the current account state. Viewer, Operator, and Administrator roles are enforced by the backend; role changes revoke affected sessions.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44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Operation</w:t>
            </w:r>
          </w:p>
        </w:tc>
        <w:tc>
          <w:tcPr>
            <w:tcW w:type="dxa" w:w="734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Behavior</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Create account</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Creates an enabled local Viewer, Operator, or Administrator after password-policy validation. Up to 32 accounts are supported.</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Reset password</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Replaces the selected account password and invalidates affected sessions.</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Disable or enable</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Changes sign-in eligibility. The current administrator cannot disable itself.</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Remove</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Deletes the selected GUI account. The current administrator cannot remove itself, and one enabled administrator must remain.</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Change my password</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Changes the current account password and signs out its active sessions.</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Session and password policy</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Sets a 15 to 480 minute absolute session timeout, a 15 to 128 character minimum password length, and optional complexity rules.</w:t>
            </w:r>
          </w:p>
        </w:tc>
      </w:tr>
    </w:tbl>
    <w:p>
      <w:pPr>
        <w:spacing w:after="20"/>
      </w:pPr>
    </w:p>
    <w:p>
      <w:r>
        <w:rPr>
          <w:rFonts w:ascii="Arial" w:hAnsi="Arial"/>
          <w:color w:val="000000"/>
        </w:rPr>
        <w:t>Sessions also expire after no more than 15 minutes of inactivity. Policy changes apply to passwords created or changed after the policy is saved; existing password hashes remain valid until changed.</w:t>
      </w:r>
    </w:p>
    <w:p>
      <w:pPr>
        <w:pStyle w:val="ListBullet"/>
      </w:pPr>
      <w:r>
        <w:rPr>
          <w:rFonts w:ascii="Arial" w:hAnsi="Arial"/>
          <w:color w:val="000000"/>
        </w:rPr>
        <w:t>Maintain at least two named enabled administrators so one account can recover the other through the GUI.</w:t>
      </w:r>
    </w:p>
    <w:p>
      <w:pPr>
        <w:pStyle w:val="ListBullet"/>
      </w:pPr>
      <w:r>
        <w:rPr>
          <w:rFonts w:ascii="Arial" w:hAnsi="Arial"/>
          <w:color w:val="000000"/>
        </w:rPr>
        <w:t>Keep Do not allow the username inside the password enabled unless an approved exception exists.</w:t>
      </w:r>
    </w:p>
    <w:p>
      <w:pPr>
        <w:pStyle w:val="ListBullet"/>
      </w:pPr>
      <w:r>
        <w:rPr>
          <w:rFonts w:ascii="Arial" w:hAnsi="Arial"/>
          <w:color w:val="000000"/>
        </w:rPr>
        <w:t>Use the VMware console recovery procedure when no working web administrator remains. Do not change OVF properties as a password-reset method.</w:t>
      </w:r>
    </w:p>
    <w:p>
      <w:pPr>
        <w:pStyle w:val="Heading1"/>
      </w:pPr>
      <w:r>
        <w:t>6 SFTP backup administration</w:t>
      </w:r>
    </w:p>
    <w:p>
      <w:r>
        <w:rPr>
          <w:rFonts w:ascii="Arial" w:hAnsi="Arial"/>
          <w:color w:val="000000"/>
        </w:rPr>
        <w:t>The appliance exposes TCP 22 only through the isolated SFTP container and only to approved backup-client CIDRs. It does not expose host SSH.</w:t>
      </w:r>
    </w:p>
    <w:p>
      <w:pPr>
        <w:pStyle w:val="Heading2"/>
      </w:pPr>
      <w:r>
        <w:t>Client accounts and quotas</w:t>
      </w:r>
    </w:p>
    <w:p>
      <w:pPr>
        <w:pStyle w:val="ListBullet"/>
      </w:pPr>
      <w:r>
        <w:rPr>
          <w:rFonts w:ascii="Arial" w:hAnsi="Arial"/>
          <w:color w:val="000000"/>
        </w:rPr>
        <w:t>Use a lower-case account name beginning with a letter and containing only lower-case letters, numbers, underscores, or hyphens. The maximum length is 31 characters.</w:t>
      </w:r>
    </w:p>
    <w:p>
      <w:pPr>
        <w:pStyle w:val="ListBullet"/>
      </w:pPr>
      <w:r>
        <w:rPr>
          <w:rFonts w:ascii="Arial" w:hAnsi="Arial"/>
          <w:color w:val="000000"/>
        </w:rPr>
        <w:t>Assign a client-specific quota in MiB. The service verifies the Linux filesystem quota before saving the account.</w:t>
      </w:r>
    </w:p>
    <w:p>
      <w:pPr>
        <w:pStyle w:val="ListBullet"/>
      </w:pPr>
      <w:r>
        <w:rPr>
          <w:rFonts w:ascii="Arial" w:hAnsi="Arial"/>
          <w:color w:val="000000"/>
        </w:rPr>
        <w:t>Prefer one or more SSH public keys. If password authentication is enabled, provide a client-specific password that differs from GUI and recovery credentials.</w:t>
      </w:r>
    </w:p>
    <w:p>
      <w:pPr>
        <w:pStyle w:val="ListBullet"/>
      </w:pPr>
      <w:r>
        <w:rPr>
          <w:rFonts w:ascii="Arial" w:hAnsi="Arial"/>
          <w:color w:val="000000"/>
        </w:rPr>
        <w:t>Generate a 19-character SFTP password or enter an approved value, then use Show password or Copy password before saving. The interface never redisplays a saved password; rotate it when the original value was not recorded.</w:t>
      </w:r>
    </w:p>
    <w:p>
      <w:pPr>
        <w:pStyle w:val="ListBullet"/>
      </w:pPr>
      <w:r>
        <w:rPr>
          <w:rFonts w:ascii="Arial" w:hAnsi="Arial"/>
          <w:color w:val="000000"/>
        </w:rPr>
        <w:t>Use the controls beneath the ENABLED or DISABLED status label on each account card. Disable blocks future access without deleting files. Remove is available only for a disabled account and preserves its backup directory and files.</w:t>
      </w:r>
    </w:p>
    <w:p>
      <w:pPr>
        <w:pStyle w:val="ListBullet"/>
      </w:pPr>
      <w:r>
        <w:rPr>
          <w:rFonts w:ascii="Arial" w:hAnsi="Arial"/>
          <w:color w:val="000000"/>
        </w:rPr>
        <w:t>Saving an account briefly stops SFTP while authentication and quota state are changed.</w:t>
      </w:r>
    </w:p>
    <w:p>
      <w:pPr>
        <w:pStyle w:val="ListBullet"/>
      </w:pPr>
      <w:r>
        <w:rPr>
          <w:rFonts w:ascii="Arial" w:hAnsi="Arial"/>
          <w:color w:val="000000"/>
        </w:rPr>
        <w:t>If an interrupted account transaction is reported, review the intended values and use Resume pending account change. The transaction is bound to the original SFTP volume.</w:t>
      </w:r>
    </w:p>
    <w:p>
      <w:r>
        <w:rPr>
          <w:rFonts w:ascii="Arial" w:hAnsi="Arial"/>
          <w:color w:val="000000"/>
        </w:rPr>
        <w:t>Each client is chrooted to its own root-owned directory and writes under its backup child directory. The GUI does not provide a data-delete operation.</w:t>
      </w:r>
    </w:p>
    <w:p>
      <w:pPr>
        <w:pStyle w:val="Heading2"/>
      </w:pPr>
      <w:r>
        <w:t>Service lifecycle and logs</w:t>
      </w:r>
    </w:p>
    <w:p>
      <w:r>
        <w:rPr>
          <w:rFonts w:ascii="Arial" w:hAnsi="Arial"/>
          <w:color w:val="000000"/>
        </w:rPr>
        <w:t>Start, Stop, and Restart use a browser confirmation. The backend verifies the operation token and current service state. Lifecycle operations change availability but do not delete client data. Show SFTP service log returns a bounded, redacted recent log.</w:t>
      </w:r>
    </w:p>
    <w:p>
      <w:pPr>
        <w:pStyle w:val="Heading1"/>
        <w:pageBreakBefore/>
      </w:pPr>
      <w:r>
        <w:t>7 Harbor registry administration</w:t>
      </w:r>
    </w:p>
    <w:p>
      <w:r>
        <w:rPr>
          <w:rFonts w:ascii="Arial" w:hAnsi="Arial"/>
          <w:color w:val="000000"/>
        </w:rPr>
        <w:t>The Storage Harbor page is the normal administrative surface for the supported registry scope and reports aggregate appliance readiness.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44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Storage page area</w:t>
            </w:r>
          </w:p>
        </w:tc>
        <w:tc>
          <w:tcPr>
            <w:tcW w:type="dxa" w:w="734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Meaning</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Registry readiness</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Systemd state, Harbor API health, component status, pinned 2.14.4 release, external endpoint, and protected loopback backend.</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Registry storage</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Dedicated /srv/storage/harbor mount, available capacity, usage, and capacity state.</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Service lifecycle</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Confirmed Start, Stop, and Restart operations. Stored images, projects, and configuration are retained.</w:t>
            </w:r>
          </w:p>
        </w:tc>
      </w:tr>
      <w:tr>
        <w:trPr>
          <w:cantSplit/>
        </w:trPr>
        <w:tc>
          <w:tcPr>
            <w:tcW w:type="dxa" w:w="24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Harbor administration</w:t>
            </w:r>
          </w:p>
        </w:tc>
        <w:tc>
          <w:tcPr>
            <w:tcW w:type="dxa" w:w="73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Appliance-managed private projects, quotas, repository and artifact inventory, members, and scoped robot accounts.</w:t>
            </w:r>
          </w:p>
        </w:tc>
      </w:tr>
      <w:tr>
        <w:trPr>
          <w:cantSplit/>
        </w:trPr>
        <w:tc>
          <w:tcPr>
            <w:tcW w:type="dxa" w:w="24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Recent service log</w:t>
            </w:r>
          </w:p>
        </w:tc>
        <w:tc>
          <w:tcPr>
            <w:tcW w:type="dxa" w:w="73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Bounded, redacted appliance-managed Harbor events.</w:t>
            </w:r>
          </w:p>
        </w:tc>
      </w:tr>
    </w:tbl>
    <w:p>
      <w:pPr>
        <w:spacing w:after="20"/>
      </w:pPr>
    </w:p>
    <w:p>
      <w:pPr>
        <w:pStyle w:val="ListBullet"/>
      </w:pPr>
      <w:r>
        <w:rPr>
          <w:rFonts w:ascii="Arial" w:hAnsi="Arial"/>
          <w:color w:val="000000"/>
        </w:rPr>
        <w:t>Use scoped robot accounts for automation clients such as Lab Builder. Avoid using the built-in Harbor administrator for routine image operations.</w:t>
      </w:r>
    </w:p>
    <w:p>
      <w:pPr>
        <w:pStyle w:val="ListBullet"/>
      </w:pPr>
      <w:r>
        <w:rPr>
          <w:rFonts w:ascii="Arial" w:hAnsi="Arial"/>
          <w:color w:val="000000"/>
        </w:rPr>
        <w:t>Verify authenticated push and pull after account, certificate, proxy, retention, or replication changes.</w:t>
      </w:r>
    </w:p>
    <w:p>
      <w:pPr>
        <w:pStyle w:val="ListBullet"/>
      </w:pPr>
      <w:r>
        <w:rPr>
          <w:rFonts w:ascii="Arial" w:hAnsi="Arial"/>
          <w:color w:val="000000"/>
        </w:rPr>
        <w:t>The Harbor backend listens only on 127.0.0.1:8082. Clients must use the configured Harbor FQDN on HTTPS 443.</w:t>
      </w:r>
    </w:p>
    <w:p>
      <w:pPr>
        <w:pStyle w:val="ListBullet"/>
      </w:pPr>
      <w:r>
        <w:rPr>
          <w:rFonts w:ascii="Arial" w:hAnsi="Arial"/>
          <w:color w:val="000000"/>
        </w:rPr>
        <w:t>Offline vulnerability-database refresh and scanner operation are outside the GA 1.2 supported scope. Do not represent scan freshness as healthy until that workflow is separately approved and qualified.</w:t>
      </w:r>
    </w:p>
    <w:p>
      <w:pPr>
        <w:pStyle w:val="Heading1"/>
      </w:pPr>
      <w:r>
        <w:t>8 Content library administration</w:t>
      </w:r>
    </w:p>
    <w:p>
      <w:r>
        <w:rPr>
          <w:rFonts w:ascii="Arial" w:hAnsi="Arial"/>
          <w:color w:val="000000"/>
        </w:rPr>
        <w:t>The publisher serves a third-party subscribed library at https://&lt;library-fqdn&gt;/lib.json. vCenter owns the subscribed library and its backing datastore; the appliance does not require stored vCenter credentials.</w:t>
      </w:r>
    </w:p>
    <w:p>
      <w:pPr>
        <w:pStyle w:val="Heading2"/>
      </w:pPr>
      <w:r>
        <w:t>Reader credential</w:t>
      </w:r>
    </w:p>
    <w:p>
      <w:pPr>
        <w:pStyle w:val="ListBullet"/>
      </w:pPr>
      <w:r>
        <w:rPr>
          <w:rFonts w:ascii="Arial" w:hAnsi="Arial"/>
          <w:color w:val="000000"/>
        </w:rPr>
        <w:t>Choose Show one-time reader credential after initialization and store the vcsp username and generated password immediately. The password cannot be displayed again.</w:t>
      </w:r>
    </w:p>
    <w:p>
      <w:pPr>
        <w:pStyle w:val="ListBullet"/>
      </w:pPr>
      <w:r>
        <w:rPr>
          <w:rFonts w:ascii="Arial" w:hAnsi="Arial"/>
          <w:color w:val="000000"/>
        </w:rPr>
        <w:t>Rotate reader credential when it is exposed or scheduled for rotation. Existing vCenter subscriptions stop synchronizing until their stored credential is updated.</w:t>
      </w:r>
    </w:p>
    <w:p>
      <w:pPr>
        <w:pStyle w:val="ListBullet"/>
      </w:pPr>
      <w:r>
        <w:rPr>
          <w:rFonts w:ascii="Arial" w:hAnsi="Arial"/>
          <w:color w:val="000000"/>
        </w:rPr>
        <w:t>Anonymous publication is denied.</w:t>
      </w:r>
    </w:p>
    <w:p>
      <w:pPr>
        <w:pStyle w:val="Heading2"/>
      </w:pPr>
      <w:r>
        <w:t>Publish or update an item</w:t>
      </w:r>
    </w:p>
    <w:p>
      <w:pPr>
        <w:pStyle w:val="ListBullet"/>
      </w:pPr>
      <w:r>
        <w:rPr>
          <w:rFonts w:ascii="Arial" w:hAnsi="Arial"/>
          <w:color w:val="000000"/>
        </w:rPr>
        <w:t>Enter a stable item key containing 1 to 128 letters, numbers, periods, underscores, or hyphens. The first character must be a letter or number.</w:t>
      </w:r>
    </w:p>
    <w:p>
      <w:pPr>
        <w:pStyle w:val="ListBullet"/>
      </w:pPr>
      <w:r>
        <w:rPr>
          <w:rFonts w:ascii="Arial" w:hAnsi="Arial"/>
          <w:color w:val="000000"/>
        </w:rPr>
        <w:t>Use the same item key to publish a new revision of an existing catalog item. Use a new key for a distinct item.</w:t>
      </w:r>
    </w:p>
    <w:p>
      <w:pPr>
        <w:pStyle w:val="ListBullet"/>
      </w:pPr>
      <w:r>
        <w:rPr>
          <w:rFonts w:ascii="Arial" w:hAnsi="Arial"/>
          <w:color w:val="000000"/>
        </w:rPr>
        <w:t>Enter a display name, select ISO or OVF/OVA, choose the file, and enter the current catalog revision.</w:t>
      </w:r>
    </w:p>
    <w:p>
      <w:pPr>
        <w:pStyle w:val="ListBullet"/>
      </w:pPr>
      <w:r>
        <w:rPr>
          <w:rFonts w:ascii="Arial" w:hAnsi="Arial"/>
          <w:color w:val="000000"/>
        </w:rPr>
        <w:t>Choose Upload and publish, then review the browser confirmation naming the display name and item key. Cancel makes no catalog change.</w:t>
      </w:r>
    </w:p>
    <w:p>
      <w:pPr>
        <w:pStyle w:val="ListBullet"/>
      </w:pPr>
      <w:r>
        <w:rPr>
          <w:rFonts w:ascii="Arial" w:hAnsi="Arial"/>
          <w:color w:val="000000"/>
        </w:rPr>
        <w:t>After publication, record the returned catalog revision and refresh or synchronize the subscribed library in vCenter.</w:t>
      </w:r>
    </w:p>
    <w:p>
      <w:r>
        <w:rPr>
          <w:rFonts w:ascii="Arial" w:hAnsi="Arial"/>
          <w:color w:val="000000"/>
        </w:rPr>
        <w:t>OVA uploads are safely expanded into OVF content. The publisher rejects unsafe archive paths and non-regular members, validates metadata, and publishes a new immutable generation by atomic pointer change.</w:t>
      </w:r>
    </w:p>
    <w:p>
      <w:r>
        <w:rPr>
          <w:rFonts w:ascii="Arial" w:hAnsi="Arial"/>
          <w:color w:val="000000"/>
        </w:rPr>
        <w:t>Published content lists the current catalog and files. Validate an item to inspect its metadata and checksums. Rebuild publisher metadata only after the underlying catalog and files pass integrity checks; rebuilding does not change the catalog revision or published files.</w:t>
      </w:r>
    </w:p>
    <w:p>
      <w:pPr>
        <w:pStyle w:val="Heading1"/>
      </w:pPr>
      <w:r>
        <w:t>9 HTTPS certificate lifecycle</w:t>
      </w:r>
    </w:p>
    <w:p>
      <w:r>
        <w:rPr>
          <w:rFonts w:ascii="Arial" w:hAnsi="Arial"/>
          <w:color w:val="000000"/>
        </w:rPr>
        <w:t>Use HTTPS Certificate to replace an expiring or untrusted appliance certificate. Generate the CSR on the appliance so its private key never leaves the VM.</w:t>
      </w:r>
    </w:p>
    <w:p>
      <w:pPr>
        <w:pStyle w:val="ListBullet"/>
      </w:pPr>
      <w:r>
        <w:rPr>
          <w:rFonts w:ascii="Arial" w:hAnsi="Arial"/>
          <w:color w:val="000000"/>
        </w:rPr>
        <w:t>Confirm DNS records and the intended appliance, Harbor, and content-library names before generating the CSR.</w:t>
      </w:r>
    </w:p>
    <w:p>
      <w:pPr>
        <w:pStyle w:val="ListBullet"/>
      </w:pPr>
      <w:r>
        <w:rPr>
          <w:rFonts w:ascii="Arial" w:hAnsi="Arial"/>
          <w:color w:val="000000"/>
        </w:rPr>
        <w:t>Have the approved CA issue a server-authentication certificate for every requested DNS name.</w:t>
      </w:r>
    </w:p>
    <w:p>
      <w:pPr>
        <w:pStyle w:val="ListBullet"/>
      </w:pPr>
      <w:r>
        <w:rPr>
          <w:rFonts w:ascii="Arial" w:hAnsi="Arial"/>
          <w:color w:val="000000"/>
        </w:rPr>
        <w:t>Preview PEM, DER, or PKCS#7 certificate files before import. Never paste a private key into the browser.</w:t>
      </w:r>
    </w:p>
    <w:p>
      <w:pPr>
        <w:pStyle w:val="ListBullet"/>
      </w:pPr>
      <w:r>
        <w:rPr>
          <w:rFonts w:ascii="Arial" w:hAnsi="Arial"/>
          <w:color w:val="000000"/>
        </w:rPr>
        <w:t>The appliance verifies hostname coverage, chain trust, private-key match, remaining validity, Nginx configuration, and the live gateway certificate before committing the replacement.</w:t>
      </w:r>
    </w:p>
    <w:p>
      <w:pPr>
        <w:pStyle w:val="ListBullet"/>
      </w:pPr>
      <w:r>
        <w:rPr>
          <w:rFonts w:ascii="Arial" w:hAnsi="Arial"/>
          <w:color w:val="000000"/>
        </w:rPr>
        <w:t>After import, test /admin/, Harbor authentication, and content-library synchronization from clients that use the approved trust chain.</w:t>
      </w:r>
    </w:p>
    <w:p>
      <w:pPr>
        <w:pStyle w:val="Heading1"/>
      </w:pPr>
      <w:r>
        <w:t>10 Appliance updates</w:t>
      </w:r>
    </w:p>
    <w:p>
      <w:r>
        <w:rPr>
          <w:rFonts w:ascii="Arial" w:hAnsi="Arial"/>
          <w:color w:val="000000"/>
        </w:rPr>
        <w:t>Open Appliance updates from the account menu. The update mechanism replaces approved application software paths only. It preserves identity, networking, certificates, accounts, setup state, and service data.</w:t>
      </w:r>
    </w:p>
    <w:p>
      <w:pPr>
        <w:pStyle w:val="Heading2"/>
      </w:pPr>
      <w:r>
        <w:t>Establish release trust</w:t>
      </w:r>
    </w:p>
    <w:p>
      <w:pPr>
        <w:pStyle w:val="ListBullet"/>
      </w:pPr>
      <w:r>
        <w:rPr>
          <w:rFonts w:ascii="Arial" w:hAnsi="Arial"/>
          <w:color w:val="000000"/>
        </w:rPr>
        <w:t>Obtain the approved Storage release public key and its SHA-256 fingerprint through separate trusted channels.</w:t>
      </w:r>
    </w:p>
    <w:p>
      <w:pPr>
        <w:pStyle w:val="ListBullet"/>
      </w:pPr>
      <w:r>
        <w:rPr>
          <w:rFonts w:ascii="Arial" w:hAnsi="Arial"/>
          <w:color w:val="000000"/>
        </w:rPr>
        <w:t>Upload the public key, enter the independently verified fingerprint, acknowledge the publisher, and install the trust key.</w:t>
      </w:r>
    </w:p>
    <w:p>
      <w:pPr>
        <w:pStyle w:val="ListBullet"/>
      </w:pPr>
      <w:r>
        <w:rPr>
          <w:rFonts w:ascii="Arial" w:hAnsi="Arial"/>
          <w:color w:val="000000"/>
        </w:rPr>
        <w:t>Key rotation is not a routine GUI action and requires a separate approved maintenance procedure.</w:t>
      </w:r>
    </w:p>
    <w:p>
      <w:pPr>
        <w:pStyle w:val="Heading2"/>
      </w:pPr>
      <w:r>
        <w:t>Stage and apply software</w:t>
      </w:r>
    </w:p>
    <w:p>
      <w:pPr>
        <w:pStyle w:val="ListBullet"/>
      </w:pPr>
      <w:r>
        <w:rPr>
          <w:rFonts w:ascii="Arial" w:hAnsi="Arial"/>
          <w:color w:val="000000"/>
        </w:rPr>
        <w:t>Upload a signed Storage software package no larger than 32 MiB. Uploading validates and stages the package; it does not install it.</w:t>
      </w:r>
    </w:p>
    <w:p>
      <w:pPr>
        <w:pStyle w:val="ListBullet"/>
      </w:pPr>
      <w:r>
        <w:rPr>
          <w:rFonts w:ascii="Arial" w:hAnsi="Arial"/>
          <w:color w:val="000000"/>
        </w:rPr>
        <w:t>Review the target version, increasing release sequence, source-version compatibility, signature, manifest, checksums, and file scope reported by the page.</w:t>
      </w:r>
    </w:p>
    <w:p>
      <w:pPr>
        <w:pStyle w:val="ListBullet"/>
      </w:pPr>
      <w:r>
        <w:rPr>
          <w:rFonts w:ascii="Arial" w:hAnsi="Arial"/>
          <w:color w:val="000000"/>
        </w:rPr>
        <w:t>Type APPLY to queue installation. Management briefly restarts while a fixed system service replaces the validated application files and performs a health check.</w:t>
      </w:r>
    </w:p>
    <w:p>
      <w:pPr>
        <w:pStyle w:val="ListBullet"/>
      </w:pPr>
      <w:r>
        <w:rPr>
          <w:rFonts w:ascii="Arial" w:hAnsi="Arial"/>
          <w:color w:val="000000"/>
        </w:rPr>
        <w:t>Refresh status after reconnecting. A failed health check automatically restores the previous application software when recovery succeeds.</w:t>
      </w:r>
    </w:p>
    <w:p>
      <w:pPr>
        <w:pStyle w:val="Heading2"/>
      </w:pPr>
      <w:r>
        <w:t>Rollback</w:t>
      </w:r>
    </w:p>
    <w:p>
      <w:r>
        <w:rPr>
          <w:rFonts w:ascii="Arial" w:hAnsi="Arial"/>
          <w:color w:val="000000"/>
        </w:rPr>
        <w:t>The appliance retains one previous application release. Type ROLLBACK only when that release is displayed and the reason is understood. Rollback does not restore SFTP data, Harbor data, published content, certificates, accounts, or configuration.</w:t>
      </w:r>
    </w:p>
    <w:p>
      <w:pPr>
        <w:pStyle w:val="Heading1"/>
      </w:pPr>
      <w:r>
        <w:t>11 Capacity and service storage</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08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Usage</w:t>
            </w:r>
          </w:p>
        </w:tc>
        <w:tc>
          <w:tcPr>
            <w:tcW w:type="dxa" w:w="1800"/>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State</w:t>
            </w:r>
          </w:p>
        </w:tc>
        <w:tc>
          <w:tcPr>
            <w:tcW w:type="dxa" w:w="590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Required action</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Below 70 percent</w:t>
            </w:r>
          </w:p>
        </w:tc>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Normal</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Continue routine monitoring.</w:t>
            </w:r>
          </w:p>
        </w:tc>
      </w:tr>
      <w:tr>
        <w:trPr>
          <w:cantSplit/>
        </w:trPr>
        <w:tc>
          <w:tcPr>
            <w:tcW w:type="dxa" w:w="208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70 percent or higher</w:t>
            </w:r>
          </w:p>
        </w:tc>
        <w:tc>
          <w:tcPr>
            <w:tcW w:type="dxa" w:w="180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Warning</w:t>
            </w:r>
          </w:p>
        </w:tc>
        <w:tc>
          <w:tcPr>
            <w:tcW w:type="dxa" w:w="590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Review growth and reduce avoidable staging or retained content.</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85 percent or higher</w:t>
            </w:r>
          </w:p>
        </w:tc>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Critical</w:t>
            </w:r>
          </w:p>
        </w:tc>
        <w:tc>
          <w:tcPr>
            <w:tcW w:type="dxa" w:w="59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Plan immediate capacity relief and avoid nonessential large operations.</w:t>
            </w:r>
          </w:p>
        </w:tc>
      </w:tr>
      <w:tr>
        <w:trPr>
          <w:cantSplit/>
        </w:trPr>
        <w:tc>
          <w:tcPr>
            <w:tcW w:type="dxa" w:w="208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95 percent or higher</w:t>
            </w:r>
          </w:p>
        </w:tc>
        <w:tc>
          <w:tcPr>
            <w:tcW w:type="dxa" w:w="1800"/>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Block</w:t>
            </w:r>
          </w:p>
        </w:tc>
        <w:tc>
          <w:tcPr>
            <w:tcW w:type="dxa" w:w="590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New large jobs must be refused until adequate free space is restored.</w:t>
            </w:r>
          </w:p>
        </w:tc>
      </w:tr>
    </w:tbl>
    <w:p>
      <w:pPr>
        <w:spacing w:after="20"/>
      </w:pPr>
    </w:p>
    <w:p>
      <w:r>
        <w:rPr>
          <w:rFonts w:ascii="Arial" w:hAnsi="Arial"/>
          <w:color w:val="000000"/>
        </w:rPr>
        <w:t>Each service uses a dedicated filesystem. If an expected mount or volume marker is absent, the service must remain stopped. Do not redirect it to the OS filesystem or manually edit bind mounts.</w:t>
      </w:r>
    </w:p>
    <w:p>
      <w:r>
        <w:rPr>
          <w:rFonts w:ascii="Arial" w:hAnsi="Arial"/>
          <w:color w:val="000000"/>
        </w:rPr>
        <w:t>Storage expansion reports the fixed service disks and may grow a verified volume after an infrastructure administrator enlarges its matching VMDK. Confirm the service, disk identity, mount, filesystem UUID, and detected growth before applying. The action cannot shrink, format, replace, or adopt a foreign disk. This workflow still requires an approved capacity change.</w:t>
      </w:r>
    </w:p>
    <w:p>
      <w:pPr>
        <w:pStyle w:val="Heading1"/>
      </w:pPr>
      <w:r>
        <w:t>12 Routine operating schedule</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1944"/>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Frequency</w:t>
            </w:r>
          </w:p>
        </w:tc>
        <w:tc>
          <w:tcPr>
            <w:tcW w:type="dxa" w:w="7848"/>
            <w:shd w:fill="33333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pPr>
            <w:r>
              <w:rPr>
                <w:rFonts w:ascii="Arial" w:hAnsi="Arial"/>
                <w:b/>
                <w:color w:val="FFFFFF"/>
                <w:sz w:val="18"/>
              </w:rPr>
              <w:t>Review</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After every change</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Refresh Appliance Status; verify DNS, time, certificate, firewall, affected service endpoint, and recent logs.</w:t>
            </w:r>
          </w:p>
        </w:tc>
      </w:tr>
      <w:tr>
        <w:trPr>
          <w:cantSplit/>
        </w:trPr>
        <w:tc>
          <w:tcPr>
            <w:tcW w:type="dxa" w:w="19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Weekly</w:t>
            </w:r>
          </w:p>
        </w:tc>
        <w:tc>
          <w:tcPr>
            <w:tcW w:type="dxa" w:w="78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Review active alerts, service status, service-disk use, SFTP client state, Harbor API health, and content-library synchronization.</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Monthly</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Review certificate lifetime, administrator accounts and policy, credential rotation schedule, Harbor projects and robot accounts, and storage growth.</w:t>
            </w:r>
          </w:p>
        </w:tc>
      </w:tr>
      <w:tr>
        <w:trPr>
          <w:cantSplit/>
        </w:trPr>
        <w:tc>
          <w:tcPr>
            <w:tcW w:type="dxa" w:w="1944"/>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Before an update</w:t>
            </w:r>
          </w:p>
        </w:tc>
        <w:tc>
          <w:tcPr>
            <w:tcW w:type="dxa" w:w="7848"/>
            <w:shd w:fill="F2F2F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Confirm no network, account, publication, or setup transaction is pending; verify the signed package and expected source version.</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After an update</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start w:w="110" w:type="dxa"/>
              <w:bottom w:w="90" w:type="dxa"/>
              <w:end w:w="110" w:type="dxa"/>
            </w:tcMar>
            <w:vAlign w:val="center"/>
          </w:tcPr>
          <w:p>
            <w:pPr>
              <w:spacing w:after="0" w:line="252" w:lineRule="auto"/>
            </w:pPr>
            <w:r>
              <w:rPr>
                <w:rFonts w:ascii="Arial" w:hAnsi="Arial"/>
                <w:color w:val="000000"/>
                <w:sz w:val="18"/>
              </w:rPr>
              <w:t>Confirm the installed version, management login, service health, firewall state, SFTP transfer, Harbor pull, and library synchronization.</w:t>
            </w:r>
          </w:p>
        </w:tc>
      </w:tr>
    </w:tbl>
    <w:p>
      <w:pPr>
        <w:spacing w:after="20"/>
      </w:pPr>
    </w:p>
    <w:p>
      <w:pPr>
        <w:pStyle w:val="Heading2"/>
      </w:pPr>
      <w:r>
        <w:t>Activity history and webhook alerts</w:t>
      </w:r>
    </w:p>
    <w:p>
      <w:r>
        <w:rPr>
          <w:rFonts w:ascii="Arial" w:hAnsi="Arial"/>
          <w:color w:val="000000"/>
        </w:rPr>
        <w:t>Activity history shows bounded results for administrative changes without passwords, tokens, or request bodies. Optional webhook alerts send signed HTTPS notifications for selected health transitions. Store the signing key when it is shown once, and use Send test alert before relying on delivery. A failed or stale delivery is not evidence that an alert condition cleared.</w:t>
      </w:r>
    </w:p>
    <w:p>
      <w:pPr>
        <w:pStyle w:val="Heading1"/>
      </w:pPr>
      <w:r>
        <w:t>13 Security requirements</w:t>
      </w:r>
    </w:p>
    <w:p>
      <w:pPr>
        <w:pStyle w:val="ListBullet"/>
      </w:pPr>
      <w:r>
        <w:rPr>
          <w:rFonts w:ascii="Arial" w:hAnsi="Arial"/>
          <w:color w:val="000000"/>
        </w:rPr>
        <w:t>Keep TCP 443 limited to approved management and service consumers and TCP 22 limited to approved SFTP clients.</w:t>
      </w:r>
    </w:p>
    <w:p>
      <w:pPr>
        <w:pStyle w:val="ListBullet"/>
      </w:pPr>
      <w:r>
        <w:rPr>
          <w:rFonts w:ascii="Arial" w:hAnsi="Arial"/>
          <w:color w:val="000000"/>
        </w:rPr>
        <w:t>Do not expose TCP 80, host SSH, container backends, databases, caches, Docker APIs, or a shell.</w:t>
      </w:r>
    </w:p>
    <w:p>
      <w:pPr>
        <w:pStyle w:val="ListBullet"/>
      </w:pPr>
      <w:r>
        <w:rPr>
          <w:rFonts w:ascii="Arial" w:hAnsi="Arial"/>
          <w:color w:val="000000"/>
        </w:rPr>
        <w:t>Protect vCenter console, VM reconfiguration, datastore, and snapshot permissions. Infrastructure administrators can bypass guest controls by changing virtual hardware or disks.</w:t>
      </w:r>
    </w:p>
    <w:p>
      <w:pPr>
        <w:pStyle w:val="ListBullet"/>
      </w:pPr>
      <w:r>
        <w:rPr>
          <w:rFonts w:ascii="Arial" w:hAnsi="Arial"/>
          <w:color w:val="000000"/>
        </w:rPr>
        <w:t>Keep credentials, tokens, private keys, and raw authorization headers out of screenshots, support tickets, exported logs, and release packages.</w:t>
      </w:r>
    </w:p>
    <w:p>
      <w:pPr>
        <w:pStyle w:val="ListBullet"/>
      </w:pPr>
      <w:r>
        <w:rPr>
          <w:rFonts w:ascii="Arial" w:hAnsi="Arial"/>
          <w:color w:val="000000"/>
        </w:rPr>
        <w:t>Treat the absence of appliance and service-data backup as an accepted data-loss risk. Software rollback is not data recovery.</w:t>
      </w:r>
    </w:p>
    <w:sectPr w:rsidR="00FC693F" w:rsidRPr="0006063C" w:rsidSect="00034616">
      <w:headerReference w:type="default" r:id="rId9"/>
      <w:footerReference w:type="default" r:id="rId10"/>
      <w:pgSz w:w="12240" w:h="15840"/>
      <w:pgMar w:top="1037" w:right="1123" w:bottom="950"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color w:val="000000"/>
        <w:sz w:val="16"/>
      </w:rPr>
      <w:t xml:space="preserve">Internal operator reference    |    Applies to 1.2.0    |    </w:t>
    </w:r>
    <w:r>
      <w:rPr>
        <w:rFonts w:ascii="Arial" w:hAnsi="Arial"/>
        <w:color w:val="000000"/>
        <w:sz w:val="16"/>
      </w:rPr>
      <w:t xml:space="preserve">Page </w:t>
    </w:r>
    <w:r>
      <w:rPr>
        <w:rFonts w:ascii="Arial" w:hAnsi="Arial"/>
        <w:color w:val="000000"/>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000000"/>
        <w:sz w:val="16"/>
      </w:rPr>
      <w:t>VCF STORAGE APPLIANCE    |    ADMINISTRATOR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b w:val="0"/>
      <w:i w:val="0"/>
      <w:iCs/>
      <w:color w:val="000000"/>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17" w:hanging="230"/>
      <w:contextualSpacing/>
    </w:pPr>
    <w:rPr>
      <w:rFonts w:ascii="Arial" w:hAnsi="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17" w:hanging="230"/>
      <w:contextualSpacing/>
    </w:pPr>
    <w:rPr>
      <w:rFonts w:ascii="Arial" w:hAnsi="Arial"/>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Storage Appliance Administrator Guide</dc:title>
  <dc:subject>VCF Storage Appliance operator documentation</dc:subject>
  <dc:creator>Lab Infrastructure</dc:creator>
  <cp:keywords>Storage Appliance, SFTP, Harbor, vCenter Content Library</cp:keywords>
  <dc:description/>
  <cp:lastModifiedBy/>
  <cp:revision>1</cp:revision>
  <dcterms:created xsi:type="dcterms:W3CDTF">2013-12-23T23:15:00Z</dcterms:created>
  <dcterms:modified xsi:type="dcterms:W3CDTF">2013-12-23T23:15:00Z</dcterms:modified>
  <cp:category/>
</cp:coreProperties>
</file>