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VCF Offline Depot</w:t>
      </w:r>
    </w:p>
    <w:p>
      <w:pPr>
        <w:pStyle w:val="Subtitle"/>
      </w:pPr>
      <w:r>
        <w:rPr>
          <w:color w:val="000000"/>
        </w:rPr>
        <w:t>Quick Start Guide</w:t>
      </w:r>
    </w:p>
    <w:p>
      <w:r>
        <w:rPr>
          <w:color w:val="000000"/>
        </w:rPr>
        <w:t>Release baseline: Appliance 1.2.0 - distribution build 2026-10-01.1</w:t>
      </w:r>
      <w:r>
        <w:rPr>
          <w:b/>
          <w:color w:val="000000"/>
        </w:rPr>
      </w:r>
      <w:r>
        <w:rPr>
          <w:color w:val="000000"/>
        </w:rPr>
      </w:r>
    </w:p>
    <w:p>
      <w:r>
        <w:rPr>
          <w:color w:val="000000"/>
        </w:rPr>
        <w:t>Documentation revision: 2.1 — 1 October 2026</w:t>
      </w:r>
      <w:r>
        <w:rPr>
          <w:b/>
          <w:color w:val="000000"/>
        </w:rPr>
      </w:r>
      <w:r>
        <w:rPr>
          <w:color w:val="000000"/>
        </w:rPr>
      </w:r>
    </w:p>
    <w:p>
      <w:r>
        <w:rPr>
          <w:color w:val="000000"/>
        </w:rPr>
        <w:t>Release status: Version 1.2.0 maintenance release. Consult the signed release record for validation of this exact OVA.</w:t>
      </w:r>
      <w:r>
        <w:rPr>
          <w:b/>
          <w:color w:val="000000"/>
        </w:rPr>
      </w:r>
      <w:r>
        <w:rPr>
          <w:color w:val="000000"/>
        </w:rPr>
      </w:r>
    </w:p>
    <w:p>
      <w:r>
        <w:rPr>
          <w:color w:val="000000"/>
        </w:rPr>
      </w:r>
      <w:r>
        <w:rPr>
          <w:b/>
          <w:color w:val="000000"/>
        </w:rPr>
        <w:t>Audience:</w:t>
      </w:r>
      <w:r>
        <w:rPr>
          <w:color w:val="000000"/>
        </w:rPr>
        <w:t xml:space="preserve"> Administrators completing initial appliance setup after deployment</w:t>
      </w:r>
    </w:p>
    <w:p>
      <w:r>
        <w:rPr>
          <w:color w:val="000000"/>
        </w:rPr>
      </w:r>
      <w:r>
        <w:rPr>
          <w:b/>
          <w:color w:val="000000"/>
        </w:rPr>
        <w:t>Goal:</w:t>
      </w:r>
      <w:r>
        <w:rPr>
          <w:color w:val="000000"/>
        </w:rPr>
        <w:t xml:space="preserve"> Install and authorize the VCF Download Tool, download content, secure depot access, install a production certificate, and connect the supported VCF Installer</w:t>
      </w:r>
    </w:p>
    <w:p>
      <w:pPr>
        <w:pStyle w:val="Heading1"/>
      </w:pPr>
      <w:r>
        <w:rPr>
          <w:color w:val="000000"/>
        </w:rPr>
        <w:t>Bootable ESX installer media</w:t>
      </w:r>
    </w:p>
    <w:p>
      <w:r>
        <w:rPr>
          <w:color w:val="000000"/>
        </w:rPr>
        <w:t xml:space="preserve">Choose </w:t>
      </w:r>
      <w:r>
        <w:rPr>
          <w:b/>
          <w:color w:val="000000"/>
        </w:rPr>
        <w:t>Install, including ESXi media</w:t>
      </w:r>
      <w:r>
        <w:rPr>
          <w:color w:val="000000"/>
        </w:rPr>
        <w:t xml:space="preserve"> when downloading installation binaries. After the main VCF download, the appliance reads the release bill of materials and product catalog, then makes a separate VCF Download Tool request for the matching x86-64 bootable ESX ISO bundle ID. This includes installer media cataloged as PATCH instead of INSTALL. No separate manual ISO upload is required for an available entitled catalog entry.</w:t>
      </w:r>
    </w:p>
    <w:p>
      <w:r>
        <w:rPr>
          <w:color w:val="000000"/>
        </w:rPr>
        <w:t xml:space="preserve">The job requires the expected ISO filename, size, and SHA-256 checksum before reporting success. For VCF 9.1.1, the catalog entry is </w:t>
      </w:r>
      <w:r>
        <w:rPr>
          <w:rFonts w:ascii="Consolas" w:hAnsi="Consolas"/>
          <w:color w:val="000000"/>
          <w:sz w:val="18"/>
        </w:rPr>
        <w:t>VMware-VMvisor-Installer-9.1.1.0.25714478.x86_64.iso</w:t>
      </w:r>
      <w:r>
        <w:rPr>
          <w:color w:val="000000"/>
        </w:rPr>
        <w:t xml:space="preserve">. A missing, ambiguous, or corrupt ISO fails the job instead of accepting a zero-result request. Correct the cause and retry the same release; the tool reuses existing content. Look under the ESX_HOST component in </w:t>
      </w:r>
      <w:r>
        <w:rPr>
          <w:b/>
          <w:color w:val="000000"/>
        </w:rPr>
        <w:t>Depot Files</w:t>
      </w:r>
      <w:r>
        <w:rPr>
          <w:color w:val="000000"/>
        </w:rPr>
        <w:t>. A fresh activation code is required for each new job and is removed after use.</w:t>
      </w:r>
    </w:p>
    <w:p>
      <w:pPr>
        <w:pStyle w:val="Heading1"/>
      </w:pPr>
      <w:r>
        <w:rPr>
          <w:color w:val="000000"/>
        </w:rPr>
        <w:t>Navigation in this build</w:t>
      </w:r>
    </w:p>
    <w:p>
      <w:r>
        <w:rPr>
          <w:color w:val="000000"/>
        </w:rPr>
        <w:t xml:space="preserve">The header provides </w:t>
      </w:r>
      <w:r>
        <w:rPr>
          <w:b/>
          <w:color w:val="000000"/>
        </w:rPr>
        <w:t>Authorize &amp; Download</w:t>
      </w:r>
      <w:r>
        <w:rPr>
          <w:color w:val="000000"/>
        </w:rPr>
        <w:t xml:space="preserve">, </w:t>
      </w:r>
      <w:r>
        <w:rPr>
          <w:b/>
          <w:color w:val="000000"/>
        </w:rPr>
        <w:t>VCF Connections</w:t>
      </w:r>
      <w:r>
        <w:rPr>
          <w:color w:val="000000"/>
        </w:rPr>
        <w:t xml:space="preserve">, </w:t>
      </w:r>
      <w:r>
        <w:rPr>
          <w:b/>
          <w:color w:val="000000"/>
        </w:rPr>
        <w:t>Depot Files</w:t>
      </w:r>
      <w:r>
        <w:rPr>
          <w:color w:val="000000"/>
        </w:rPr>
        <w:t xml:space="preserve">, </w:t>
      </w:r>
      <w:r>
        <w:rPr>
          <w:b/>
          <w:color w:val="000000"/>
        </w:rPr>
        <w:t>Depot Management</w:t>
      </w:r>
      <w:r>
        <w:rPr>
          <w:color w:val="000000"/>
        </w:rPr>
        <w:t xml:space="preserve">, </w:t>
      </w:r>
      <w:r>
        <w:rPr>
          <w:b/>
          <w:color w:val="000000"/>
        </w:rPr>
        <w:t>Connection Logs</w:t>
      </w:r>
      <w:r>
        <w:rPr>
          <w:color w:val="000000"/>
        </w:rPr>
        <w:t xml:space="preserve">, and </w:t>
      </w:r>
      <w:r>
        <w:rPr>
          <w:b/>
          <w:color w:val="000000"/>
        </w:rPr>
        <w:t>Appliance Status</w:t>
      </w:r>
      <w:r>
        <w:rPr>
          <w:color w:val="000000"/>
        </w:rPr>
        <w:t xml:space="preserve">. During initial setup, </w:t>
      </w:r>
      <w:r>
        <w:rPr>
          <w:b/>
          <w:color w:val="000000"/>
        </w:rPr>
        <w:t>Prepare Depot</w:t>
      </w:r>
      <w:r>
        <w:rPr>
          <w:color w:val="000000"/>
        </w:rPr>
        <w:t xml:space="preserve"> provides the guided steps for the Download Tool, authorization, Depot Accounts, HTTPS Certificate, and VCF Connections. After a saved endpoint becomes Connected, the setup workflow is hidden.</w:t>
      </w:r>
    </w:p>
    <w:p>
      <w:r>
        <w:rPr>
          <w:color w:val="000000"/>
        </w:rPr>
      </w:r>
      <w:r>
        <w:rPr>
          <w:b/>
          <w:color w:val="000000"/>
        </w:rPr>
        <w:t>Depot Management</w:t>
      </w:r>
      <w:r>
        <w:rPr>
          <w:color w:val="000000"/>
        </w:rPr>
        <w:t xml:space="preserve"> remains available before and after setup. Its three cards open Download Tool, Depot Accounts, and HTTPS Certificate. Use </w:t>
      </w:r>
      <w:r>
        <w:rPr>
          <w:b/>
          <w:color w:val="000000"/>
        </w:rPr>
        <w:t>Back to Depot Management</w:t>
      </w:r>
      <w:r>
        <w:rPr>
          <w:color w:val="000000"/>
        </w:rPr>
        <w:t xml:space="preserve"> to return. Maintenance does not require disconnecting or deleting a working endpoint. After rotating depot credentials or renewing the certificate, review affected clients in </w:t>
      </w:r>
      <w:r>
        <w:rPr>
          <w:b/>
          <w:color w:val="000000"/>
        </w:rPr>
        <w:t>VCF Connections</w:t>
      </w:r>
      <w:r>
        <w:rPr>
          <w:color w:val="000000"/>
        </w:rPr>
        <w:t xml:space="preserve"> and verify authenticated retrieval.</w:t>
      </w:r>
    </w:p>
    <w:p>
      <w:r>
        <w:rPr>
          <w:color w:val="000000"/>
        </w:rPr>
      </w:r>
      <w:r>
        <w:rPr>
          <w:b/>
          <w:color w:val="000000"/>
        </w:rPr>
        <w:t>Depot Files</w:t>
      </w:r>
      <w:r>
        <w:rPr>
          <w:color w:val="000000"/>
        </w:rPr>
        <w:t xml:space="preserve"> opens the </w:t>
      </w:r>
      <w:r>
        <w:rPr>
          <w:b/>
          <w:color w:val="000000"/>
        </w:rPr>
        <w:t>Depot File Management</w:t>
      </w:r>
      <w:r>
        <w:rPr>
          <w:color w:val="000000"/>
        </w:rPr>
        <w:t xml:space="preserve"> page for browsing, uploading, and managing release files. </w:t>
      </w:r>
      <w:r>
        <w:rPr>
          <w:b/>
          <w:color w:val="000000"/>
        </w:rPr>
        <w:t>Appliance Status</w:t>
      </w:r>
      <w:r>
        <w:rPr>
          <w:color w:val="000000"/>
        </w:rPr>
        <w:t xml:space="preserve"> reports health and effective settings. The administrator menu contains </w:t>
      </w:r>
      <w:r>
        <w:rPr>
          <w:b/>
          <w:color w:val="000000"/>
        </w:rPr>
        <w:t>Appliance management</w:t>
      </w:r>
      <w:r>
        <w:rPr>
          <w:color w:val="000000"/>
        </w:rPr>
        <w:t xml:space="preserve">, </w:t>
      </w:r>
      <w:r>
        <w:rPr>
          <w:b/>
          <w:color w:val="000000"/>
        </w:rPr>
        <w:t>Appliance updates</w:t>
      </w:r>
      <w:r>
        <w:rPr>
          <w:color w:val="000000"/>
        </w:rPr>
        <w:t xml:space="preserve">, and </w:t>
      </w:r>
      <w:r>
        <w:rPr>
          <w:b/>
          <w:color w:val="000000"/>
        </w:rPr>
        <w:t>Admin user management</w:t>
      </w:r>
      <w:r>
        <w:rPr>
          <w:color w:val="000000"/>
        </w:rPr>
        <w:t>; these pages leave the primary header links unhighlighted.</w:t>
      </w:r>
    </w:p>
    <w:p>
      <w:pPr>
        <w:pStyle w:val="Heading1"/>
      </w:pPr>
      <w:r>
        <w:rPr>
          <w:color w:val="000000"/>
        </w:rPr>
        <w:t>Before you start</w:t>
      </w:r>
    </w:p>
    <w:p>
      <w:r>
        <w:rPr>
          <w:color w:val="000000"/>
        </w:rPr>
        <w:t xml:space="preserve">Confirm the appliance has completed first boot and you can sign in at </w:t>
      </w:r>
      <w:r>
        <w:rPr>
          <w:rFonts w:ascii="Consolas" w:hAnsi="Consolas"/>
          <w:color w:val="000000"/>
          <w:sz w:val="18"/>
        </w:rPr>
        <w:t>https://&lt;appliance-fqdn&gt;/admin/</w:t>
      </w:r>
      <w:r>
        <w:rPr>
          <w:color w:val="000000"/>
        </w:rPr>
        <w:t xml:space="preserve"> with a named web administrator.</w:t>
      </w:r>
    </w:p>
    <w:p>
      <w:r>
        <w:rPr>
          <w:color w:val="000000"/>
        </w:rPr>
        <w:t>Have the following available:</w:t>
      </w:r>
    </w:p>
    <w:p>
      <w:pPr>
        <w:pStyle w:val="Procedure"/>
        <w:numPr>
          <w:ilvl w:val="0"/>
          <w:numId w:val="10"/>
        </w:numPr>
      </w:pPr>
      <w:r>
        <w:rPr>
          <w:color w:val="000000"/>
        </w:rPr>
        <w:t>Supported Linux AMD64 VCF Download Tool archive.</w:t>
      </w:r>
    </w:p>
    <w:p>
      <w:pPr>
        <w:pStyle w:val="Procedure"/>
        <w:numPr>
          <w:ilvl w:val="0"/>
          <w:numId w:val="11"/>
        </w:numPr>
      </w:pPr>
      <w:r>
        <w:rPr>
          <w:color w:val="000000"/>
        </w:rPr>
        <w:t>Broadcom entitlement and a current activation code for this Software Depot ID.</w:t>
      </w:r>
    </w:p>
    <w:p>
      <w:pPr>
        <w:pStyle w:val="Procedure"/>
        <w:numPr>
          <w:ilvl w:val="0"/>
          <w:numId w:val="12"/>
        </w:numPr>
      </w:pPr>
      <w:r>
        <w:rPr>
          <w:color w:val="000000"/>
        </w:rPr>
        <w:t>Selected VCF release and sufficient depot-data capacity.</w:t>
      </w:r>
    </w:p>
    <w:p>
      <w:pPr>
        <w:pStyle w:val="Procedure"/>
        <w:numPr>
          <w:ilvl w:val="0"/>
          <w:numId w:val="13"/>
        </w:numPr>
      </w:pPr>
      <w:r>
        <w:rPr>
          <w:color w:val="000000"/>
        </w:rPr>
        <w:t>A unique depot-account username and password.</w:t>
      </w:r>
    </w:p>
    <w:p>
      <w:pPr>
        <w:pStyle w:val="Procedure"/>
        <w:numPr>
          <w:ilvl w:val="0"/>
          <w:numId w:val="14"/>
        </w:numPr>
      </w:pPr>
      <w:r>
        <w:rPr>
          <w:color w:val="000000"/>
        </w:rPr>
        <w:t>Final appliance FQDN and required certificate SANs.</w:t>
      </w:r>
    </w:p>
    <w:p>
      <w:pPr>
        <w:pStyle w:val="Procedure"/>
        <w:numPr>
          <w:ilvl w:val="0"/>
          <w:numId w:val="15"/>
        </w:numPr>
      </w:pPr>
      <w:r>
        <w:rPr>
          <w:color w:val="000000"/>
        </w:rPr>
        <w:t>Access to an approved certificate authority.</w:t>
      </w:r>
    </w:p>
    <w:p>
      <w:pPr>
        <w:pStyle w:val="Procedure"/>
        <w:numPr>
          <w:ilvl w:val="0"/>
          <w:numId w:val="16"/>
        </w:numPr>
      </w:pPr>
      <w:r>
        <w:rPr>
          <w:color w:val="000000"/>
        </w:rPr>
        <w:t xml:space="preserve">VCF Installer endpoint credential, </w:t>
      </w:r>
      <w:r>
        <w:rPr>
          <w:rFonts w:ascii="Consolas" w:hAnsi="Consolas"/>
          <w:color w:val="000000"/>
          <w:sz w:val="18"/>
        </w:rPr>
        <w:t>vcf</w:t>
      </w:r>
      <w:r>
        <w:rPr>
          <w:color w:val="000000"/>
        </w:rPr>
        <w:t xml:space="preserve"> SSH credential, root elevation password, HTTPS identity, and SSH host-key reference.</w:t>
      </w:r>
    </w:p>
    <w:p>
      <w:r>
        <w:rPr>
          <w:color w:val="000000"/>
        </w:rPr>
        <w:t>Complete the six workflows in order.</w:t>
      </w:r>
    </w:p>
    <w:p>
      <w:pPr>
        <w:pStyle w:val="Heading2"/>
      </w:pPr>
      <w:r>
        <w:rPr>
          <w:color w:val="000000"/>
        </w:rPr>
        <w:t>Set the appliance timezone</w:t>
      </w:r>
    </w:p>
    <w:p>
      <w:pPr>
        <w:pStyle w:val="Procedure"/>
        <w:numPr>
          <w:ilvl w:val="0"/>
          <w:numId w:val="17"/>
        </w:numPr>
      </w:pPr>
      <w:r>
        <w:rPr>
          <w:color w:val="000000"/>
        </w:rPr>
        <w:t xml:space="preserve">Open the administrator account menu and select </w:t>
      </w:r>
      <w:r>
        <w:rPr>
          <w:b/>
          <w:color w:val="000000"/>
        </w:rPr>
        <w:t>Appliance management</w:t>
      </w:r>
      <w:r>
        <w:rPr>
          <w:color w:val="000000"/>
        </w:rPr>
        <w:t>.</w:t>
      </w:r>
    </w:p>
    <w:p>
      <w:pPr>
        <w:pStyle w:val="Procedure"/>
        <w:numPr>
          <w:ilvl w:val="0"/>
          <w:numId w:val="18"/>
        </w:numPr>
      </w:pPr>
      <w:r>
        <w:rPr>
          <w:color w:val="000000"/>
        </w:rPr>
        <w:t xml:space="preserve">In </w:t>
      </w:r>
      <w:r>
        <w:rPr>
          <w:b/>
          <w:color w:val="000000"/>
        </w:rPr>
        <w:t>Timezone</w:t>
      </w:r>
      <w:r>
        <w:rPr>
          <w:color w:val="000000"/>
        </w:rPr>
        <w:t xml:space="preserve">, choose an installed region and city, such as </w:t>
      </w:r>
      <w:r>
        <w:rPr>
          <w:b/>
          <w:color w:val="000000"/>
        </w:rPr>
        <w:t>America/New_York</w:t>
      </w:r>
      <w:r>
        <w:rPr>
          <w:color w:val="000000"/>
        </w:rPr>
        <w:t xml:space="preserve">, or </w:t>
      </w:r>
      <w:r>
        <w:rPr>
          <w:b/>
          <w:color w:val="000000"/>
        </w:rPr>
        <w:t>Etc/UTC</w:t>
      </w:r>
      <w:r>
        <w:rPr>
          <w:color w:val="000000"/>
        </w:rPr>
        <w:t>.</w:t>
      </w:r>
    </w:p>
    <w:p>
      <w:pPr>
        <w:pStyle w:val="Procedure"/>
        <w:numPr>
          <w:ilvl w:val="0"/>
          <w:numId w:val="19"/>
        </w:numPr>
      </w:pPr>
      <w:r>
        <w:rPr>
          <w:color w:val="000000"/>
        </w:rPr>
        <w:t xml:space="preserve">Select </w:t>
      </w:r>
      <w:r>
        <w:rPr>
          <w:b/>
          <w:color w:val="000000"/>
        </w:rPr>
        <w:t>Save timezone</w:t>
      </w:r>
      <w:r>
        <w:rPr>
          <w:color w:val="000000"/>
        </w:rPr>
        <w:t xml:space="preserve"> and confirm the current-timezone message matches your selection.</w:t>
      </w:r>
    </w:p>
    <w:p>
      <w:pPr>
        <w:pStyle w:val="Procedure"/>
        <w:numPr>
          <w:ilvl w:val="0"/>
          <w:numId w:val="20"/>
        </w:numPr>
      </w:pPr>
      <w:r>
        <w:rPr>
          <w:color w:val="000000"/>
        </w:rPr>
        <w:t xml:space="preserve">Open </w:t>
      </w:r>
      <w:r>
        <w:rPr>
          <w:b/>
          <w:color w:val="000000"/>
        </w:rPr>
        <w:t>Appliance Status</w:t>
      </w:r>
      <w:r>
        <w:rPr>
          <w:color w:val="000000"/>
        </w:rPr>
        <w:t xml:space="preserve">, select </w:t>
      </w:r>
      <w:r>
        <w:rPr>
          <w:b/>
          <w:color w:val="000000"/>
        </w:rPr>
        <w:t>Refresh status</w:t>
      </w:r>
      <w:r>
        <w:rPr>
          <w:color w:val="000000"/>
        </w:rPr>
        <w:t xml:space="preserve">, and verify the timezone under </w:t>
      </w:r>
      <w:r>
        <w:rPr>
          <w:b/>
          <w:color w:val="000000"/>
        </w:rPr>
        <w:t>Time synchronization</w:t>
      </w:r>
      <w:r>
        <w:rPr>
          <w:color w:val="000000"/>
        </w:rPr>
        <w:t>.</w:t>
      </w:r>
    </w:p>
    <w:p>
      <w:pPr>
        <w:pStyle w:val="Procedure"/>
        <w:numPr>
          <w:ilvl w:val="0"/>
          <w:numId w:val="21"/>
        </w:numPr>
      </w:pPr>
      <w:r>
        <w:rPr>
          <w:color w:val="000000"/>
        </w:rPr>
        <w:t>Record the setting. After the next planned reboot, verify it is retained.</w:t>
      </w:r>
    </w:p>
    <w:p>
      <w:r>
        <w:rPr>
          <w:color w:val="000000"/>
        </w:rPr>
        <w:t xml:space="preserve">The sealed OVA defaults to </w:t>
      </w:r>
      <w:r>
        <w:rPr>
          <w:b/>
          <w:color w:val="000000"/>
        </w:rPr>
        <w:t>Etc/UTC</w:t>
      </w:r>
      <w:r>
        <w:rPr>
          <w:color w:val="000000"/>
        </w:rPr>
        <w:t xml:space="preserve">. Saving the timezone is independent of </w:t>
      </w:r>
      <w:r>
        <w:rPr>
          <w:b/>
          <w:color w:val="000000"/>
        </w:rPr>
        <w:t>Apply configuration</w:t>
      </w:r>
      <w:r>
        <w:rPr>
          <w:color w:val="000000"/>
        </w:rPr>
        <w:t xml:space="preserve">: it does not apply pending identity or network edits, change the NTP server list, or restart NTP. NTP synchronizes the clock independently of the timezone. Configure up to two NTP sources in </w:t>
      </w:r>
      <w:r>
        <w:rPr>
          <w:b/>
          <w:color w:val="000000"/>
        </w:rPr>
        <w:t>DNS and time</w:t>
      </w:r>
      <w:r>
        <w:rPr>
          <w:color w:val="000000"/>
        </w:rPr>
        <w:t xml:space="preserve">, then use </w:t>
      </w:r>
      <w:r>
        <w:rPr>
          <w:b/>
          <w:color w:val="000000"/>
        </w:rPr>
        <w:t>Apply configuration</w:t>
      </w:r>
      <w:r>
        <w:rPr>
          <w:color w:val="000000"/>
        </w:rPr>
        <w:t xml:space="preserve"> for those changes.</w:t>
      </w:r>
    </w:p>
    <w:p>
      <w:r>
        <w:rPr>
          <w:color w:val="000000"/>
        </w:rPr>
        <w:t>The inventory UPDATED badge uses the browser workstation's local date and time. Changing the appliance timezone does not change the workstation timezone; UTC audit timestamps remain UTC. Record the timezone when correlating events.</w:t>
      </w:r>
    </w:p>
    <w:p>
      <w:pPr>
        <w:pStyle w:val="Heading1"/>
      </w:pPr>
      <w:r>
        <w:rPr>
          <w:color w:val="000000"/>
        </w:rPr>
        <w:t>1. Install VCF Download Tool</w:t>
      </w:r>
    </w:p>
    <w:p>
      <w:r>
        <w:rPr>
          <w:color w:val="000000"/>
        </w:rPr>
      </w:r>
      <w:r>
        <w:rPr>
          <w:b/>
          <w:color w:val="000000"/>
        </w:rPr>
        <w:t>Why:</w:t>
      </w:r>
      <w:r>
        <w:rPr>
          <w:color w:val="000000"/>
        </w:rPr>
        <w:t xml:space="preserve"> The appliance needs the supported vendor tool before it can authorize access or download entitled VCF content.</w:t>
      </w:r>
    </w:p>
    <w:p>
      <w:r>
        <w:rPr>
          <w:color w:val="000000"/>
        </w:rPr>
      </w:r>
      <w:r>
        <w:rPr>
          <w:b/>
          <w:color w:val="000000"/>
        </w:rPr>
        <w:t>You need:</w:t>
      </w:r>
      <w:r>
        <w:rPr>
          <w:color w:val="000000"/>
        </w:rPr>
        <w:t xml:space="preserve"> The verified Linux AMD64 VCF Download Tool archive from the approved vendor source.</w:t>
      </w:r>
    </w:p>
    <w:p>
      <w:pPr>
        <w:pStyle w:val="Procedure"/>
        <w:numPr>
          <w:ilvl w:val="0"/>
          <w:numId w:val="22"/>
        </w:numPr>
      </w:pPr>
      <w:r>
        <w:rPr>
          <w:color w:val="000000"/>
        </w:rPr>
        <w:t>Sign in to the appliance GUI.</w:t>
      </w:r>
    </w:p>
    <w:p>
      <w:pPr>
        <w:pStyle w:val="Procedure"/>
        <w:numPr>
          <w:ilvl w:val="0"/>
          <w:numId w:val="23"/>
        </w:numPr>
      </w:pPr>
      <w:r>
        <w:rPr>
          <w:color w:val="000000"/>
        </w:rPr>
        <w:t xml:space="preserve">Open </w:t>
      </w:r>
      <w:r>
        <w:rPr>
          <w:b/>
          <w:color w:val="000000"/>
        </w:rPr>
        <w:t>Prepare Depot</w:t>
      </w:r>
      <w:r>
        <w:rPr>
          <w:color w:val="000000"/>
        </w:rPr>
        <w:t xml:space="preserve">, then </w:t>
      </w:r>
      <w:r>
        <w:rPr>
          <w:b/>
          <w:color w:val="000000"/>
        </w:rPr>
        <w:t>Download Tool</w:t>
      </w:r>
      <w:r>
        <w:rPr>
          <w:color w:val="000000"/>
        </w:rPr>
        <w:t xml:space="preserve"> in the setup sidebar.</w:t>
      </w:r>
    </w:p>
    <w:p>
      <w:pPr>
        <w:pStyle w:val="Procedure"/>
        <w:numPr>
          <w:ilvl w:val="0"/>
          <w:numId w:val="24"/>
        </w:numPr>
      </w:pPr>
      <w:r>
        <w:rPr>
          <w:color w:val="000000"/>
        </w:rPr>
        <w:t>Confirm no tool installation or download job is already running.</w:t>
      </w:r>
    </w:p>
    <w:p>
      <w:pPr>
        <w:pStyle w:val="Procedure"/>
        <w:numPr>
          <w:ilvl w:val="0"/>
          <w:numId w:val="25"/>
        </w:numPr>
      </w:pPr>
      <w:r>
        <w:rPr>
          <w:color w:val="000000"/>
        </w:rPr>
        <w:t>Select the VCF Download Tool archive.</w:t>
      </w:r>
    </w:p>
    <w:p>
      <w:pPr>
        <w:pStyle w:val="Procedure"/>
        <w:numPr>
          <w:ilvl w:val="0"/>
          <w:numId w:val="26"/>
        </w:numPr>
      </w:pPr>
      <w:r>
        <w:rPr>
          <w:color w:val="000000"/>
        </w:rPr>
        <w:t>Start the upload and installation.</w:t>
      </w:r>
    </w:p>
    <w:p>
      <w:pPr>
        <w:pStyle w:val="Procedure"/>
        <w:numPr>
          <w:ilvl w:val="0"/>
          <w:numId w:val="27"/>
        </w:numPr>
      </w:pPr>
      <w:r>
        <w:rPr>
          <w:color w:val="000000"/>
        </w:rPr>
        <w:t>Wait while the appliance validates the archive and extracts it safely.</w:t>
      </w:r>
    </w:p>
    <w:p>
      <w:pPr>
        <w:pStyle w:val="Procedure"/>
        <w:numPr>
          <w:ilvl w:val="0"/>
          <w:numId w:val="28"/>
        </w:numPr>
      </w:pPr>
      <w:r>
        <w:rPr>
          <w:color w:val="000000"/>
        </w:rPr>
        <w:t>Confirm the page displays the installed tool version.</w:t>
      </w:r>
    </w:p>
    <w:p>
      <w:pPr>
        <w:pStyle w:val="Procedure"/>
        <w:numPr>
          <w:ilvl w:val="0"/>
          <w:numId w:val="29"/>
        </w:numPr>
      </w:pPr>
      <w:r>
        <w:rPr>
          <w:color w:val="000000"/>
        </w:rPr>
        <w:t>Confirm the tool status shows that it is available for use.</w:t>
      </w:r>
    </w:p>
    <w:p>
      <w:r>
        <w:rPr>
          <w:color w:val="000000"/>
        </w:rPr>
      </w:r>
      <w:r>
        <w:rPr>
          <w:b/>
          <w:color w:val="000000"/>
        </w:rPr>
        <w:t>Success:</w:t>
      </w:r>
      <w:r>
        <w:rPr>
          <w:color w:val="000000"/>
        </w:rPr>
        <w:t xml:space="preserve"> The expected tool version is displayed without an archive, architecture, launcher, or extraction error.</w:t>
      </w:r>
    </w:p>
    <w:p>
      <w:r>
        <w:rPr>
          <w:color w:val="000000"/>
        </w:rPr>
      </w:r>
      <w:r>
        <w:rPr>
          <w:b/>
          <w:color w:val="000000"/>
        </w:rPr>
        <w:t>If it fails:</w:t>
      </w:r>
      <w:r>
        <w:rPr>
          <w:color w:val="000000"/>
        </w:rPr>
        <w:t xml:space="preserve"> Verify the archive source and checksum. Use the Linux AMD64 package and do not alter or repackage the vendor archive.</w:t>
      </w:r>
    </w:p>
    <w:p>
      <w:pPr>
        <w:pStyle w:val="Heading1"/>
      </w:pPr>
      <w:r>
        <w:rPr>
          <w:color w:val="000000"/>
        </w:rPr>
        <w:t>2. Authorize VCF Download Tool</w:t>
      </w:r>
    </w:p>
    <w:p>
      <w:pPr>
        <w:pStyle w:val="Procedure"/>
        <w:numPr>
          <w:ilvl w:val="0"/>
          <w:numId w:val="30"/>
        </w:numPr>
      </w:pPr>
      <w:r>
        <w:rPr>
          <w:color w:val="000000"/>
        </w:rPr>
        <w:t xml:space="preserve">Open </w:t>
      </w:r>
      <w:r>
        <w:rPr>
          <w:b/>
          <w:color w:val="000000"/>
        </w:rPr>
        <w:t>Authorize &amp; Download</w:t>
      </w:r>
      <w:r>
        <w:rPr>
          <w:color w:val="000000"/>
        </w:rPr>
        <w:t xml:space="preserve"> (or the authorization step in Prepare Depot during initial setup).</w:t>
      </w:r>
    </w:p>
    <w:p>
      <w:pPr>
        <w:pStyle w:val="Procedure"/>
        <w:numPr>
          <w:ilvl w:val="0"/>
          <w:numId w:val="31"/>
        </w:numPr>
      </w:pPr>
      <w:r>
        <w:rPr>
          <w:color w:val="000000"/>
        </w:rPr>
        <w:t xml:space="preserve">Select </w:t>
      </w:r>
      <w:r>
        <w:rPr>
          <w:b/>
          <w:color w:val="000000"/>
        </w:rPr>
        <w:t>Get Software Depot ID</w:t>
      </w:r>
      <w:r>
        <w:rPr>
          <w:color w:val="000000"/>
        </w:rPr>
        <w:t xml:space="preserve"> and copy the identifier.</w:t>
      </w:r>
    </w:p>
    <w:p>
      <w:pPr>
        <w:pStyle w:val="Procedure"/>
        <w:numPr>
          <w:ilvl w:val="0"/>
          <w:numId w:val="32"/>
        </w:numPr>
      </w:pPr>
      <w:r>
        <w:rPr>
          <w:color w:val="000000"/>
        </w:rPr>
        <w:t>Register that identifier through Broadcom and obtain an entitled activation code.</w:t>
      </w:r>
    </w:p>
    <w:p>
      <w:pPr>
        <w:pStyle w:val="Procedure"/>
        <w:numPr>
          <w:ilvl w:val="0"/>
          <w:numId w:val="33"/>
        </w:numPr>
      </w:pPr>
      <w:r>
        <w:rPr>
          <w:color w:val="000000"/>
        </w:rPr>
        <w:t>Enter the activation code in the protected download field when starting the selected release download.</w:t>
      </w:r>
    </w:p>
    <w:p>
      <w:r>
        <w:rPr>
          <w:color w:val="000000"/>
        </w:rPr>
        <w:t>The ACTIVATED badge records a previous successful download. It does not replace the current activation code required for each new job. The appliance does not retain the activation code after the job.</w:t>
      </w:r>
    </w:p>
    <w:p>
      <w:pPr>
        <w:pStyle w:val="Heading1"/>
      </w:pPr>
      <w:r>
        <w:rPr>
          <w:color w:val="000000"/>
        </w:rPr>
        <w:t>3. Download binaries</w:t>
      </w:r>
    </w:p>
    <w:p>
      <w:r>
        <w:rPr>
          <w:color w:val="000000"/>
        </w:rPr>
      </w:r>
      <w:r>
        <w:rPr>
          <w:b/>
          <w:color w:val="000000"/>
        </w:rPr>
        <w:t>Why:</w:t>
      </w:r>
      <w:r>
        <w:rPr>
          <w:color w:val="000000"/>
        </w:rPr>
        <w:t xml:space="preserve"> This populates the offline depot with the metadata and binary files required by the selected VCF release.</w:t>
      </w:r>
    </w:p>
    <w:p>
      <w:r>
        <w:rPr>
          <w:color w:val="000000"/>
        </w:rPr>
      </w:r>
      <w:r>
        <w:rPr>
          <w:b/>
          <w:color w:val="000000"/>
        </w:rPr>
        <w:t>You need:</w:t>
      </w:r>
      <w:r>
        <w:rPr>
          <w:color w:val="000000"/>
        </w:rPr>
        <w:t xml:space="preserve"> Successful authorization, the intended VCF release and download type, and sufficient data-disk and datastore capacity.</w:t>
      </w:r>
    </w:p>
    <w:p>
      <w:pPr>
        <w:pStyle w:val="Procedure"/>
        <w:numPr>
          <w:ilvl w:val="0"/>
          <w:numId w:val="34"/>
        </w:numPr>
      </w:pPr>
      <w:r>
        <w:rPr>
          <w:color w:val="000000"/>
        </w:rPr>
        <w:t>Remain on the authorization and download page.</w:t>
      </w:r>
    </w:p>
    <w:p>
      <w:pPr>
        <w:pStyle w:val="Procedure"/>
        <w:numPr>
          <w:ilvl w:val="0"/>
          <w:numId w:val="35"/>
        </w:numPr>
      </w:pPr>
      <w:r>
        <w:rPr>
          <w:color w:val="000000"/>
        </w:rPr>
        <w:t>Enter the current activation code and confirm entitlement to the selected release.</w:t>
      </w:r>
    </w:p>
    <w:p>
      <w:pPr>
        <w:pStyle w:val="Procedure"/>
        <w:numPr>
          <w:ilvl w:val="0"/>
          <w:numId w:val="36"/>
        </w:numPr>
      </w:pPr>
      <w:r>
        <w:rPr>
          <w:color w:val="000000"/>
        </w:rPr>
        <w:t>Select the intended VCF release; this build includes VCF 9.1.1 in the release choices. Confirm your entitlement and required content before downloading.</w:t>
      </w:r>
    </w:p>
    <w:p>
      <w:pPr>
        <w:pStyle w:val="Procedure"/>
        <w:numPr>
          <w:ilvl w:val="0"/>
          <w:numId w:val="37"/>
        </w:numPr>
      </w:pPr>
      <w:r>
        <w:rPr>
          <w:color w:val="000000"/>
        </w:rPr>
        <w:t xml:space="preserve">Select </w:t>
      </w:r>
      <w:r>
        <w:rPr>
          <w:b/>
          <w:color w:val="000000"/>
        </w:rPr>
        <w:t>Install, including ESXi media</w:t>
      </w:r>
      <w:r>
        <w:rPr>
          <w:color w:val="000000"/>
        </w:rPr>
        <w:t xml:space="preserve"> for deployment binaries and the bootable host ISO, or </w:t>
      </w:r>
      <w:r>
        <w:rPr>
          <w:b/>
          <w:color w:val="000000"/>
        </w:rPr>
        <w:t>Upgrade / patch</w:t>
      </w:r>
      <w:r>
        <w:rPr>
          <w:color w:val="000000"/>
        </w:rPr>
        <w:t xml:space="preserve"> for lifecycle content.</w:t>
      </w:r>
      <w:r>
        <w:t xml:space="preserve"> Select All remaining binaries to include optional components and BOM-matched Avi media for this release.</w:t>
      </w:r>
    </w:p>
    <w:p>
      <w:pPr>
        <w:pStyle w:val="Procedure"/>
        <w:numPr>
          <w:ilvl w:val="0"/>
          <w:numId w:val="38"/>
        </w:numPr>
      </w:pPr>
      <w:r>
        <w:rPr>
          <w:color w:val="000000"/>
        </w:rPr>
        <w:t>Review the selection and available storage.</w:t>
      </w:r>
    </w:p>
    <w:p>
      <w:pPr>
        <w:pStyle w:val="Procedure"/>
        <w:numPr>
          <w:ilvl w:val="0"/>
          <w:numId w:val="39"/>
        </w:numPr>
      </w:pPr>
      <w:r>
        <w:rPr>
          <w:color w:val="000000"/>
        </w:rPr>
        <w:t xml:space="preserve">Select </w:t>
      </w:r>
      <w:r>
        <w:rPr>
          <w:b/>
          <w:color w:val="000000"/>
        </w:rPr>
        <w:t>Start release download</w:t>
      </w:r>
      <w:r>
        <w:rPr>
          <w:color w:val="000000"/>
        </w:rPr>
        <w:t>.</w:t>
      </w:r>
    </w:p>
    <w:p>
      <w:pPr>
        <w:pStyle w:val="Procedure"/>
        <w:numPr>
          <w:ilvl w:val="0"/>
          <w:numId w:val="40"/>
        </w:numPr>
      </w:pPr>
      <w:r>
        <w:rPr>
          <w:color w:val="000000"/>
        </w:rPr>
        <w:t xml:space="preserve">Confirm the page moves to </w:t>
      </w:r>
      <w:r>
        <w:rPr>
          <w:b/>
          <w:color w:val="000000"/>
        </w:rPr>
        <w:t>Download activity</w:t>
      </w:r>
      <w:r>
        <w:rPr>
          <w:color w:val="000000"/>
        </w:rPr>
        <w:t>.</w:t>
      </w:r>
    </w:p>
    <w:p>
      <w:pPr>
        <w:pStyle w:val="Procedure"/>
        <w:numPr>
          <w:ilvl w:val="0"/>
          <w:numId w:val="41"/>
        </w:numPr>
      </w:pPr>
      <w:r>
        <w:rPr>
          <w:color w:val="000000"/>
        </w:rPr>
        <w:t>Monitor current file, completed files, transferred size, rate, and errors.</w:t>
      </w:r>
    </w:p>
    <w:p>
      <w:pPr>
        <w:pStyle w:val="Procedure"/>
        <w:numPr>
          <w:ilvl w:val="0"/>
          <w:numId w:val="42"/>
        </w:numPr>
      </w:pPr>
      <w:r>
        <w:rPr>
          <w:color w:val="000000"/>
        </w:rPr>
        <w:t>Leave the job running until it reports completion.</w:t>
      </w:r>
    </w:p>
    <w:p>
      <w:pPr>
        <w:pStyle w:val="Procedure"/>
        <w:numPr>
          <w:ilvl w:val="0"/>
          <w:numId w:val="43"/>
        </w:numPr>
      </w:pPr>
      <w:r>
        <w:rPr>
          <w:color w:val="000000"/>
        </w:rPr>
        <w:t>If interrupted, correct the cause and retry the same job. Verified files should be retained.</w:t>
      </w:r>
    </w:p>
    <w:p>
      <w:pPr>
        <w:pStyle w:val="Procedure"/>
        <w:numPr>
          <w:ilvl w:val="0"/>
          <w:numId w:val="44"/>
        </w:numPr>
      </w:pPr>
      <w:r>
        <w:rPr>
          <w:color w:val="000000"/>
        </w:rPr>
        <w:t xml:space="preserve">Open </w:t>
      </w:r>
      <w:r>
        <w:rPr>
          <w:b/>
          <w:color w:val="000000"/>
        </w:rPr>
        <w:t>Depot Files</w:t>
      </w:r>
      <w:r>
        <w:rPr>
          <w:color w:val="000000"/>
        </w:rPr>
        <w:t>.</w:t>
      </w:r>
    </w:p>
    <w:p>
      <w:pPr>
        <w:pStyle w:val="Procedure"/>
        <w:numPr>
          <w:ilvl w:val="0"/>
          <w:numId w:val="45"/>
        </w:numPr>
      </w:pPr>
      <w:r>
        <w:rPr>
          <w:color w:val="000000"/>
        </w:rPr>
        <w:t xml:space="preserve">Select </w:t>
      </w:r>
      <w:r>
        <w:rPr>
          <w:b/>
          <w:color w:val="000000"/>
        </w:rPr>
        <w:t>Refresh inventory</w:t>
      </w:r>
      <w:r>
        <w:rPr>
          <w:color w:val="000000"/>
        </w:rPr>
        <w:t xml:space="preserve"> once.</w:t>
      </w:r>
    </w:p>
    <w:p>
      <w:pPr>
        <w:pStyle w:val="Procedure"/>
        <w:numPr>
          <w:ilvl w:val="0"/>
          <w:numId w:val="46"/>
        </w:numPr>
      </w:pPr>
      <w:r>
        <w:rPr>
          <w:color w:val="000000"/>
        </w:rPr>
        <w:t xml:space="preserve">Wait for the green </w:t>
      </w:r>
      <w:r>
        <w:rPr>
          <w:b/>
          <w:color w:val="000000"/>
        </w:rPr>
        <w:t>UPDATED</w:t>
      </w:r>
      <w:r>
        <w:rPr>
          <w:color w:val="000000"/>
        </w:rPr>
        <w:t xml:space="preserve"> badge containing the refresh date and time. File count, total size, incomplete count, and free space appear beside the badge. UPDATED confirms that inventory refreshed; it does not certify a complete release download or successful endpoint retrieval.</w:t>
      </w:r>
    </w:p>
    <w:p>
      <w:pPr>
        <w:pStyle w:val="Procedure"/>
        <w:numPr>
          <w:ilvl w:val="0"/>
          <w:numId w:val="47"/>
        </w:numPr>
      </w:pPr>
      <w:r>
        <w:rPr>
          <w:color w:val="000000"/>
        </w:rPr>
        <w:t>Confirm the expected release, file count, and size appear.</w:t>
      </w:r>
    </w:p>
    <w:p>
      <w:r>
        <w:rPr>
          <w:color w:val="000000"/>
        </w:rPr>
      </w:r>
      <w:r>
        <w:rPr>
          <w:b/>
          <w:color w:val="000000"/>
        </w:rPr>
        <w:t>Success:</w:t>
      </w:r>
      <w:r>
        <w:rPr>
          <w:color w:val="000000"/>
        </w:rPr>
        <w:t xml:space="preserve"> The download completes, inventory recognizes the release, and a representative metadata file and binary object are present.</w:t>
      </w:r>
    </w:p>
    <w:p>
      <w:r>
        <w:rPr>
          <w:color w:val="000000"/>
        </w:rPr>
      </w:r>
      <w:r>
        <w:rPr>
          <w:b/>
          <w:color w:val="000000"/>
        </w:rPr>
        <w:t>If it fails:</w:t>
      </w:r>
      <w:r>
        <w:rPr>
          <w:color w:val="000000"/>
        </w:rPr>
        <w:t xml:space="preserve"> Check entitlement, vendor connectivity, DNS, NTP, free space, and the displayed file-level error. Stop and investigate repeated checksum failures.</w:t>
      </w:r>
    </w:p>
    <w:p>
      <w:pPr>
        <w:pStyle w:val="Heading1"/>
      </w:pPr>
      <w:r>
        <w:rPr>
          <w:color w:val="000000"/>
        </w:rPr>
        <w:t>4. Depot Account Creation</w:t>
      </w:r>
    </w:p>
    <w:p>
      <w:r>
        <w:rPr>
          <w:color w:val="000000"/>
        </w:rPr>
      </w:r>
      <w:r>
        <w:rPr>
          <w:b/>
          <w:color w:val="000000"/>
        </w:rPr>
        <w:t>Why:</w:t>
      </w:r>
      <w:r>
        <w:rPr>
          <w:color w:val="000000"/>
        </w:rPr>
        <w:t xml:space="preserve"> VCF Installer needs a dedicated read-only credential to retrieve protected depot content over HTTPS.</w:t>
      </w:r>
    </w:p>
    <w:p>
      <w:r>
        <w:rPr>
          <w:color w:val="000000"/>
        </w:rPr>
      </w:r>
      <w:r>
        <w:rPr>
          <w:b/>
          <w:color w:val="000000"/>
        </w:rPr>
        <w:t>You need:</w:t>
      </w:r>
      <w:r>
        <w:rPr>
          <w:color w:val="000000"/>
        </w:rPr>
        <w:t xml:space="preserve"> A unique username and strong password stored in the approved password manager.</w:t>
      </w:r>
    </w:p>
    <w:p>
      <w:pPr>
        <w:pStyle w:val="Procedure"/>
        <w:numPr>
          <w:ilvl w:val="0"/>
          <w:numId w:val="48"/>
        </w:numPr>
      </w:pPr>
      <w:r>
        <w:rPr>
          <w:color w:val="000000"/>
        </w:rPr>
        <w:t xml:space="preserve">Open </w:t>
      </w:r>
      <w:r>
        <w:rPr>
          <w:b/>
          <w:color w:val="000000"/>
        </w:rPr>
        <w:t>Depot Management &gt; Depot Accounts</w:t>
      </w:r>
      <w:r>
        <w:rPr>
          <w:color w:val="000000"/>
        </w:rPr>
        <w:t xml:space="preserve"> (or </w:t>
      </w:r>
      <w:r>
        <w:rPr>
          <w:b/>
          <w:color w:val="000000"/>
        </w:rPr>
        <w:t>Prepare Depot &gt; Depot Accounts</w:t>
      </w:r>
      <w:r>
        <w:rPr>
          <w:color w:val="000000"/>
        </w:rPr>
        <w:t xml:space="preserve"> during initial setup).</w:t>
      </w:r>
    </w:p>
    <w:p>
      <w:pPr>
        <w:pStyle w:val="Procedure"/>
        <w:numPr>
          <w:ilvl w:val="0"/>
          <w:numId w:val="49"/>
        </w:numPr>
      </w:pPr>
      <w:r>
        <w:rPr>
          <w:color w:val="000000"/>
        </w:rPr>
        <w:t>Locate the account-creation section.</w:t>
      </w:r>
    </w:p>
    <w:p>
      <w:pPr>
        <w:pStyle w:val="Procedure"/>
        <w:numPr>
          <w:ilvl w:val="0"/>
          <w:numId w:val="50"/>
        </w:numPr>
      </w:pPr>
      <w:r>
        <w:rPr>
          <w:color w:val="000000"/>
        </w:rPr>
        <w:t>Enter the depot username.</w:t>
      </w:r>
    </w:p>
    <w:p>
      <w:pPr>
        <w:pStyle w:val="Procedure"/>
        <w:numPr>
          <w:ilvl w:val="0"/>
          <w:numId w:val="51"/>
        </w:numPr>
      </w:pPr>
      <w:r>
        <w:rPr>
          <w:color w:val="000000"/>
        </w:rPr>
        <w:t>Enter and confirm the password.</w:t>
      </w:r>
    </w:p>
    <w:p>
      <w:pPr>
        <w:pStyle w:val="Procedure"/>
        <w:numPr>
          <w:ilvl w:val="0"/>
          <w:numId w:val="52"/>
        </w:numPr>
      </w:pPr>
      <w:r>
        <w:rPr>
          <w:color w:val="000000"/>
        </w:rPr>
        <w:t xml:space="preserve">Select the confirmation checkbox, then select </w:t>
      </w:r>
      <w:r>
        <w:rPr>
          <w:b/>
          <w:color w:val="000000"/>
        </w:rPr>
        <w:t>Save depot account</w:t>
      </w:r>
      <w:r>
        <w:rPr>
          <w:color w:val="000000"/>
        </w:rPr>
        <w:t>.</w:t>
      </w:r>
    </w:p>
    <w:p>
      <w:pPr>
        <w:pStyle w:val="Procedure"/>
        <w:numPr>
          <w:ilvl w:val="0"/>
          <w:numId w:val="53"/>
        </w:numPr>
      </w:pPr>
      <w:r>
        <w:rPr>
          <w:color w:val="000000"/>
        </w:rPr>
        <w:t>Confirm the account appears in the current-account list.</w:t>
      </w:r>
    </w:p>
    <w:p>
      <w:pPr>
        <w:pStyle w:val="Procedure"/>
        <w:numPr>
          <w:ilvl w:val="0"/>
          <w:numId w:val="54"/>
        </w:numPr>
      </w:pPr>
      <w:r>
        <w:rPr>
          <w:color w:val="000000"/>
        </w:rPr>
        <w:t>Store the credential in the approved password manager.</w:t>
      </w:r>
    </w:p>
    <w:p>
      <w:pPr>
        <w:pStyle w:val="Procedure"/>
        <w:numPr>
          <w:ilvl w:val="0"/>
          <w:numId w:val="55"/>
        </w:numPr>
      </w:pPr>
      <w:r>
        <w:rPr>
          <w:color w:val="000000"/>
        </w:rPr>
        <w:t>Test a small metadata request with the new account.</w:t>
      </w:r>
    </w:p>
    <w:p>
      <w:pPr>
        <w:pStyle w:val="CodeBlock"/>
        <w:spacing w:before="100" w:after="160"/>
        <w:shd w:fill="F2F2F2"/>
      </w:pPr>
      <w:r>
        <w:rPr>
          <w:color w:val="000000"/>
        </w:rPr>
        <w:t>curl --cacert depot-ca.pem -u depotuser https://depot.example/PROD/metadata/productVersionCatalog/v1/productVersionCatalog.json</w:t>
      </w:r>
    </w:p>
    <w:p>
      <w:pPr>
        <w:pStyle w:val="Procedure"/>
        <w:numPr>
          <w:ilvl w:val="0"/>
          <w:numId w:val="56"/>
        </w:numPr>
      </w:pPr>
      <w:r>
        <w:rPr>
          <w:color w:val="000000"/>
        </w:rPr>
        <w:t>Confirm the authenticated request succeeds.</w:t>
      </w:r>
    </w:p>
    <w:p>
      <w:pPr>
        <w:pStyle w:val="Procedure"/>
        <w:numPr>
          <w:ilvl w:val="0"/>
          <w:numId w:val="57"/>
        </w:numPr>
      </w:pPr>
      <w:r>
        <w:rPr>
          <w:color w:val="000000"/>
        </w:rPr>
        <w:t>Confirm the same request without credentials returns HTTP 401.</w:t>
      </w:r>
    </w:p>
    <w:p>
      <w:r>
        <w:rPr>
          <w:color w:val="000000"/>
        </w:rPr>
      </w:r>
      <w:r>
        <w:rPr>
          <w:b/>
          <w:color w:val="000000"/>
        </w:rPr>
        <w:t>Success:</w:t>
      </w:r>
      <w:r>
        <w:rPr>
          <w:color w:val="000000"/>
        </w:rPr>
        <w:t xml:space="preserve"> The account retrieves protected content, while anonymous HTTPS access remains rejected.</w:t>
      </w:r>
    </w:p>
    <w:p>
      <w:r>
        <w:rPr>
          <w:color w:val="000000"/>
        </w:rPr>
      </w:r>
      <w:r>
        <w:rPr>
          <w:b/>
          <w:color w:val="000000"/>
        </w:rPr>
        <w:t>If it fails:</w:t>
      </w:r>
      <w:r>
        <w:rPr>
          <w:color w:val="000000"/>
        </w:rPr>
        <w:t xml:space="preserve"> Re-enter the username and password, confirm the account exists, and verify the request uses the appliance's trusted HTTPS name.</w:t>
      </w:r>
    </w:p>
    <w:p>
      <w:pPr>
        <w:pStyle w:val="Heading1"/>
      </w:pPr>
      <w:r>
        <w:rPr>
          <w:color w:val="000000"/>
        </w:rPr>
        <w:t>5. HTTPS Certificate generation and upload</w:t>
      </w:r>
    </w:p>
    <w:p>
      <w:r>
        <w:rPr>
          <w:color w:val="000000"/>
        </w:rPr>
      </w:r>
      <w:r>
        <w:rPr>
          <w:b/>
          <w:color w:val="000000"/>
        </w:rPr>
        <w:t>Why:</w:t>
      </w:r>
      <w:r>
        <w:rPr>
          <w:color w:val="000000"/>
        </w:rPr>
        <w:t xml:space="preserve"> A certificate signed by the approved CA allows browsers and VCF Installer to verify the appliance's production HTTPS identity.</w:t>
      </w:r>
    </w:p>
    <w:p>
      <w:r>
        <w:rPr>
          <w:color w:val="000000"/>
        </w:rPr>
      </w:r>
      <w:r>
        <w:rPr>
          <w:b/>
          <w:color w:val="000000"/>
        </w:rPr>
        <w:t>You need:</w:t>
      </w:r>
      <w:r>
        <w:rPr>
          <w:color w:val="000000"/>
        </w:rPr>
        <w:t xml:space="preserve"> Final appliance FQDN, every required DNS name or IP SAN, and access to the approved certificate authority.</w:t>
      </w:r>
    </w:p>
    <w:p>
      <w:pPr>
        <w:keepNext/>
      </w:pPr>
      <w:r>
        <w:rPr>
          <w:color w:val="000000"/>
        </w:rPr>
      </w:r>
      <w:r>
        <w:rPr>
          <w:b/>
          <w:color w:val="000000"/>
        </w:rPr>
        <w:t>Generate and submit the CSR</w:t>
      </w:r>
      <w:r>
        <w:rPr>
          <w:color w:val="000000"/>
        </w:rPr>
      </w:r>
    </w:p>
    <w:p>
      <w:pPr>
        <w:pStyle w:val="Procedure"/>
        <w:numPr>
          <w:ilvl w:val="0"/>
          <w:numId w:val="58"/>
        </w:numPr>
      </w:pPr>
      <w:r>
        <w:rPr>
          <w:color w:val="000000"/>
        </w:rPr>
        <w:t xml:space="preserve">Open </w:t>
      </w:r>
      <w:r>
        <w:rPr>
          <w:b/>
          <w:color w:val="000000"/>
        </w:rPr>
        <w:t>Depot Management &gt; HTTPS Certificate</w:t>
      </w:r>
      <w:r>
        <w:rPr>
          <w:color w:val="000000"/>
        </w:rPr>
        <w:t xml:space="preserve"> (or </w:t>
      </w:r>
      <w:r>
        <w:rPr>
          <w:b/>
          <w:color w:val="000000"/>
        </w:rPr>
        <w:t>Prepare Depot &gt; HTTPS Certificate</w:t>
      </w:r>
      <w:r>
        <w:rPr>
          <w:color w:val="000000"/>
        </w:rPr>
        <w:t xml:space="preserve"> during initial setup).</w:t>
      </w:r>
    </w:p>
    <w:p>
      <w:pPr>
        <w:pStyle w:val="Procedure"/>
        <w:numPr>
          <w:ilvl w:val="0"/>
          <w:numId w:val="59"/>
        </w:numPr>
      </w:pPr>
      <w:r>
        <w:rPr>
          <w:color w:val="000000"/>
        </w:rPr>
        <w:t>Enter the final FQDN as the common name.</w:t>
      </w:r>
    </w:p>
    <w:p>
      <w:pPr>
        <w:pStyle w:val="Procedure"/>
        <w:numPr>
          <w:ilvl w:val="0"/>
          <w:numId w:val="60"/>
        </w:numPr>
      </w:pPr>
      <w:r>
        <w:rPr>
          <w:color w:val="000000"/>
        </w:rPr>
        <w:t>Add every DNS name and IP address that clients will use.</w:t>
      </w:r>
    </w:p>
    <w:p>
      <w:pPr>
        <w:pStyle w:val="Procedure"/>
        <w:numPr>
          <w:ilvl w:val="0"/>
          <w:numId w:val="61"/>
        </w:numPr>
      </w:pPr>
      <w:r>
        <w:rPr>
          <w:color w:val="000000"/>
        </w:rPr>
        <w:t>Review the requested SAN list.</w:t>
      </w:r>
    </w:p>
    <w:p>
      <w:pPr>
        <w:pStyle w:val="Procedure"/>
        <w:numPr>
          <w:ilvl w:val="0"/>
          <w:numId w:val="62"/>
        </w:numPr>
      </w:pPr>
      <w:r>
        <w:rPr>
          <w:color w:val="000000"/>
        </w:rPr>
        <w:t xml:space="preserve">Select </w:t>
      </w:r>
      <w:r>
        <w:rPr>
          <w:b/>
          <w:color w:val="000000"/>
        </w:rPr>
        <w:t>Generate CSR</w:t>
      </w:r>
      <w:r>
        <w:rPr>
          <w:color w:val="000000"/>
        </w:rPr>
        <w:t>.</w:t>
      </w:r>
    </w:p>
    <w:p>
      <w:pPr>
        <w:pStyle w:val="Procedure"/>
        <w:numPr>
          <w:ilvl w:val="0"/>
          <w:numId w:val="63"/>
        </w:numPr>
      </w:pPr>
      <w:r>
        <w:rPr>
          <w:color w:val="000000"/>
        </w:rPr>
        <w:t>Wait for the local success status.</w:t>
      </w:r>
    </w:p>
    <w:p>
      <w:pPr>
        <w:pStyle w:val="Procedure"/>
        <w:numPr>
          <w:ilvl w:val="0"/>
          <w:numId w:val="64"/>
        </w:numPr>
      </w:pPr>
      <w:r>
        <w:rPr>
          <w:color w:val="000000"/>
        </w:rPr>
        <w:t>Download the pending CSR.</w:t>
      </w:r>
    </w:p>
    <w:p>
      <w:pPr>
        <w:pStyle w:val="Procedure"/>
        <w:numPr>
          <w:ilvl w:val="0"/>
          <w:numId w:val="65"/>
        </w:numPr>
      </w:pPr>
      <w:r>
        <w:rPr>
          <w:color w:val="000000"/>
        </w:rPr>
        <w:t>Submit the CSR to the approved certificate authority.</w:t>
      </w:r>
    </w:p>
    <w:p>
      <w:pPr>
        <w:pStyle w:val="Procedure"/>
        <w:numPr>
          <w:ilvl w:val="0"/>
          <w:numId w:val="66"/>
        </w:numPr>
      </w:pPr>
      <w:r>
        <w:rPr>
          <w:color w:val="000000"/>
        </w:rPr>
        <w:t>Request a server certificate that permits TLS server authentication.</w:t>
      </w:r>
    </w:p>
    <w:p>
      <w:pPr>
        <w:pStyle w:val="Heading2"/>
      </w:pPr>
      <w:r>
        <w:rPr>
          <w:color w:val="000000"/>
        </w:rPr>
        <w:t>Upload and activate the signed certificate</w:t>
      </w:r>
    </w:p>
    <w:p>
      <w:pPr>
        <w:pStyle w:val="Procedure"/>
        <w:numPr>
          <w:ilvl w:val="0"/>
          <w:numId w:val="67"/>
        </w:numPr>
      </w:pPr>
      <w:r>
        <w:rPr>
          <w:color w:val="000000"/>
        </w:rPr>
        <w:t>Obtain the signed server certificate, intermediate CA certificates, and issuing root CA.</w:t>
      </w:r>
    </w:p>
    <w:p>
      <w:pPr>
        <w:pStyle w:val="Procedure"/>
        <w:numPr>
          <w:ilvl w:val="0"/>
          <w:numId w:val="68"/>
        </w:numPr>
      </w:pPr>
      <w:r>
        <w:rPr>
          <w:color w:val="000000"/>
        </w:rPr>
        <w:t xml:space="preserve">Return to </w:t>
      </w:r>
      <w:r>
        <w:rPr>
          <w:b/>
          <w:color w:val="000000"/>
        </w:rPr>
        <w:t>HTTPS Certificate</w:t>
      </w:r>
      <w:r>
        <w:rPr>
          <w:color w:val="000000"/>
        </w:rPr>
        <w:t>.</w:t>
      </w:r>
    </w:p>
    <w:p>
      <w:pPr>
        <w:pStyle w:val="Procedure"/>
        <w:numPr>
          <w:ilvl w:val="0"/>
          <w:numId w:val="69"/>
        </w:numPr>
      </w:pPr>
      <w:r>
        <w:rPr>
          <w:color w:val="000000"/>
        </w:rPr>
        <w:t>Upload the signed server certificate.</w:t>
      </w:r>
    </w:p>
    <w:p>
      <w:pPr>
        <w:pStyle w:val="Procedure"/>
        <w:numPr>
          <w:ilvl w:val="0"/>
          <w:numId w:val="70"/>
        </w:numPr>
      </w:pPr>
      <w:r>
        <w:rPr>
          <w:color w:val="000000"/>
        </w:rPr>
        <w:t>Upload the intermediate certificates when present.</w:t>
      </w:r>
    </w:p>
    <w:p>
      <w:pPr>
        <w:pStyle w:val="Procedure"/>
        <w:numPr>
          <w:ilvl w:val="0"/>
          <w:numId w:val="71"/>
        </w:numPr>
      </w:pPr>
      <w:r>
        <w:rPr>
          <w:color w:val="000000"/>
        </w:rPr>
        <w:t>Upload the root CA.</w:t>
      </w:r>
    </w:p>
    <w:p>
      <w:pPr>
        <w:pStyle w:val="Procedure"/>
        <w:numPr>
          <w:ilvl w:val="0"/>
          <w:numId w:val="72"/>
        </w:numPr>
      </w:pPr>
      <w:r>
        <w:rPr>
          <w:color w:val="000000"/>
        </w:rPr>
        <w:t>Select the option to replace the active certificate.</w:t>
      </w:r>
    </w:p>
    <w:p>
      <w:pPr>
        <w:pStyle w:val="Procedure"/>
        <w:numPr>
          <w:ilvl w:val="0"/>
          <w:numId w:val="73"/>
        </w:numPr>
      </w:pPr>
      <w:r>
        <w:rPr>
          <w:color w:val="000000"/>
        </w:rPr>
        <w:t xml:space="preserve">Select </w:t>
      </w:r>
      <w:r>
        <w:rPr>
          <w:b/>
          <w:color w:val="000000"/>
        </w:rPr>
        <w:t>Convert and activate</w:t>
      </w:r>
      <w:r>
        <w:rPr>
          <w:color w:val="000000"/>
        </w:rPr>
        <w:t>.</w:t>
      </w:r>
    </w:p>
    <w:p>
      <w:pPr>
        <w:pStyle w:val="Procedure"/>
        <w:numPr>
          <w:ilvl w:val="0"/>
          <w:numId w:val="74"/>
        </w:numPr>
      </w:pPr>
      <w:r>
        <w:rPr>
          <w:color w:val="000000"/>
        </w:rPr>
        <w:t>Wait for chain validation, installation, and web-service reload.</w:t>
      </w:r>
    </w:p>
    <w:p>
      <w:pPr>
        <w:pStyle w:val="Procedure"/>
        <w:numPr>
          <w:ilvl w:val="0"/>
          <w:numId w:val="75"/>
        </w:numPr>
      </w:pPr>
      <w:r>
        <w:rPr>
          <w:color w:val="000000"/>
        </w:rPr>
        <w:t>Open a new browser session using the appliance FQDN.</w:t>
      </w:r>
    </w:p>
    <w:p>
      <w:pPr>
        <w:pStyle w:val="Procedure"/>
        <w:numPr>
          <w:ilvl w:val="0"/>
          <w:numId w:val="76"/>
        </w:numPr>
      </w:pPr>
      <w:r>
        <w:rPr>
          <w:color w:val="000000"/>
        </w:rPr>
        <w:t>Verify the subject, SANs, issuer, fingerprint, expiration, and complete chain.</w:t>
      </w:r>
    </w:p>
    <w:p>
      <w:r>
        <w:rPr>
          <w:color w:val="000000"/>
        </w:rPr>
      </w:r>
      <w:r>
        <w:rPr>
          <w:b/>
          <w:color w:val="000000"/>
        </w:rPr>
        <w:t>Success:</w:t>
      </w:r>
      <w:r>
        <w:rPr>
          <w:color w:val="000000"/>
        </w:rPr>
        <w:t xml:space="preserve"> The browser trusts the appliance FQDN and the certificate details match the approved certificate request.</w:t>
      </w:r>
    </w:p>
    <w:p>
      <w:r>
        <w:rPr>
          <w:color w:val="000000"/>
        </w:rPr>
      </w:r>
      <w:r>
        <w:rPr>
          <w:b/>
          <w:color w:val="000000"/>
        </w:rPr>
        <w:t>If it fails:</w:t>
      </w:r>
      <w:r>
        <w:rPr>
          <w:color w:val="000000"/>
        </w:rPr>
        <w:t xml:space="preserve"> Confirm the signed certificate matches the pending CSR, the SAN contains the exact FQDN, the complete CA chain is supplied, and appliance time is correct.</w:t>
      </w:r>
    </w:p>
    <w:p>
      <w:pPr>
        <w:pStyle w:val="Heading1"/>
      </w:pPr>
      <w:r>
        <w:rPr>
          <w:color w:val="000000"/>
        </w:rPr>
        <w:t>6. VCF connection setup</w:t>
      </w:r>
    </w:p>
    <w:p>
      <w:r>
        <w:rPr>
          <w:color w:val="000000"/>
        </w:rPr>
      </w:r>
      <w:r>
        <w:rPr>
          <w:b/>
          <w:color w:val="000000"/>
        </w:rPr>
        <w:t>Why:</w:t>
      </w:r>
      <w:r>
        <w:rPr>
          <w:color w:val="000000"/>
        </w:rPr>
        <w:t xml:space="preserve"> This configures the supported VCF Installer to trust the appliance and retrieve depot content with the selected depot account.</w:t>
      </w:r>
    </w:p>
    <w:p>
      <w:r>
        <w:rPr>
          <w:color w:val="000000"/>
        </w:rPr>
      </w:r>
      <w:r>
        <w:rPr>
          <w:b/>
          <w:color w:val="000000"/>
        </w:rPr>
        <w:t>You need:</w:t>
      </w:r>
      <w:r>
        <w:rPr>
          <w:color w:val="000000"/>
        </w:rPr>
        <w:t xml:space="preserve"> VCF Installer endpoint address, HTTPS sign-in credential, </w:t>
      </w:r>
      <w:r>
        <w:rPr>
          <w:rFonts w:ascii="Consolas" w:hAnsi="Consolas"/>
          <w:color w:val="000000"/>
          <w:sz w:val="18"/>
        </w:rPr>
        <w:t>vcf</w:t>
      </w:r>
      <w:r>
        <w:rPr>
          <w:color w:val="000000"/>
        </w:rPr>
        <w:t xml:space="preserve"> SSH credential, root elevation password, independently verifiable endpoint certificate fingerprint and SSH host key, and the depot account created in Step 4.</w:t>
      </w:r>
    </w:p>
    <w:p>
      <w:pPr>
        <w:pStyle w:val="Heading2"/>
      </w:pPr>
      <w:r>
        <w:rPr>
          <w:color w:val="000000"/>
        </w:rPr>
        <w:t>Add and test the connection</w:t>
      </w:r>
    </w:p>
    <w:p>
      <w:pPr>
        <w:pStyle w:val="Procedure"/>
        <w:numPr>
          <w:ilvl w:val="0"/>
          <w:numId w:val="77"/>
        </w:numPr>
      </w:pPr>
      <w:r>
        <w:rPr>
          <w:color w:val="000000"/>
        </w:rPr>
        <w:t xml:space="preserve">Open </w:t>
      </w:r>
      <w:r>
        <w:rPr>
          <w:b/>
          <w:color w:val="000000"/>
        </w:rPr>
        <w:t>VCF Connections</w:t>
      </w:r>
      <w:r>
        <w:rPr>
          <w:color w:val="000000"/>
        </w:rPr>
        <w:t>.</w:t>
      </w:r>
    </w:p>
    <w:p>
      <w:pPr>
        <w:pStyle w:val="Procedure"/>
        <w:numPr>
          <w:ilvl w:val="0"/>
          <w:numId w:val="78"/>
        </w:numPr>
      </w:pPr>
      <w:r>
        <w:rPr>
          <w:color w:val="000000"/>
        </w:rPr>
        <w:t>Add a named connection.</w:t>
      </w:r>
    </w:p>
    <w:p>
      <w:pPr>
        <w:pStyle w:val="Procedure"/>
        <w:numPr>
          <w:ilvl w:val="0"/>
          <w:numId w:val="79"/>
        </w:numPr>
      </w:pPr>
      <w:r>
        <w:rPr>
          <w:color w:val="000000"/>
        </w:rPr>
        <w:t xml:space="preserve">Select </w:t>
      </w:r>
      <w:r>
        <w:rPr>
          <w:b/>
          <w:color w:val="000000"/>
        </w:rPr>
        <w:t>VCF Installer</w:t>
      </w:r>
      <w:r>
        <w:rPr>
          <w:color w:val="000000"/>
        </w:rPr>
        <w:t xml:space="preserve"> as the endpoint type.</w:t>
      </w:r>
    </w:p>
    <w:p>
      <w:pPr>
        <w:pStyle w:val="Procedure"/>
        <w:numPr>
          <w:ilvl w:val="0"/>
          <w:numId w:val="80"/>
        </w:numPr>
      </w:pPr>
      <w:r>
        <w:rPr>
          <w:color w:val="000000"/>
        </w:rPr>
        <w:t>Enter the endpoint FQDN or IP address and HTTPS port.</w:t>
      </w:r>
    </w:p>
    <w:p>
      <w:pPr>
        <w:pStyle w:val="Procedure"/>
        <w:numPr>
          <w:ilvl w:val="0"/>
          <w:numId w:val="81"/>
        </w:numPr>
      </w:pPr>
      <w:r>
        <w:rPr>
          <w:color w:val="000000"/>
        </w:rPr>
        <w:t>Enter the endpoint sign-in username and password.</w:t>
      </w:r>
    </w:p>
    <w:p>
      <w:pPr>
        <w:pStyle w:val="Procedure"/>
        <w:numPr>
          <w:ilvl w:val="0"/>
          <w:numId w:val="82"/>
        </w:numPr>
      </w:pPr>
      <w:r>
        <w:rPr>
          <w:color w:val="000000"/>
        </w:rPr>
        <w:t xml:space="preserve">Enter SSH username </w:t>
      </w:r>
      <w:r>
        <w:rPr>
          <w:rFonts w:ascii="Consolas" w:hAnsi="Consolas"/>
          <w:color w:val="000000"/>
          <w:sz w:val="18"/>
        </w:rPr>
        <w:t>vcf</w:t>
      </w:r>
      <w:r>
        <w:rPr>
          <w:color w:val="000000"/>
        </w:rPr>
        <w:t xml:space="preserve"> and its password.</w:t>
      </w:r>
    </w:p>
    <w:p>
      <w:pPr>
        <w:pStyle w:val="Procedure"/>
        <w:numPr>
          <w:ilvl w:val="0"/>
          <w:numId w:val="83"/>
        </w:numPr>
      </w:pPr>
      <w:r>
        <w:rPr>
          <w:color w:val="000000"/>
        </w:rPr>
        <w:t>Enter the root password used for approved elevation.</w:t>
      </w:r>
    </w:p>
    <w:p>
      <w:pPr>
        <w:pStyle w:val="Procedure"/>
        <w:numPr>
          <w:ilvl w:val="0"/>
          <w:numId w:val="84"/>
        </w:numPr>
      </w:pPr>
      <w:r>
        <w:rPr>
          <w:color w:val="000000"/>
        </w:rPr>
        <w:t>Select the depot account created in Step 4.</w:t>
      </w:r>
    </w:p>
    <w:p>
      <w:pPr>
        <w:pStyle w:val="Procedure"/>
        <w:numPr>
          <w:ilvl w:val="0"/>
          <w:numId w:val="85"/>
        </w:numPr>
      </w:pPr>
      <w:r>
        <w:rPr>
          <w:color w:val="000000"/>
        </w:rPr>
        <w:t>Enter the current depot-account password.</w:t>
      </w:r>
    </w:p>
    <w:p>
      <w:pPr>
        <w:pStyle w:val="Procedure"/>
        <w:numPr>
          <w:ilvl w:val="0"/>
          <w:numId w:val="86"/>
        </w:numPr>
      </w:pPr>
      <w:r>
        <w:rPr>
          <w:color w:val="000000"/>
        </w:rPr>
        <w:t xml:space="preserve">For VCF Installer, select </w:t>
      </w:r>
      <w:r>
        <w:rPr>
          <w:b/>
          <w:color w:val="000000"/>
        </w:rPr>
        <w:t>Test connection</w:t>
      </w:r>
      <w:r>
        <w:rPr>
          <w:color w:val="000000"/>
        </w:rPr>
        <w:t>. The appliance retrieves the endpoint HTTPS certificate automatically and displays a trust pop-up if approval is needed. No separate certificate section or retrieval button is required.</w:t>
      </w:r>
    </w:p>
    <w:p>
      <w:pPr>
        <w:pStyle w:val="Procedure"/>
        <w:numPr>
          <w:ilvl w:val="0"/>
          <w:numId w:val="87"/>
        </w:numPr>
      </w:pPr>
      <w:r>
        <w:rPr>
          <w:color w:val="000000"/>
        </w:rPr>
        <w:t>If prompted for a self-signed certificate, compare its SHA-256 fingerprint with the endpoint console or another trusted source, then accept only a match. No separate root CA is needed.</w:t>
      </w:r>
    </w:p>
    <w:p>
      <w:pPr>
        <w:pStyle w:val="Procedure"/>
        <w:numPr>
          <w:ilvl w:val="0"/>
          <w:numId w:val="88"/>
        </w:numPr>
      </w:pPr>
      <w:r>
        <w:rPr>
          <w:color w:val="000000"/>
        </w:rPr>
        <w:t>If the endpoint uses an untrusted private CA, the manual certificate options appear. Supply its server certificate and issuing root CA there, then retry. Already trusted endpoints need no additional approval.</w:t>
      </w:r>
    </w:p>
    <w:p>
      <w:pPr>
        <w:pStyle w:val="Procedure"/>
        <w:numPr>
          <w:ilvl w:val="0"/>
          <w:numId w:val="89"/>
        </w:numPr>
      </w:pPr>
      <w:r>
        <w:rPr>
          <w:color w:val="000000"/>
        </w:rPr>
        <w:t>Verify and accept the detected SSH host key separately. Cancel either approval if the identity cannot be confirmed.</w:t>
      </w:r>
    </w:p>
    <w:p>
      <w:pPr>
        <w:pStyle w:val="Procedure"/>
        <w:numPr>
          <w:ilvl w:val="0"/>
          <w:numId w:val="90"/>
        </w:numPr>
      </w:pPr>
      <w:r>
        <w:rPr>
          <w:color w:val="000000"/>
        </w:rPr>
        <w:t>Review DNS, TCP, TLS, API, authentication, version, SSH, elevation, trust, and depot-access checks.</w:t>
      </w:r>
    </w:p>
    <w:p>
      <w:pPr>
        <w:pStyle w:val="Procedure"/>
        <w:numPr>
          <w:ilvl w:val="0"/>
          <w:numId w:val="91"/>
        </w:numPr>
      </w:pPr>
      <w:r>
        <w:rPr>
          <w:color w:val="000000"/>
        </w:rPr>
        <w:t>Correct the first failed dependency and rerun the test until all required checks pass.</w:t>
      </w:r>
    </w:p>
    <w:p>
      <w:r>
        <w:rPr>
          <w:color w:val="000000"/>
        </w:rPr>
        <w:t>Self-signed certificate approval lasts for the current page session and endpoint. Changing the endpoint or certificate inputs clears it. Certificate discovery does not send endpoint sign-in credentials, and TLS verification remains enabled.</w:t>
      </w:r>
    </w:p>
    <w:p>
      <w:pPr>
        <w:pStyle w:val="Heading2"/>
      </w:pPr>
      <w:r>
        <w:rPr>
          <w:color w:val="000000"/>
        </w:rPr>
        <w:t>Configure and verify the endpoint</w:t>
      </w:r>
    </w:p>
    <w:p>
      <w:pPr>
        <w:pStyle w:val="Procedure"/>
        <w:numPr>
          <w:ilvl w:val="0"/>
          <w:numId w:val="92"/>
        </w:numPr>
      </w:pPr>
      <w:r>
        <w:rPr>
          <w:color w:val="000000"/>
        </w:rPr>
        <w:t>Schedule an approved VCF Installer change window.</w:t>
      </w:r>
    </w:p>
    <w:p>
      <w:pPr>
        <w:pStyle w:val="Procedure"/>
        <w:numPr>
          <w:ilvl w:val="0"/>
          <w:numId w:val="93"/>
        </w:numPr>
      </w:pPr>
      <w:r>
        <w:rPr>
          <w:color w:val="000000"/>
        </w:rPr>
        <w:t>Review the proposed depot URL, trust, account, and property changes.</w:t>
      </w:r>
    </w:p>
    <w:p>
      <w:pPr>
        <w:pStyle w:val="Procedure"/>
        <w:numPr>
          <w:ilvl w:val="0"/>
          <w:numId w:val="94"/>
        </w:numPr>
      </w:pPr>
      <w:r>
        <w:rPr>
          <w:color w:val="000000"/>
        </w:rPr>
        <w:t>Select the authorization checkbox.</w:t>
      </w:r>
    </w:p>
    <w:p>
      <w:pPr>
        <w:pStyle w:val="Procedure"/>
        <w:numPr>
          <w:ilvl w:val="0"/>
          <w:numId w:val="95"/>
        </w:numPr>
      </w:pPr>
      <w:r>
        <w:rPr>
          <w:color w:val="000000"/>
        </w:rPr>
        <w:t xml:space="preserve">Select </w:t>
      </w:r>
      <w:r>
        <w:rPr>
          <w:b/>
          <w:color w:val="000000"/>
        </w:rPr>
        <w:t>Configure endpoint</w:t>
      </w:r>
      <w:r>
        <w:rPr>
          <w:color w:val="000000"/>
        </w:rPr>
        <w:t>.</w:t>
      </w:r>
    </w:p>
    <w:p>
      <w:pPr>
        <w:pStyle w:val="Procedure"/>
        <w:numPr>
          <w:ilvl w:val="0"/>
          <w:numId w:val="96"/>
        </w:numPr>
      </w:pPr>
      <w:r>
        <w:rPr>
          <w:color w:val="000000"/>
        </w:rPr>
        <w:t>Monitor the phase-specific status while properties are updated, trust is installed, installer services restart, and stabilization completes.</w:t>
      </w:r>
    </w:p>
    <w:p>
      <w:pPr>
        <w:pStyle w:val="Procedure"/>
        <w:numPr>
          <w:ilvl w:val="0"/>
          <w:numId w:val="97"/>
        </w:numPr>
      </w:pPr>
      <w:r>
        <w:rPr>
          <w:color w:val="000000"/>
        </w:rPr>
        <w:t>Do not submit the configuration again while the operation is active.</w:t>
      </w:r>
    </w:p>
    <w:p>
      <w:pPr>
        <w:pStyle w:val="Procedure"/>
        <w:numPr>
          <w:ilvl w:val="0"/>
          <w:numId w:val="98"/>
        </w:numPr>
      </w:pPr>
      <w:r>
        <w:rPr>
          <w:color w:val="000000"/>
        </w:rPr>
        <w:t>Wait for post-change metadata and binary retrieval checks.</w:t>
      </w:r>
    </w:p>
    <w:p>
      <w:pPr>
        <w:pStyle w:val="Procedure"/>
        <w:numPr>
          <w:ilvl w:val="0"/>
          <w:numId w:val="99"/>
        </w:numPr>
      </w:pPr>
      <w:r>
        <w:rPr>
          <w:color w:val="000000"/>
        </w:rPr>
        <w:t xml:space="preserve">Confirm the saved endpoint status becomes </w:t>
      </w:r>
      <w:r>
        <w:rPr>
          <w:b/>
          <w:color w:val="000000"/>
        </w:rPr>
        <w:t>Connected</w:t>
      </w:r>
      <w:r>
        <w:rPr>
          <w:color w:val="000000"/>
        </w:rPr>
        <w:t>.</w:t>
      </w:r>
    </w:p>
    <w:p>
      <w:pPr>
        <w:pStyle w:val="Procedure"/>
        <w:numPr>
          <w:ilvl w:val="0"/>
          <w:numId w:val="100"/>
        </w:numPr>
      </w:pPr>
      <w:r>
        <w:rPr>
          <w:color w:val="000000"/>
        </w:rPr>
        <w:t>Confirm the VCF Installer retrieves representative metadata and one representative binary with the selected depot account.</w:t>
      </w:r>
    </w:p>
    <w:p>
      <w:r>
        <w:rPr>
          <w:color w:val="000000"/>
        </w:rPr>
      </w:r>
      <w:r>
        <w:rPr>
          <w:b/>
          <w:color w:val="000000"/>
        </w:rPr>
        <w:t>Success:</w:t>
      </w:r>
      <w:r>
        <w:rPr>
          <w:color w:val="000000"/>
        </w:rPr>
        <w:t xml:space="preserve"> Setup navigation closes and the permanent header navigation remains available. The connection displays </w:t>
      </w:r>
      <w:r>
        <w:rPr>
          <w:b/>
          <w:color w:val="000000"/>
        </w:rPr>
        <w:t>Connected</w:t>
      </w:r>
      <w:r>
        <w:rPr>
          <w:color w:val="000000"/>
        </w:rPr>
        <w:t>, the installer trusts the appliance certificate, and authenticated metadata and binary retrieval succeed.</w:t>
      </w:r>
    </w:p>
    <w:p>
      <w:r>
        <w:rPr>
          <w:color w:val="000000"/>
        </w:rPr>
      </w:r>
      <w:r>
        <w:rPr>
          <w:b/>
          <w:color w:val="000000"/>
        </w:rPr>
        <w:t>If it fails:</w:t>
      </w:r>
      <w:r>
        <w:rPr>
          <w:color w:val="000000"/>
        </w:rPr>
        <w:t xml:space="preserve"> Open the detailed result and resolve checks in dependency order. A passed connection test alone does not mean endpoint configuration completed.</w:t>
      </w:r>
    </w:p>
    <w:p>
      <w:r>
        <w:rPr>
          <w:color w:val="000000"/>
        </w:rPr>
      </w:r>
    </w:p>
    <w:p>
      <w:pPr>
        <w:pStyle w:val="Heading1"/>
      </w:pPr>
      <w:r>
        <w:rPr>
          <w:color w:val="000000"/>
        </w:rPr>
        <w:t>Quick completion checklist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00"/>
        <w:gridCol w:w="3530"/>
        <w:gridCol w:w="3530"/>
      </w:tblGrid>
      <w:tr>
        <w:trPr>
          <w:cantSplit/>
          <w:tblHeader/>
        </w:trPr>
        <w:tc>
          <w:tcPr>
            <w:tcW w:type="dxa" w:w="2300"/>
            <w:shd w:fill="D9D9D9"/>
          </w:tcPr>
          <w:p>
            <w:pPr>
              <w:pStyle w:val="TableText"/>
              <w:keepNext/>
            </w:pPr>
            <w:r>
              <w:rPr>
                <w:b/>
                <w:color w:val="000000"/>
              </w:rPr>
              <w:t>Step</w:t>
            </w:r>
          </w:p>
        </w:tc>
        <w:tc>
          <w:tcPr>
            <w:tcW w:type="dxa" w:w="3530"/>
            <w:shd w:fill="D9D9D9"/>
          </w:tcPr>
          <w:p>
            <w:pPr>
              <w:pStyle w:val="TableText"/>
              <w:keepNext/>
            </w:pPr>
            <w:r>
              <w:rPr>
                <w:b/>
                <w:color w:val="000000"/>
              </w:rPr>
              <w:t>Complete when</w:t>
            </w:r>
          </w:p>
        </w:tc>
        <w:tc>
          <w:tcPr>
            <w:tcW w:type="dxa" w:w="3530"/>
            <w:shd w:fill="D9D9D9"/>
          </w:tcPr>
          <w:p>
            <w:pPr>
              <w:pStyle w:val="TableText"/>
              <w:keepNext/>
            </w:pPr>
            <w:r>
              <w:rPr>
                <w:b/>
                <w:color w:val="000000"/>
              </w:rPr>
              <w:t>Result</w:t>
            </w:r>
          </w:p>
        </w:tc>
      </w:tr>
      <w:tr>
        <w:trPr>
          <w:cantSplit/>
        </w:trPr>
        <w:tc>
          <w:tcPr>
            <w:tcW w:type="dxa" w:w="2300"/>
          </w:tcPr>
          <w:p>
            <w:pPr>
              <w:pStyle w:val="TableText"/>
              <w:keepNext/>
            </w:pPr>
            <w:r>
              <w:rPr>
                <w:color w:val="000000"/>
              </w:rPr>
              <w:t>VCF Download Tool installed</w:t>
            </w:r>
          </w:p>
        </w:tc>
        <w:tc>
          <w:tcPr>
            <w:tcW w:type="dxa" w:w="3530"/>
          </w:tcPr>
          <w:p>
            <w:pPr>
              <w:pStyle w:val="TableText"/>
              <w:keepNext/>
            </w:pPr>
            <w:r>
              <w:rPr>
                <w:color w:val="000000"/>
              </w:rPr>
              <w:t>Expected tool version is active</w:t>
            </w:r>
          </w:p>
        </w:tc>
        <w:tc>
          <w:tcPr>
            <w:tcW w:type="dxa" w:w="3530"/>
          </w:tcPr>
          <w:p>
            <w:pPr>
              <w:pStyle w:val="TableText"/>
              <w:keepNext/>
            </w:pPr>
            <w:r>
              <w:rPr>
                <w:color w:val="000000"/>
              </w:rPr>
            </w:r>
          </w:p>
        </w:tc>
      </w:tr>
      <w:tr>
        <w:trPr>
          <w:cantSplit/>
        </w:trPr>
        <w:tc>
          <w:tcPr>
            <w:tcW w:type="dxa" w:w="2300"/>
          </w:tcPr>
          <w:p>
            <w:pPr>
              <w:pStyle w:val="TableText"/>
              <w:keepNext/>
            </w:pPr>
            <w:r>
              <w:rPr>
                <w:color w:val="000000"/>
              </w:rPr>
              <w:t>Tool authorized</w:t>
            </w:r>
          </w:p>
        </w:tc>
        <w:tc>
          <w:tcPr>
            <w:tcW w:type="dxa" w:w="3530"/>
          </w:tcPr>
          <w:p>
            <w:pPr>
              <w:pStyle w:val="TableText"/>
              <w:keepNext/>
            </w:pPr>
            <w:r>
              <w:rPr>
                <w:color w:val="000000"/>
              </w:rPr>
              <w:t>Entitlement and authorization succeed</w:t>
            </w:r>
          </w:p>
        </w:tc>
        <w:tc>
          <w:tcPr>
            <w:tcW w:type="dxa" w:w="3530"/>
          </w:tcPr>
          <w:p>
            <w:pPr>
              <w:pStyle w:val="TableText"/>
              <w:keepNext/>
            </w:pPr>
            <w:r>
              <w:rPr>
                <w:color w:val="000000"/>
              </w:rPr>
            </w:r>
          </w:p>
        </w:tc>
      </w:tr>
      <w:tr>
        <w:trPr>
          <w:cantSplit/>
        </w:trPr>
        <w:tc>
          <w:tcPr>
            <w:tcW w:type="dxa" w:w="2300"/>
          </w:tcPr>
          <w:p>
            <w:pPr>
              <w:pStyle w:val="TableText"/>
              <w:keepNext/>
            </w:pPr>
            <w:r>
              <w:rPr>
                <w:color w:val="000000"/>
              </w:rPr>
              <w:t>Binaries downloaded</w:t>
            </w:r>
          </w:p>
        </w:tc>
        <w:tc>
          <w:tcPr>
            <w:tcW w:type="dxa" w:w="3530"/>
          </w:tcPr>
          <w:p>
            <w:pPr>
              <w:pStyle w:val="TableText"/>
              <w:keepNext/>
            </w:pPr>
            <w:r>
              <w:rPr>
                <w:color w:val="000000"/>
              </w:rPr>
              <w:t>Inventory shows expected release and content</w:t>
            </w:r>
          </w:p>
        </w:tc>
        <w:tc>
          <w:tcPr>
            <w:tcW w:type="dxa" w:w="3530"/>
          </w:tcPr>
          <w:p>
            <w:pPr>
              <w:pStyle w:val="TableText"/>
              <w:keepNext/>
            </w:pPr>
            <w:r>
              <w:rPr>
                <w:color w:val="000000"/>
              </w:rPr>
            </w:r>
          </w:p>
        </w:tc>
      </w:tr>
      <w:tr>
        <w:trPr>
          <w:cantSplit/>
        </w:trPr>
        <w:tc>
          <w:tcPr>
            <w:tcW w:type="dxa" w:w="2300"/>
          </w:tcPr>
          <w:p>
            <w:pPr>
              <w:pStyle w:val="TableText"/>
              <w:keepNext/>
            </w:pPr>
            <w:r>
              <w:rPr>
                <w:color w:val="000000"/>
              </w:rPr>
              <w:t>Depot account created</w:t>
            </w:r>
          </w:p>
        </w:tc>
        <w:tc>
          <w:tcPr>
            <w:tcW w:type="dxa" w:w="3530"/>
          </w:tcPr>
          <w:p>
            <w:pPr>
              <w:pStyle w:val="TableText"/>
              <w:keepNext/>
            </w:pPr>
            <w:r>
              <w:rPr>
                <w:color w:val="000000"/>
              </w:rPr>
              <w:t>Authenticated retrieval succeeds; anonymous returns 401</w:t>
            </w:r>
          </w:p>
        </w:tc>
        <w:tc>
          <w:tcPr>
            <w:tcW w:type="dxa" w:w="3530"/>
          </w:tcPr>
          <w:p>
            <w:pPr>
              <w:pStyle w:val="TableText"/>
              <w:keepNext/>
            </w:pPr>
            <w:r>
              <w:rPr>
                <w:color w:val="000000"/>
              </w:rPr>
            </w:r>
          </w:p>
        </w:tc>
      </w:tr>
      <w:tr>
        <w:trPr>
          <w:cantSplit/>
        </w:trPr>
        <w:tc>
          <w:tcPr>
            <w:tcW w:type="dxa" w:w="2300"/>
          </w:tcPr>
          <w:p>
            <w:pPr>
              <w:pStyle w:val="TableText"/>
              <w:keepNext/>
            </w:pPr>
            <w:r>
              <w:rPr>
                <w:color w:val="000000"/>
              </w:rPr>
              <w:t>HTTPS certificate activated</w:t>
            </w:r>
          </w:p>
        </w:tc>
        <w:tc>
          <w:tcPr>
            <w:tcW w:type="dxa" w:w="3530"/>
          </w:tcPr>
          <w:p>
            <w:pPr>
              <w:pStyle w:val="TableText"/>
              <w:keepNext/>
            </w:pPr>
            <w:r>
              <w:rPr>
                <w:color w:val="000000"/>
              </w:rPr>
              <w:t>Browser trusts the production FQDN and chain</w:t>
            </w:r>
          </w:p>
        </w:tc>
        <w:tc>
          <w:tcPr>
            <w:tcW w:type="dxa" w:w="3530"/>
          </w:tcPr>
          <w:p>
            <w:pPr>
              <w:pStyle w:val="TableText"/>
              <w:keepNext/>
            </w:pPr>
            <w:r>
              <w:rPr>
                <w:color w:val="000000"/>
              </w:rPr>
            </w:r>
          </w:p>
        </w:tc>
      </w:tr>
      <w:tr>
        <w:trPr>
          <w:cantSplit/>
        </w:trPr>
        <w:tc>
          <w:tcPr>
            <w:tcW w:type="dxa" w:w="2300"/>
          </w:tcPr>
          <w:p>
            <w:pPr>
              <w:pStyle w:val="TableText"/>
            </w:pPr>
            <w:r>
              <w:rPr>
                <w:color w:val="000000"/>
              </w:rPr>
              <w:t>VCF connection configured</w:t>
            </w:r>
          </w:p>
        </w:tc>
        <w:tc>
          <w:tcPr>
            <w:tcW w:type="dxa" w:w="3530"/>
          </w:tcPr>
          <w:p>
            <w:pPr>
              <w:pStyle w:val="TableText"/>
            </w:pPr>
            <w:r>
              <w:rPr>
                <w:color w:val="000000"/>
              </w:rPr>
              <w:t>VCF Installer status is Connected and retrieval succeeds</w:t>
            </w:r>
          </w:p>
        </w:tc>
        <w:tc>
          <w:tcPr>
            <w:tcW w:type="dxa" w:w="3530"/>
          </w:tcPr>
          <w:p>
            <w:pPr>
              <w:pStyle w:val="TableText"/>
            </w:pPr>
            <w:r>
              <w:rPr>
                <w:color w:val="000000"/>
              </w:rPr>
            </w:r>
          </w:p>
        </w:tc>
      </w:tr>
    </w:tbl>
    <w:p>
      <w:pPr>
        <w:spacing w:after="0"/>
      </w:pPr>
    </w:p>
    <w:p>
      <w:r>
        <w:rPr>
          <w:color w:val="000000"/>
        </w:rPr>
      </w:r>
    </w:p>
    <w:p>
      <w:pPr>
        <w:pStyle w:val="Heading1"/>
      </w:pPr>
      <w:r>
        <w:rPr>
          <w:color w:val="000000"/>
        </w:rPr>
        <w:t>Version 1 2 updates</w:t>
      </w:r>
    </w:p>
    <w:p>
      <w:pPr>
        <w:pStyle w:val="Heading2"/>
      </w:pPr>
      <w:r>
        <w:rPr>
          <w:color w:val="000000"/>
        </w:rPr>
        <w:t>All remaining binaries</w:t>
      </w:r>
    </w:p>
    <w:p>
      <w:r>
        <w:rPr>
          <w:color w:val="000000"/>
        </w:rPr>
        <w:t>In Authorize &amp; Download, select the VCF release, choose All remaining binaries, enter the normal Broadcom activation code and start the job. This requests each supported component for the selected release, including Operations for Logs. It includes available install, upgrade and patch content and may require substantially more disk space than the initial deployment set. Existing files are reused. It does not download every historical VCF release or products unavailable through the installed Download Tool and entitlement.</w:t>
      </w:r>
    </w:p>
    <w:p>
      <w:pPr>
        <w:pStyle w:val="Heading2"/>
      </w:pPr>
      <w:r>
        <w:rPr>
          <w:color w:val="000000"/>
        </w:rPr>
        <w:t>Automatic Avi selection</w:t>
      </w:r>
    </w:p>
    <w:p>
      <w:r>
        <w:rPr>
          <w:color w:val="000000"/>
        </w:rPr>
        <w:t>All remaining binaries also reads the selected release bill of materials and matches the exact NSX_ALB component version in the product catalog. It requests the matching bundle IDs and verifies each binary size and SHA-256 checksum. For VCF 9.1.1.0, the tested mapping is Avi 32.1.3.25665611 and controller-32.1.3-9105.ova. No manual bundle ID or separate Avi configuration is needed. Missing or ambiguous metadata produces a clear failure instead of selecting another version.</w:t>
      </w:r>
    </w:p>
    <w:p>
      <w:pPr>
        <w:pStyle w:val="Heading2"/>
      </w:pPr>
      <w:r>
        <w:rPr>
          <w:color w:val="000000"/>
        </w:rPr>
        <w:t>Reused files and completion status</w:t>
      </w:r>
    </w:p>
    <w:p>
      <w:r>
        <w:rPr>
          <w:color w:val="000000"/>
        </w:rPr>
        <w:t>The appliance counts both SUCCESS and ALREADY_DOWNLOADED results. A repeat job can complete with no newly transferred binaries. Catalog-verified files without a depot-manifest YAML, including Avi OVAs, are retained during failed-job cleanup. Cross-filesystem quarantine supports copying before removing the original, and cleanup errors are recorded as failures instead of crashing the management service and leaving a stale running status.</w:t>
      </w:r>
    </w:p>
    <w:p>
      <w:pPr>
        <w:pStyle w:val="Heading2"/>
      </w:pPr>
      <w:r>
        <w:rPr>
          <w:color w:val="000000"/>
        </w:rPr>
        <w:t>Validation and release scope</w:t>
      </w:r>
    </w:p>
    <w:p>
      <w:r>
        <w:rPr>
          <w:color w:val="000000"/>
        </w:rPr>
        <w:t>The live VCF 9.1.1 workflow downloaded Avi 32.1.3 and verified its checksum. Operations for Logs files were verified against catalog sizes and SHA-256 checksums; the repeated request reused these files. Automated tests cover selection, reused-file counting, missing and corrupt content, and cleanup errors. Consult the signed release-record.json for fresh deployment and reboot results for the exact 1.2 OVA. Installer retrieval was not repeated as part of these binary-download fixes.</w:t>
      </w:r>
    </w:p>
    <w:p>
      <w:pPr>
        <w:pStyle w:val="Heading2"/>
      </w:pPr>
      <w:r>
        <w:rPr>
          <w:color w:val="000000"/>
        </w:rPr>
        <w:t>Deploying version 1 2</w:t>
      </w:r>
    </w:p>
    <w:p>
      <w:r>
        <w:rPr>
          <w:color w:val="000000"/>
        </w:rPr>
        <w:t>This OVA creates a fresh appliance. Importing it does not migrate an existing depot configuration, credentials or binaries. The live depot received the binary-download fixes separately. VCF 9.1 and newer is the intended scope, with workflow testing demonstrated on VCF 9.1.1; validate compatibility before adopting a later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rPr>
      <w:t xml:space="preserve">Revision 2.1  |  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t>VCF OFFLINE DEPOT  /  QUICK START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decimal"/>
      <w:lvlText w:val="%1."/>
      <w:lvlJc w:val="left"/>
      <w:pPr>
        <w:ind w:left="540" w:hanging="271"/>
        <w:tabs>
          <w:tab w:val="num" w:pos="540"/>
        </w:tabs>
      </w:pPr>
    </w:lvl>
  </w:abstractNum>
  <w:num w:numId="10">
    <w:abstractNumId w:val="50"/>
    <w:lvlOverride w:ilvl="0">
      <w:startOverride w:val="1"/>
    </w:lvlOverride>
  </w:num>
  <w:num w:numId="11">
    <w:abstractNumId w:val="50"/>
    <w:lvlOverride w:ilvl="0">
      <w:startOverride w:val="2"/>
    </w:lvlOverride>
  </w:num>
  <w:num w:numId="12">
    <w:abstractNumId w:val="50"/>
    <w:lvlOverride w:ilvl="0">
      <w:startOverride w:val="3"/>
    </w:lvlOverride>
  </w:num>
  <w:num w:numId="13">
    <w:abstractNumId w:val="50"/>
    <w:lvlOverride w:ilvl="0">
      <w:startOverride w:val="4"/>
    </w:lvlOverride>
  </w:num>
  <w:num w:numId="14">
    <w:abstractNumId w:val="50"/>
    <w:lvlOverride w:ilvl="0">
      <w:startOverride w:val="5"/>
    </w:lvlOverride>
  </w:num>
  <w:num w:numId="15">
    <w:abstractNumId w:val="50"/>
    <w:lvlOverride w:ilvl="0">
      <w:startOverride w:val="6"/>
    </w:lvlOverride>
  </w:num>
  <w:num w:numId="16">
    <w:abstractNumId w:val="50"/>
    <w:lvlOverride w:ilvl="0">
      <w:startOverride w:val="7"/>
    </w:lvlOverride>
  </w:num>
  <w:num w:numId="17">
    <w:abstractNumId w:val="50"/>
    <w:lvlOverride w:ilvl="0">
      <w:startOverride w:val="1"/>
    </w:lvlOverride>
  </w:num>
  <w:num w:numId="18">
    <w:abstractNumId w:val="50"/>
    <w:lvlOverride w:ilvl="0">
      <w:startOverride w:val="2"/>
    </w:lvlOverride>
  </w:num>
  <w:num w:numId="19">
    <w:abstractNumId w:val="50"/>
    <w:lvlOverride w:ilvl="0">
      <w:startOverride w:val="3"/>
    </w:lvlOverride>
  </w:num>
  <w:num w:numId="20">
    <w:abstractNumId w:val="50"/>
    <w:lvlOverride w:ilvl="0">
      <w:startOverride w:val="4"/>
    </w:lvlOverride>
  </w:num>
  <w:num w:numId="21">
    <w:abstractNumId w:val="50"/>
    <w:lvlOverride w:ilvl="0">
      <w:startOverride w:val="5"/>
    </w:lvlOverride>
  </w:num>
  <w:num w:numId="22">
    <w:abstractNumId w:val="50"/>
    <w:lvlOverride w:ilvl="0">
      <w:startOverride w:val="1"/>
    </w:lvlOverride>
  </w:num>
  <w:num w:numId="23">
    <w:abstractNumId w:val="50"/>
    <w:lvlOverride w:ilvl="0">
      <w:startOverride w:val="2"/>
    </w:lvlOverride>
  </w:num>
  <w:num w:numId="24">
    <w:abstractNumId w:val="50"/>
    <w:lvlOverride w:ilvl="0">
      <w:startOverride w:val="3"/>
    </w:lvlOverride>
  </w:num>
  <w:num w:numId="25">
    <w:abstractNumId w:val="50"/>
    <w:lvlOverride w:ilvl="0">
      <w:startOverride w:val="4"/>
    </w:lvlOverride>
  </w:num>
  <w:num w:numId="26">
    <w:abstractNumId w:val="50"/>
    <w:lvlOverride w:ilvl="0">
      <w:startOverride w:val="5"/>
    </w:lvlOverride>
  </w:num>
  <w:num w:numId="27">
    <w:abstractNumId w:val="50"/>
    <w:lvlOverride w:ilvl="0">
      <w:startOverride w:val="6"/>
    </w:lvlOverride>
  </w:num>
  <w:num w:numId="28">
    <w:abstractNumId w:val="50"/>
    <w:lvlOverride w:ilvl="0">
      <w:startOverride w:val="7"/>
    </w:lvlOverride>
  </w:num>
  <w:num w:numId="29">
    <w:abstractNumId w:val="50"/>
    <w:lvlOverride w:ilvl="0">
      <w:startOverride w:val="8"/>
    </w:lvlOverride>
  </w:num>
  <w:num w:numId="30">
    <w:abstractNumId w:val="50"/>
    <w:lvlOverride w:ilvl="0">
      <w:startOverride w:val="1"/>
    </w:lvlOverride>
  </w:num>
  <w:num w:numId="31">
    <w:abstractNumId w:val="50"/>
    <w:lvlOverride w:ilvl="0">
      <w:startOverride w:val="2"/>
    </w:lvlOverride>
  </w:num>
  <w:num w:numId="32">
    <w:abstractNumId w:val="50"/>
    <w:lvlOverride w:ilvl="0">
      <w:startOverride w:val="3"/>
    </w:lvlOverride>
  </w:num>
  <w:num w:numId="33">
    <w:abstractNumId w:val="50"/>
    <w:lvlOverride w:ilvl="0">
      <w:startOverride w:val="4"/>
    </w:lvlOverride>
  </w:num>
  <w:num w:numId="34">
    <w:abstractNumId w:val="50"/>
    <w:lvlOverride w:ilvl="0">
      <w:startOverride w:val="1"/>
    </w:lvlOverride>
  </w:num>
  <w:num w:numId="35">
    <w:abstractNumId w:val="50"/>
    <w:lvlOverride w:ilvl="0">
      <w:startOverride w:val="2"/>
    </w:lvlOverride>
  </w:num>
  <w:num w:numId="36">
    <w:abstractNumId w:val="50"/>
    <w:lvlOverride w:ilvl="0">
      <w:startOverride w:val="3"/>
    </w:lvlOverride>
  </w:num>
  <w:num w:numId="37">
    <w:abstractNumId w:val="50"/>
    <w:lvlOverride w:ilvl="0">
      <w:startOverride w:val="4"/>
    </w:lvlOverride>
  </w:num>
  <w:num w:numId="38">
    <w:abstractNumId w:val="50"/>
    <w:lvlOverride w:ilvl="0">
      <w:startOverride w:val="5"/>
    </w:lvlOverride>
  </w:num>
  <w:num w:numId="39">
    <w:abstractNumId w:val="50"/>
    <w:lvlOverride w:ilvl="0">
      <w:startOverride w:val="6"/>
    </w:lvlOverride>
  </w:num>
  <w:num w:numId="40">
    <w:abstractNumId w:val="50"/>
    <w:lvlOverride w:ilvl="0">
      <w:startOverride w:val="7"/>
    </w:lvlOverride>
  </w:num>
  <w:num w:numId="41">
    <w:abstractNumId w:val="50"/>
    <w:lvlOverride w:ilvl="0">
      <w:startOverride w:val="8"/>
    </w:lvlOverride>
  </w:num>
  <w:num w:numId="42">
    <w:abstractNumId w:val="50"/>
    <w:lvlOverride w:ilvl="0">
      <w:startOverride w:val="9"/>
    </w:lvlOverride>
  </w:num>
  <w:num w:numId="43">
    <w:abstractNumId w:val="50"/>
    <w:lvlOverride w:ilvl="0">
      <w:startOverride w:val="10"/>
    </w:lvlOverride>
  </w:num>
  <w:num w:numId="44">
    <w:abstractNumId w:val="50"/>
    <w:lvlOverride w:ilvl="0">
      <w:startOverride w:val="11"/>
    </w:lvlOverride>
  </w:num>
  <w:num w:numId="45">
    <w:abstractNumId w:val="50"/>
    <w:lvlOverride w:ilvl="0">
      <w:startOverride w:val="12"/>
    </w:lvlOverride>
  </w:num>
  <w:num w:numId="46">
    <w:abstractNumId w:val="50"/>
    <w:lvlOverride w:ilvl="0">
      <w:startOverride w:val="13"/>
    </w:lvlOverride>
  </w:num>
  <w:num w:numId="47">
    <w:abstractNumId w:val="50"/>
    <w:lvlOverride w:ilvl="0">
      <w:startOverride w:val="14"/>
    </w:lvlOverride>
  </w:num>
  <w:num w:numId="48">
    <w:abstractNumId w:val="50"/>
    <w:lvlOverride w:ilvl="0">
      <w:startOverride w:val="1"/>
    </w:lvlOverride>
  </w:num>
  <w:num w:numId="49">
    <w:abstractNumId w:val="50"/>
    <w:lvlOverride w:ilvl="0">
      <w:startOverride w:val="2"/>
    </w:lvlOverride>
  </w:num>
  <w:num w:numId="50">
    <w:abstractNumId w:val="50"/>
    <w:lvlOverride w:ilvl="0">
      <w:startOverride w:val="3"/>
    </w:lvlOverride>
  </w:num>
  <w:num w:numId="51">
    <w:abstractNumId w:val="50"/>
    <w:lvlOverride w:ilvl="0">
      <w:startOverride w:val="4"/>
    </w:lvlOverride>
  </w:num>
  <w:num w:numId="52">
    <w:abstractNumId w:val="50"/>
    <w:lvlOverride w:ilvl="0">
      <w:startOverride w:val="5"/>
    </w:lvlOverride>
  </w:num>
  <w:num w:numId="53">
    <w:abstractNumId w:val="50"/>
    <w:lvlOverride w:ilvl="0">
      <w:startOverride w:val="6"/>
    </w:lvlOverride>
  </w:num>
  <w:num w:numId="54">
    <w:abstractNumId w:val="50"/>
    <w:lvlOverride w:ilvl="0">
      <w:startOverride w:val="7"/>
    </w:lvlOverride>
  </w:num>
  <w:num w:numId="55">
    <w:abstractNumId w:val="50"/>
    <w:lvlOverride w:ilvl="0">
      <w:startOverride w:val="8"/>
    </w:lvlOverride>
  </w:num>
  <w:num w:numId="56">
    <w:abstractNumId w:val="50"/>
    <w:lvlOverride w:ilvl="0">
      <w:startOverride w:val="9"/>
    </w:lvlOverride>
  </w:num>
  <w:num w:numId="57">
    <w:abstractNumId w:val="50"/>
    <w:lvlOverride w:ilvl="0">
      <w:startOverride w:val="10"/>
    </w:lvlOverride>
  </w:num>
  <w:num w:numId="58">
    <w:abstractNumId w:val="50"/>
    <w:lvlOverride w:ilvl="0">
      <w:startOverride w:val="1"/>
    </w:lvlOverride>
  </w:num>
  <w:num w:numId="59">
    <w:abstractNumId w:val="50"/>
    <w:lvlOverride w:ilvl="0">
      <w:startOverride w:val="2"/>
    </w:lvlOverride>
  </w:num>
  <w:num w:numId="60">
    <w:abstractNumId w:val="50"/>
    <w:lvlOverride w:ilvl="0">
      <w:startOverride w:val="3"/>
    </w:lvlOverride>
  </w:num>
  <w:num w:numId="61">
    <w:abstractNumId w:val="50"/>
    <w:lvlOverride w:ilvl="0">
      <w:startOverride w:val="4"/>
    </w:lvlOverride>
  </w:num>
  <w:num w:numId="62">
    <w:abstractNumId w:val="50"/>
    <w:lvlOverride w:ilvl="0">
      <w:startOverride w:val="5"/>
    </w:lvlOverride>
  </w:num>
  <w:num w:numId="63">
    <w:abstractNumId w:val="50"/>
    <w:lvlOverride w:ilvl="0">
      <w:startOverride w:val="6"/>
    </w:lvlOverride>
  </w:num>
  <w:num w:numId="64">
    <w:abstractNumId w:val="50"/>
    <w:lvlOverride w:ilvl="0">
      <w:startOverride w:val="7"/>
    </w:lvlOverride>
  </w:num>
  <w:num w:numId="65">
    <w:abstractNumId w:val="50"/>
    <w:lvlOverride w:ilvl="0">
      <w:startOverride w:val="8"/>
    </w:lvlOverride>
  </w:num>
  <w:num w:numId="66">
    <w:abstractNumId w:val="50"/>
    <w:lvlOverride w:ilvl="0">
      <w:startOverride w:val="9"/>
    </w:lvlOverride>
  </w:num>
  <w:num w:numId="67">
    <w:abstractNumId w:val="50"/>
    <w:lvlOverride w:ilvl="0">
      <w:startOverride w:val="1"/>
    </w:lvlOverride>
  </w:num>
  <w:num w:numId="68">
    <w:abstractNumId w:val="50"/>
    <w:lvlOverride w:ilvl="0">
      <w:startOverride w:val="2"/>
    </w:lvlOverride>
  </w:num>
  <w:num w:numId="69">
    <w:abstractNumId w:val="50"/>
    <w:lvlOverride w:ilvl="0">
      <w:startOverride w:val="3"/>
    </w:lvlOverride>
  </w:num>
  <w:num w:numId="70">
    <w:abstractNumId w:val="50"/>
    <w:lvlOverride w:ilvl="0">
      <w:startOverride w:val="4"/>
    </w:lvlOverride>
  </w:num>
  <w:num w:numId="71">
    <w:abstractNumId w:val="50"/>
    <w:lvlOverride w:ilvl="0">
      <w:startOverride w:val="5"/>
    </w:lvlOverride>
  </w:num>
  <w:num w:numId="72">
    <w:abstractNumId w:val="50"/>
    <w:lvlOverride w:ilvl="0">
      <w:startOverride w:val="6"/>
    </w:lvlOverride>
  </w:num>
  <w:num w:numId="73">
    <w:abstractNumId w:val="50"/>
    <w:lvlOverride w:ilvl="0">
      <w:startOverride w:val="7"/>
    </w:lvlOverride>
  </w:num>
  <w:num w:numId="74">
    <w:abstractNumId w:val="50"/>
    <w:lvlOverride w:ilvl="0">
      <w:startOverride w:val="8"/>
    </w:lvlOverride>
  </w:num>
  <w:num w:numId="75">
    <w:abstractNumId w:val="50"/>
    <w:lvlOverride w:ilvl="0">
      <w:startOverride w:val="9"/>
    </w:lvlOverride>
  </w:num>
  <w:num w:numId="76">
    <w:abstractNumId w:val="50"/>
    <w:lvlOverride w:ilvl="0">
      <w:startOverride w:val="10"/>
    </w:lvlOverride>
  </w:num>
  <w:num w:numId="77">
    <w:abstractNumId w:val="50"/>
    <w:lvlOverride w:ilvl="0">
      <w:startOverride w:val="1"/>
    </w:lvlOverride>
  </w:num>
  <w:num w:numId="78">
    <w:abstractNumId w:val="50"/>
    <w:lvlOverride w:ilvl="0">
      <w:startOverride w:val="2"/>
    </w:lvlOverride>
  </w:num>
  <w:num w:numId="79">
    <w:abstractNumId w:val="50"/>
    <w:lvlOverride w:ilvl="0">
      <w:startOverride w:val="3"/>
    </w:lvlOverride>
  </w:num>
  <w:num w:numId="80">
    <w:abstractNumId w:val="50"/>
    <w:lvlOverride w:ilvl="0">
      <w:startOverride w:val="4"/>
    </w:lvlOverride>
  </w:num>
  <w:num w:numId="81">
    <w:abstractNumId w:val="50"/>
    <w:lvlOverride w:ilvl="0">
      <w:startOverride w:val="5"/>
    </w:lvlOverride>
  </w:num>
  <w:num w:numId="82">
    <w:abstractNumId w:val="50"/>
    <w:lvlOverride w:ilvl="0">
      <w:startOverride w:val="6"/>
    </w:lvlOverride>
  </w:num>
  <w:num w:numId="83">
    <w:abstractNumId w:val="50"/>
    <w:lvlOverride w:ilvl="0">
      <w:startOverride w:val="7"/>
    </w:lvlOverride>
  </w:num>
  <w:num w:numId="84">
    <w:abstractNumId w:val="50"/>
    <w:lvlOverride w:ilvl="0">
      <w:startOverride w:val="8"/>
    </w:lvlOverride>
  </w:num>
  <w:num w:numId="85">
    <w:abstractNumId w:val="50"/>
    <w:lvlOverride w:ilvl="0">
      <w:startOverride w:val="9"/>
    </w:lvlOverride>
  </w:num>
  <w:num w:numId="86">
    <w:abstractNumId w:val="50"/>
    <w:lvlOverride w:ilvl="0">
      <w:startOverride w:val="10"/>
    </w:lvlOverride>
  </w:num>
  <w:num w:numId="87">
    <w:abstractNumId w:val="50"/>
    <w:lvlOverride w:ilvl="0">
      <w:startOverride w:val="11"/>
    </w:lvlOverride>
  </w:num>
  <w:num w:numId="88">
    <w:abstractNumId w:val="50"/>
    <w:lvlOverride w:ilvl="0">
      <w:startOverride w:val="12"/>
    </w:lvlOverride>
  </w:num>
  <w:num w:numId="89">
    <w:abstractNumId w:val="50"/>
    <w:lvlOverride w:ilvl="0">
      <w:startOverride w:val="13"/>
    </w:lvlOverride>
  </w:num>
  <w:num w:numId="90">
    <w:abstractNumId w:val="50"/>
    <w:lvlOverride w:ilvl="0">
      <w:startOverride w:val="14"/>
    </w:lvlOverride>
  </w:num>
  <w:num w:numId="91">
    <w:abstractNumId w:val="50"/>
    <w:lvlOverride w:ilvl="0">
      <w:startOverride w:val="15"/>
    </w:lvlOverride>
  </w:num>
  <w:num w:numId="92">
    <w:abstractNumId w:val="50"/>
    <w:lvlOverride w:ilvl="0">
      <w:startOverride w:val="1"/>
    </w:lvlOverride>
  </w:num>
  <w:num w:numId="93">
    <w:abstractNumId w:val="50"/>
    <w:lvlOverride w:ilvl="0">
      <w:startOverride w:val="2"/>
    </w:lvlOverride>
  </w:num>
  <w:num w:numId="94">
    <w:abstractNumId w:val="50"/>
    <w:lvlOverride w:ilvl="0">
      <w:startOverride w:val="3"/>
    </w:lvlOverride>
  </w:num>
  <w:num w:numId="95">
    <w:abstractNumId w:val="50"/>
    <w:lvlOverride w:ilvl="0">
      <w:startOverride w:val="4"/>
    </w:lvlOverride>
  </w:num>
  <w:num w:numId="96">
    <w:abstractNumId w:val="50"/>
    <w:lvlOverride w:ilvl="0">
      <w:startOverride w:val="5"/>
    </w:lvlOverride>
  </w:num>
  <w:num w:numId="97">
    <w:abstractNumId w:val="50"/>
    <w:lvlOverride w:ilvl="0">
      <w:startOverride w:val="6"/>
    </w:lvlOverride>
  </w:num>
  <w:num w:numId="98">
    <w:abstractNumId w:val="50"/>
    <w:lvlOverride w:ilvl="0">
      <w:startOverride w:val="7"/>
    </w:lvlOverride>
  </w:num>
  <w:num w:numId="99">
    <w:abstractNumId w:val="50"/>
    <w:lvlOverride w:ilvl="0">
      <w:startOverride w:val="8"/>
    </w:lvlOverride>
  </w:num>
  <w:num w:numId="100">
    <w:abstractNumId w:val="50"/>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color="000000"/>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widowControl/>
      <w:spacing w:after="160" w:line="264"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widowControl/>
      <w:numPr>
        <w:ilvl w:val="1"/>
      </w:numPr>
      <w:spacing w:before="0" w:after="280" w:line="264" w:lineRule="auto"/>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000000"/>
        <w:right w:val="single" w:sz="4" w:space="0" w:color="auto"/>
        <w:insideH w:val="single" w:sz="4" w:space="0" w:color="auto"/>
        <w:insideV w:val="single" w:sz="4" w:space="0" w:color="auto"/>
      </w:tblBorders>
      <w:tblCellMar>
        <w:top w:w="0" w:type="dxa"/>
        <w:left w:w="108" w:type="dxa"/>
        <w:bottom w:w="0" w:type="dxa" w:color="000000"/>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000000"/>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000000"/>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000000"/>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000000"/>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000000"/>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000000"/>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000000"/>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000000"/>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000000"/>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000000"/>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000000"/>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000000"/>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000000"/>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000000"/>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000000"/>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000000"/>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000000"/>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000000"/>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themeColor="text1"/>
          <w:bottom w:val="single" w:sz="8" w:space="0" w:color="000000"/>
        </w:tcBorders>
      </w:tcPr>
    </w:tblStylePr>
    <w:tblStylePr w:type="firstCol">
      <w:rPr>
        <w:b/>
        <w:bCs/>
      </w:rPr>
    </w:tblStylePr>
    <w:tblStylePr w:type="lastCol">
      <w:rPr>
        <w:b/>
        <w:bCs/>
      </w:rPr>
      <w:tblPr/>
      <w:tcPr>
        <w:tcBorders>
          <w:top w:val="single" w:sz="8" w:space="0" w:color="000000" w:themeColor="text1"/>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F81BD" w:themeColor="accent1"/>
          <w:bottom w:val="single" w:sz="8" w:space="0" w:color="000000"/>
        </w:tcBorders>
      </w:tcPr>
    </w:tblStylePr>
    <w:tblStylePr w:type="firstCol">
      <w:rPr>
        <w:b/>
        <w:bCs/>
      </w:rPr>
    </w:tblStylePr>
    <w:tblStylePr w:type="lastCol">
      <w:rPr>
        <w:b/>
        <w:bCs/>
      </w:rPr>
      <w:tblPr/>
      <w:tcPr>
        <w:tcBorders>
          <w:top w:val="single" w:sz="8" w:space="0" w:color="4F81BD" w:themeColor="accent1"/>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C0504D" w:themeColor="accent2"/>
          <w:bottom w:val="single" w:sz="8" w:space="0" w:color="000000"/>
        </w:tcBorders>
      </w:tcPr>
    </w:tblStylePr>
    <w:tblStylePr w:type="firstCol">
      <w:rPr>
        <w:b/>
        <w:bCs/>
      </w:rPr>
    </w:tblStylePr>
    <w:tblStylePr w:type="lastCol">
      <w:rPr>
        <w:b/>
        <w:bCs/>
      </w:rPr>
      <w:tblPr/>
      <w:tcPr>
        <w:tcBorders>
          <w:top w:val="single" w:sz="8" w:space="0" w:color="C0504D" w:themeColor="accent2"/>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9BBB59" w:themeColor="accent3"/>
          <w:bottom w:val="single" w:sz="8" w:space="0" w:color="000000"/>
        </w:tcBorders>
      </w:tcPr>
    </w:tblStylePr>
    <w:tblStylePr w:type="firstCol">
      <w:rPr>
        <w:b/>
        <w:bCs/>
      </w:rPr>
    </w:tblStylePr>
    <w:tblStylePr w:type="lastCol">
      <w:rPr>
        <w:b/>
        <w:bCs/>
      </w:rPr>
      <w:tblPr/>
      <w:tcPr>
        <w:tcBorders>
          <w:top w:val="single" w:sz="8" w:space="0" w:color="9BBB59" w:themeColor="accent3"/>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8064A2" w:themeColor="accent4"/>
          <w:bottom w:val="single" w:sz="8" w:space="0" w:color="000000"/>
        </w:tcBorders>
      </w:tcPr>
    </w:tblStylePr>
    <w:tblStylePr w:type="firstCol">
      <w:rPr>
        <w:b/>
        <w:bCs/>
      </w:rPr>
    </w:tblStylePr>
    <w:tblStylePr w:type="lastCol">
      <w:rPr>
        <w:b/>
        <w:bCs/>
      </w:rPr>
      <w:tblPr/>
      <w:tcPr>
        <w:tcBorders>
          <w:top w:val="single" w:sz="8" w:space="0" w:color="8064A2" w:themeColor="accent4"/>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BACC6" w:themeColor="accent5"/>
          <w:bottom w:val="single" w:sz="8" w:space="0" w:color="000000"/>
        </w:tcBorders>
      </w:tcPr>
    </w:tblStylePr>
    <w:tblStylePr w:type="firstCol">
      <w:rPr>
        <w:b/>
        <w:bCs/>
      </w:rPr>
    </w:tblStylePr>
    <w:tblStylePr w:type="lastCol">
      <w:rPr>
        <w:b/>
        <w:bCs/>
      </w:rPr>
      <w:tblPr/>
      <w:tcPr>
        <w:tcBorders>
          <w:top w:val="single" w:sz="8" w:space="0" w:color="4BACC6" w:themeColor="accent5"/>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F79646" w:themeColor="accent6"/>
          <w:bottom w:val="single" w:sz="8" w:space="0" w:color="000000"/>
        </w:tcBorders>
      </w:tcPr>
    </w:tblStylePr>
    <w:tblStylePr w:type="firstCol">
      <w:rPr>
        <w:b/>
        <w:bCs/>
      </w:rPr>
    </w:tblStylePr>
    <w:tblStylePr w:type="lastCol">
      <w:rPr>
        <w:b/>
        <w:bCs/>
      </w:rPr>
      <w:tblPr/>
      <w:tcPr>
        <w:tcBorders>
          <w:top w:val="single" w:sz="8" w:space="0" w:color="F79646" w:themeColor="accent6"/>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themeColor="tex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color="000000"/>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color="000000"/>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color="000000"/>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color="000000"/>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color="000000"/>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color="000000"/>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color="000000"/>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color="000000"/>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color="000000"/>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color="000000"/>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color="000000"/>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color="000000"/>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color="000000"/>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color="000000"/>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000000" w:themeFill="tex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000000" w:themeFill="text1" w:themeFillShade="BF"/>
      </w:tcPr>
    </w:tblStylePr>
    <w:tblStylePr w:type="band1Vert">
      <w:tblPr/>
      <w:tcPr>
        <w:tcBorders>
          <w:top w:val="nil"/>
          <w:left w:val="nil"/>
          <w:bottom w:val="nil" w:color="000000"/>
          <w:right w:val="nil"/>
          <w:insideH w:val="nil"/>
          <w:insideV w:val="nil"/>
        </w:tcBorders>
        <w:shd w:val="clear" w:color="auto" w:fill="000000" w:themeFill="text1" w:themeFillShade="BF"/>
      </w:tcPr>
    </w:tblStylePr>
    <w:tblStylePr w:type="band1Horz">
      <w:tblPr/>
      <w:tcPr>
        <w:tcBorders>
          <w:top w:val="nil"/>
          <w:left w:val="nil"/>
          <w:bottom w:val="nil" w:color="000000"/>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43F60" w:themeFill="accen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65F91" w:themeFill="accent1" w:themeFillShade="BF"/>
      </w:tcPr>
    </w:tblStylePr>
    <w:tblStylePr w:type="band1Vert">
      <w:tblPr/>
      <w:tcPr>
        <w:tcBorders>
          <w:top w:val="nil"/>
          <w:left w:val="nil"/>
          <w:bottom w:val="nil" w:color="000000"/>
          <w:right w:val="nil"/>
          <w:insideH w:val="nil"/>
          <w:insideV w:val="nil"/>
        </w:tcBorders>
        <w:shd w:val="clear" w:color="auto" w:fill="365F91" w:themeFill="accent1" w:themeFillShade="BF"/>
      </w:tcPr>
    </w:tblStylePr>
    <w:tblStylePr w:type="band1Horz">
      <w:tblPr/>
      <w:tcPr>
        <w:tcBorders>
          <w:top w:val="nil"/>
          <w:left w:val="nil"/>
          <w:bottom w:val="nil" w:color="000000"/>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622423" w:themeFill="accent2"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943634" w:themeFill="accent2" w:themeFillShade="BF"/>
      </w:tcPr>
    </w:tblStylePr>
    <w:tblStylePr w:type="band1Vert">
      <w:tblPr/>
      <w:tcPr>
        <w:tcBorders>
          <w:top w:val="nil"/>
          <w:left w:val="nil"/>
          <w:bottom w:val="nil" w:color="000000"/>
          <w:right w:val="nil"/>
          <w:insideH w:val="nil"/>
          <w:insideV w:val="nil"/>
        </w:tcBorders>
        <w:shd w:val="clear" w:color="auto" w:fill="943634" w:themeFill="accent2" w:themeFillShade="BF"/>
      </w:tcPr>
    </w:tblStylePr>
    <w:tblStylePr w:type="band1Horz">
      <w:tblPr/>
      <w:tcPr>
        <w:tcBorders>
          <w:top w:val="nil"/>
          <w:left w:val="nil"/>
          <w:bottom w:val="nil" w:color="000000"/>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4E6128" w:themeFill="accent3"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76923C" w:themeFill="accent3" w:themeFillShade="BF"/>
      </w:tcPr>
    </w:tblStylePr>
    <w:tblStylePr w:type="band1Vert">
      <w:tblPr/>
      <w:tcPr>
        <w:tcBorders>
          <w:top w:val="nil"/>
          <w:left w:val="nil"/>
          <w:bottom w:val="nil" w:color="000000"/>
          <w:right w:val="nil"/>
          <w:insideH w:val="nil"/>
          <w:insideV w:val="nil"/>
        </w:tcBorders>
        <w:shd w:val="clear" w:color="auto" w:fill="76923C" w:themeFill="accent3" w:themeFillShade="BF"/>
      </w:tcPr>
    </w:tblStylePr>
    <w:tblStylePr w:type="band1Horz">
      <w:tblPr/>
      <w:tcPr>
        <w:tcBorders>
          <w:top w:val="nil"/>
          <w:left w:val="nil"/>
          <w:bottom w:val="nil" w:color="000000"/>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3F3151" w:themeFill="accent4"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5F497A" w:themeFill="accent4" w:themeFillShade="BF"/>
      </w:tcPr>
    </w:tblStylePr>
    <w:tblStylePr w:type="band1Vert">
      <w:tblPr/>
      <w:tcPr>
        <w:tcBorders>
          <w:top w:val="nil"/>
          <w:left w:val="nil"/>
          <w:bottom w:val="nil" w:color="000000"/>
          <w:right w:val="nil"/>
          <w:insideH w:val="nil"/>
          <w:insideV w:val="nil"/>
        </w:tcBorders>
        <w:shd w:val="clear" w:color="auto" w:fill="5F497A" w:themeFill="accent4" w:themeFillShade="BF"/>
      </w:tcPr>
    </w:tblStylePr>
    <w:tblStylePr w:type="band1Horz">
      <w:tblPr/>
      <w:tcPr>
        <w:tcBorders>
          <w:top w:val="nil"/>
          <w:left w:val="nil"/>
          <w:bottom w:val="nil" w:color="000000"/>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05867" w:themeFill="accent5"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1849B" w:themeFill="accent5" w:themeFillShade="BF"/>
      </w:tcPr>
    </w:tblStylePr>
    <w:tblStylePr w:type="band1Vert">
      <w:tblPr/>
      <w:tcPr>
        <w:tcBorders>
          <w:top w:val="nil"/>
          <w:left w:val="nil"/>
          <w:bottom w:val="nil" w:color="000000"/>
          <w:right w:val="nil"/>
          <w:insideH w:val="nil"/>
          <w:insideV w:val="nil"/>
        </w:tcBorders>
        <w:shd w:val="clear" w:color="auto" w:fill="31849B" w:themeFill="accent5" w:themeFillShade="BF"/>
      </w:tcPr>
    </w:tblStylePr>
    <w:tblStylePr w:type="band1Horz">
      <w:tblPr/>
      <w:tcPr>
        <w:tcBorders>
          <w:top w:val="nil"/>
          <w:left w:val="nil"/>
          <w:bottom w:val="nil" w:color="000000"/>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974706" w:themeFill="accent6"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E36C0A" w:themeFill="accent6" w:themeFillShade="BF"/>
      </w:tcPr>
    </w:tblStylePr>
    <w:tblStylePr w:type="band1Vert">
      <w:tblPr/>
      <w:tcPr>
        <w:tcBorders>
          <w:top w:val="nil"/>
          <w:left w:val="nil"/>
          <w:bottom w:val="nil" w:color="000000"/>
          <w:right w:val="nil"/>
          <w:insideH w:val="nil"/>
          <w:insideV w:val="nil"/>
        </w:tcBorders>
        <w:shd w:val="clear" w:color="auto" w:fill="E36C0A" w:themeFill="accent6" w:themeFillShade="BF"/>
      </w:tcPr>
    </w:tblStylePr>
    <w:tblStylePr w:type="band1Horz">
      <w:tblPr/>
      <w:tcPr>
        <w:tcBorders>
          <w:top w:val="nil"/>
          <w:left w:val="nil"/>
          <w:bottom w:val="nil" w:color="000000"/>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color="000000"/>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000000"/>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color="000000"/>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000000"/>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color="000000"/>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000000"/>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color="000000"/>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000000"/>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color="000000"/>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000000"/>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color="000000"/>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000000"/>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color="000000"/>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6E6E6" w:themeFill="tex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2F8" w:themeFill="accen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8EDED" w:themeFill="accent2"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5F8EE" w:themeFill="accent3" w:themeFillTint="19"/>
    </w:tcPr>
    <w:tblStylePr w:type="firstRow">
      <w:rPr>
        <w:b/>
        <w:bCs/>
        <w:color w:val="FFFFFF" w:themeColor="background1"/>
      </w:rPr>
      <w:tblPr/>
      <w:tcPr>
        <w:tcBorders>
          <w:bottom w:val="single" w:sz="12" w:space="0" w:color="000000"/>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2EFF6" w:themeFill="accent4" w:themeFillTint="19"/>
    </w:tcPr>
    <w:tblStylePr w:type="firstRow">
      <w:rPr>
        <w:b/>
        <w:bCs/>
        <w:color w:val="FFFFFF" w:themeColor="background1"/>
      </w:rPr>
      <w:tblPr/>
      <w:tcPr>
        <w:tcBorders>
          <w:bottom w:val="single" w:sz="12" w:space="0" w:color="000000"/>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6F9" w:themeFill="accent5" w:themeFillTint="19"/>
    </w:tcPr>
    <w:tblStylePr w:type="firstRow">
      <w:rPr>
        <w:b/>
        <w:bCs/>
        <w:color w:val="FFFFFF" w:themeColor="background1"/>
      </w:rPr>
      <w:tblPr/>
      <w:tcPr>
        <w:tcBorders>
          <w:bottom w:val="single" w:sz="12" w:space="0" w:color="000000"/>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EF4EC" w:themeFill="accent6" w:themeFillTint="19"/>
    </w:tcPr>
    <w:tblStylePr w:type="firstRow">
      <w:rPr>
        <w:b/>
        <w:bCs/>
        <w:color w:val="FFFFFF" w:themeColor="background1"/>
      </w:rPr>
      <w:tblPr/>
      <w:tcPr>
        <w:tcBorders>
          <w:bottom w:val="single" w:sz="12" w:space="0" w:color="000000"/>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
    <w:name w:val="Procedure"/>
    <w:pPr>
      <w:keepLines/>
      <w:widowControl/>
      <w:spacing w:before="0" w:after="80" w:line="300" w:lineRule="auto"/>
    </w:pPr>
    <w:rPr>
      <w:rFonts w:ascii="Calibri" w:hAnsi="Calibri"/>
      <w:b w:val="0"/>
      <w:color w:val="000000"/>
      <w:sz w:val="22"/>
    </w:rPr>
  </w:style>
  <w:style w:type="paragraph" w:customStyle="1" w:styleId="TableText">
    <w:name w:val="Table Text"/>
    <w:pPr>
      <w:keepLines/>
      <w:widowControl/>
      <w:spacing w:before="0" w:after="80" w:line="264" w:lineRule="auto"/>
    </w:pPr>
    <w:rPr>
      <w:rFonts w:ascii="Calibri" w:hAnsi="Calibri"/>
      <w:b w:val="0"/>
      <w:color w:val="000000"/>
      <w:sz w:val="19"/>
    </w:rPr>
  </w:style>
  <w:style w:type="paragraph" w:customStyle="1" w:styleId="CodeBlock">
    <w:name w:val="Code Block"/>
    <w:pPr>
      <w:keepLines/>
      <w:widowControl/>
      <w:spacing w:before="0" w:after="0" w:line="240" w:lineRule="auto"/>
    </w:pPr>
    <w:rPr>
      <w:rFonts w:ascii="Consolas" w:hAnsi="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VCF Offline Depot — Quick Start Guide</dc:title>
  <dc:subject>Deployment and administration of the custom Ubuntu offline depot appliance</dc:subject>
  <dc:creator>VCF Offline Depot</dc:creator>
  <cp:keywords/>
  <dc:description>generated by python-docx</dc:description>
  <cp:lastModifiedBy/>
  <cp:revision>1</cp:revision>
  <dcterms:created xsi:type="dcterms:W3CDTF">2013-12-23T23:15:00Z</dcterms:created>
  <dcterms:modified xsi:type="dcterms:W3CDTF">2013-12-23T23:15:00Z</dcterms:modified>
  <cp:category/>
</cp:coreProperties>
</file>