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VCF Offline Depot</w:t>
      </w:r>
    </w:p>
    <w:p>
      <w:pPr>
        <w:pStyle w:val="Subtitle"/>
      </w:pPr>
      <w:r>
        <w:rPr>
          <w:color w:val="000000"/>
        </w:rPr>
        <w:t>Roadmap</w:t>
      </w:r>
    </w:p>
    <w:p>
      <w:r>
        <w:rPr>
          <w:color w:val="000000"/>
        </w:rPr>
        <w:t>Release baseline: 1.1.0 OVA | Build 2026-09-07.1</w:t>
      </w:r>
    </w:p>
    <w:p>
      <w:r>
        <w:rPr>
          <w:color w:val="000000"/>
        </w:rPr>
        <w:t>Revision: 3.7</w:t>
      </w:r>
    </w:p>
    <w:p>
      <w:r>
        <w:rPr>
          <w:color w:val="000000"/>
        </w:rPr>
        <w:t>Date: 7 September 2026</w:t>
      </w:r>
    </w:p>
    <w:p>
      <w:r>
        <w:rPr>
          <w:color w:val="000000"/>
        </w:rPr>
        <w:t>Status: The agreed 1.0 GA release work and acceptance tests are complete. No open roadmap items block the VCF Installer-only release. Completed tasks have been removed.</w:t>
      </w:r>
    </w:p>
    <w:p>
      <w:pPr>
        <w:spacing w:after="0"/>
      </w:pPr>
    </w:p>
    <w:p>
      <w:pPr>
        <w:pStyle w:val="Heading1"/>
      </w:pPr>
      <w:r>
        <w:rPr>
          <w:color w:val="000000"/>
        </w:rPr>
        <w:t>Post release roadmap</w:t>
      </w:r>
    </w:p>
    <w:p>
      <w:pPr>
        <w:pStyle w:val="Heading2"/>
      </w:pPr>
      <w:r>
        <w:rPr>
          <w:color w:val="000000"/>
        </w:rPr>
        <w:t>T04 - SDDC Manager and Fleet Manager integration (deferred)</w:t>
      </w:r>
    </w:p>
    <w:p>
      <w:r>
        <w:rPr>
          <w:color w:val="000000"/>
        </w:rPr>
        <w:t>Future release: Qualify endpoint configuration and representative metadata and binary downloads for each SDDC Manager and Fleet Manager version proposed for support. VCF Installer integration is complete; these additional targets are not supported for production in 1.0 GA.</w:t>
      </w:r>
    </w:p>
    <w:p>
      <w:r>
        <w:rPr>
          <w:color w:val="000000"/>
        </w:rPr>
        <w:t>Pass: Each manager is identified correctly, accepts the depot settings and CA chain, retains authentication, and retrieves content with a selected depot account.</w:t>
      </w:r>
    </w:p>
    <w:p>
      <w:r/>
    </w:p>
    <w:p>
      <w:pPr>
        <w:pStyle w:val="Heading1"/>
      </w:pPr>
      <w:r>
        <w:t>Version 1 1 0 delivery update</w:t>
      </w:r>
    </w:p>
    <w:p>
      <w:r>
        <w:t>7 September 2026 | Roadmap revision 3.7 | Distribution build 2026-09-07.1</w:t>
      </w:r>
    </w:p>
    <w:p>
      <w:r>
        <w:t>Version 1.1.0 delivers the permanent Depot Management page and access to Download Tool, Depot Accounts, and HTTPS Certificate maintenance after setup. It also corrects bootable ESX ISO acquisition and verifies the expected file before download completion. Header naming and maintenance return buttons are now consistent.</w:t>
      </w:r>
    </w:p>
    <w:p>
      <w:r>
        <w:t>The navigation portion of review recommendation R2 is delivered. Credential rotation, certificate renewal, and representative VCF Installer retrieval should still be validated for each customer environment. Other review recommendations remain planned; this release does not claim that R1, R3, or the later reliability recommendations are implemented.</w:t>
      </w:r>
    </w:p>
    <w:sectPr w:rsidR="00FC693F" w:rsidRPr="0006063C" w:rsidSect="00034616">
      <w:headerReference w:type="default" r:id="rId9"/>
      <w:footerReference w:type="default" r:id="rId10"/>
      <w:footerReference w:type="first" r:id="rId17"/>
      <w:footerReference w:type="even" r:id="rId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rPr>
      <w:t xml:space="preserve">Revision 3.7  |  7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t>VCF OFFLINE DEPOT  /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decimal"/>
      <w:lvlText w:val="%1."/>
      <w:lvlJc w:val="left"/>
      <w:pPr>
        <w:ind w:left="540" w:hanging="271"/>
        <w:tabs>
          <w:tab w:val="num" w:pos="540"/>
        </w:tabs>
      </w:pPr>
    </w:lvl>
  </w:abstractNum>
  <w:num w:numId="10">
    <w:abstractNumId w:val="50"/>
    <w:lvlOverride w:ilvl="0">
      <w:startOverride w:val="1"/>
    </w:lvlOverride>
  </w:num>
  <w:num w:numId="11">
    <w:abstractNumId w:val="50"/>
    <w:lvlOverride w:ilvl="0">
      <w:startOverride w:val="2"/>
    </w:lvlOverride>
  </w:num>
  <w:num w:numId="12">
    <w:abstractNumId w:val="50"/>
    <w:lvlOverride w:ilvl="0">
      <w:startOverride w:val="3"/>
    </w:lvlOverride>
  </w:num>
  <w:num w:numId="13">
    <w:abstractNumId w:val="50"/>
    <w:lvlOverride w:ilvl="0">
      <w:startOverride w:val="4"/>
    </w:lvlOverride>
  </w:num>
  <w:num w:numId="14">
    <w:abstractNumId w:val="50"/>
    <w:lvlOverride w:ilvl="0">
      <w:startOverride w:val="5"/>
    </w:lvlOverride>
  </w:num>
  <w:num w:numId="15">
    <w:abstractNumId w:val="50"/>
    <w:lvlOverride w:ilvl="0">
      <w:startOverride w:val="6"/>
    </w:lvlOverride>
  </w:num>
  <w:num w:numId="16">
    <w:abstractNumId w:val="5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keepLines/>
      <w:widowControl/>
      <w:tabs>
        <w:tab w:val="center" w:pos="4680"/>
        <w:tab w:val="right" w:pos="9360"/>
      </w:tabs>
      <w:spacing w:after="0" w:line="240" w:lineRule="auto" w:before="0"/>
    </w:pPr>
    <w:rPr>
      <w:rFonts w:ascii="Calibri" w:hAnsi="Calibri"/>
      <w:b w:val="0"/>
      <w:color w:val="000000"/>
      <w:sz w:val="18"/>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keepLines/>
      <w:widowControl/>
      <w:tabs>
        <w:tab w:val="center" w:pos="4680"/>
        <w:tab w:val="right" w:pos="9360"/>
      </w:tabs>
      <w:spacing w:after="0" w:line="240" w:lineRule="auto" w:before="0"/>
    </w:pPr>
    <w:rPr>
      <w:rFonts w:ascii="Calibri" w:hAnsi="Calibri"/>
      <w:b w:val="0"/>
      <w:color w:val="000000"/>
      <w:sz w:val="18"/>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Lines/>
      <w:widowControl/>
      <w:spacing w:after="160" w:line="264"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Lines/>
      <w:widowControl/>
      <w:numPr>
        <w:ilvl w:val="1"/>
      </w:numPr>
      <w:spacing w:before="0" w:after="280" w:line="264" w:lineRule="auto"/>
    </w:pPr>
    <w:rPr>
      <w:rFonts w:asciiTheme="majorHAnsi" w:eastAsiaTheme="majorEastAsia" w:hAnsiTheme="majorHAnsi" w:cstheme="majorBidi" w:ascii="Calibri" w:hAnsi="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hemeColor="text1"/>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4F81BD" w:themeColor="accent1"/>
        </w:tcBorders>
        <w:shd w:val="clear" w:color="auto"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C0504D" w:themeColor="accent2"/>
        </w:tcBorders>
        <w:shd w:val="clear" w:color="auto"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9BBB59" w:themeColor="accent3"/>
        </w:tcBorders>
        <w:shd w:val="clear" w:color="auto"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8064A2" w:themeColor="accent4"/>
        </w:tcBorders>
        <w:shd w:val="clear" w:color="auto"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4BACC6" w:themeColor="accent5"/>
        </w:tcBorders>
        <w:shd w:val="clear" w:color="auto"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F79646" w:themeColor="accent6"/>
        </w:tcBorders>
        <w:shd w:val="clear" w:color="auto"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FFFFFF" w:themeColor="background1"/>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auto"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auto"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auto"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auto"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auto"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000000"/>
          <w:right w:val="single" w:sz="24" w:space="0" w:color="00000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000000"/>
          <w:bottom w:val="nil"/>
          <w:right w:val="nil"/>
          <w:insideH w:val="nil"/>
          <w:insideV w:val="nil"/>
        </w:tcBorders>
        <w:shd w:val="clear" w:color="auto"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insideH w:val="nil"/>
          <w:insideV w:val="nil"/>
        </w:tcBorders>
        <w:shd w:val="clear" w:color="auto" w:fill="000000" w:themeFill="text1" w:themeFillShade="BF"/>
      </w:tcPr>
    </w:tblStylePr>
    <w:tblStylePr w:type="lastCol">
      <w:tblPr/>
      <w:tcPr>
        <w:tcBorders>
          <w:top w:val="nil"/>
          <w:left w:val="single" w:sz="18" w:space="0" w:color="00000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insideH w:val="nil"/>
          <w:insideV w:val="nil"/>
        </w:tcBorders>
        <w:shd w:val="clear" w:color="auto" w:fill="365F91" w:themeFill="accent1" w:themeFillShade="BF"/>
      </w:tcPr>
    </w:tblStylePr>
    <w:tblStylePr w:type="lastCol">
      <w:tblPr/>
      <w:tcPr>
        <w:tcBorders>
          <w:top w:val="nil"/>
          <w:left w:val="single" w:sz="18" w:space="0" w:color="00000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insideH w:val="nil"/>
          <w:insideV w:val="nil"/>
        </w:tcBorders>
        <w:shd w:val="clear" w:color="auto" w:fill="943634" w:themeFill="accent2" w:themeFillShade="BF"/>
      </w:tcPr>
    </w:tblStylePr>
    <w:tblStylePr w:type="lastCol">
      <w:tblPr/>
      <w:tcPr>
        <w:tcBorders>
          <w:top w:val="nil"/>
          <w:left w:val="single" w:sz="18" w:space="0" w:color="00000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insideH w:val="nil"/>
          <w:insideV w:val="nil"/>
        </w:tcBorders>
        <w:shd w:val="clear" w:color="auto" w:fill="76923C" w:themeFill="accent3" w:themeFillShade="BF"/>
      </w:tcPr>
    </w:tblStylePr>
    <w:tblStylePr w:type="lastCol">
      <w:tblPr/>
      <w:tcPr>
        <w:tcBorders>
          <w:top w:val="nil"/>
          <w:left w:val="single" w:sz="18" w:space="0" w:color="00000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insideH w:val="nil"/>
          <w:insideV w:val="nil"/>
        </w:tcBorders>
        <w:shd w:val="clear" w:color="auto" w:fill="5F497A" w:themeFill="accent4" w:themeFillShade="BF"/>
      </w:tcPr>
    </w:tblStylePr>
    <w:tblStylePr w:type="lastCol">
      <w:tblPr/>
      <w:tcPr>
        <w:tcBorders>
          <w:top w:val="nil"/>
          <w:left w:val="single" w:sz="18" w:space="0" w:color="00000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insideH w:val="nil"/>
          <w:insideV w:val="nil"/>
        </w:tcBorders>
        <w:shd w:val="clear" w:color="auto" w:fill="31849B" w:themeFill="accent5" w:themeFillShade="BF"/>
      </w:tcPr>
    </w:tblStylePr>
    <w:tblStylePr w:type="lastCol">
      <w:tblPr/>
      <w:tcPr>
        <w:tcBorders>
          <w:top w:val="nil"/>
          <w:left w:val="single" w:sz="18" w:space="0" w:color="00000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insideH w:val="nil"/>
          <w:insideV w:val="nil"/>
        </w:tcBorders>
        <w:shd w:val="clear" w:color="auto" w:fill="E36C0A" w:themeFill="accent6" w:themeFillShade="BF"/>
      </w:tcPr>
    </w:tblStylePr>
    <w:tblStylePr w:type="lastCol">
      <w:tblPr/>
      <w:tcPr>
        <w:tcBorders>
          <w:top w:val="nil"/>
          <w:left w:val="single" w:sz="18" w:space="0" w:color="00000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00000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00000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00000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00000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00000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00000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00000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000000"/>
        </w:tcBorders>
        <w:shd w:val="clear" w:color="auto" w:fill="664E82" w:themeFill="accent4" w:themeFillShade="CC"/>
      </w:tcPr>
    </w:tblStylePr>
    <w:tblStylePr w:type="lastRow">
      <w:rPr>
        <w:b/>
        <w:bCs/>
        <w:color w:val="664E82" w:themeColor="accent4" w:themeShade="CC"/>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000000"/>
        </w:tcBorders>
        <w:shd w:val="clear" w:color="auto" w:fill="7E9C40" w:themeFill="accent3" w:themeFillShade="CC"/>
      </w:tcPr>
    </w:tblStylePr>
    <w:tblStylePr w:type="lastRow">
      <w:rPr>
        <w:b/>
        <w:bCs/>
        <w:color w:val="7E9C40" w:themeColor="accent3" w:themeShade="CC"/>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000000"/>
        </w:tcBorders>
        <w:shd w:val="clear" w:color="auto" w:fill="F2730A" w:themeFill="accent6" w:themeFillShade="CC"/>
      </w:tcPr>
    </w:tblStylePr>
    <w:tblStylePr w:type="lastRow">
      <w:rPr>
        <w:b/>
        <w:bCs/>
        <w:color w:val="F2730A" w:themeColor="accent6" w:themeShade="CC"/>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000000"/>
        </w:tcBorders>
        <w:shd w:val="clear" w:color="auto" w:fill="348DA5" w:themeFill="accent5" w:themeFillShade="CC"/>
      </w:tcPr>
    </w:tblStylePr>
    <w:tblStylePr w:type="lastRow">
      <w:rPr>
        <w:b/>
        <w:bCs/>
        <w:color w:val="348DA5" w:themeColor="accent5" w:themeShade="CC"/>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cedure">
    <w:name w:val="Procedure"/>
    <w:pPr>
      <w:keepLines/>
      <w:widowControl/>
      <w:spacing w:before="0" w:after="40" w:line="300" w:lineRule="auto"/>
    </w:pPr>
    <w:rPr>
      <w:rFonts w:ascii="Calibri" w:hAnsi="Calibri"/>
      <w:b w:val="0"/>
      <w:color w:val="000000"/>
      <w:sz w:val="21"/>
    </w:rPr>
  </w:style>
  <w:style w:type="paragraph" w:customStyle="1" w:styleId="TableText">
    <w:name w:val="Table Text"/>
    <w:pPr>
      <w:keepLines/>
      <w:widowControl/>
      <w:spacing w:before="0" w:after="80" w:line="264" w:lineRule="auto"/>
    </w:pPr>
    <w:rPr>
      <w:rFonts w:ascii="Calibri" w:hAnsi="Calibri"/>
      <w:b w:val="0"/>
      <w:color w:val="000000"/>
      <w:sz w:val="19"/>
    </w:rPr>
  </w:style>
  <w:style w:type="paragraph" w:customStyle="1" w:styleId="CodeBlock">
    <w:name w:val="Code Block"/>
    <w:pPr>
      <w:keepLines/>
      <w:widowControl/>
      <w:spacing w:before="0" w:after="0" w:line="240" w:lineRule="auto"/>
    </w:pPr>
    <w:rPr>
      <w:rFonts w:ascii="Consolas" w:hAnsi="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map.org/book/man.html" TargetMode="External"/><Relationship Id="rId12" Type="http://schemas.openxmlformats.org/officeDocument/2006/relationships/hyperlink" Target="https://greenbone.github.io/docs/latest/" TargetMode="External"/><Relationship Id="rId13" Type="http://schemas.openxmlformats.org/officeDocument/2006/relationships/hyperlink" Target="https://www.zaproxy.org/docs/automate/automation-framework/" TargetMode="External"/><Relationship Id="rId14" Type="http://schemas.openxmlformats.org/officeDocument/2006/relationships/hyperlink" Target="https://testssl.sh/" TargetMode="External"/><Relationship Id="rId15" Type="http://schemas.openxmlformats.org/officeDocument/2006/relationships/hyperlink" Target="https://cisofy.com/documentation/lynis/" TargetMode="External"/><Relationship Id="rId16" Type="http://schemas.openxmlformats.org/officeDocument/2006/relationships/hyperlink" Target="https://trivy.dev/latest/docs/" TargetMode="External"/><Relationship Id="rId17" Type="http://schemas.openxmlformats.org/officeDocument/2006/relationships/footer" Target="footer2.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VCF Offline Depot Roadmap</dc:title>
  <dc:subject>Outstanding validation before production go-live</dc:subject>
  <dc:creator>VCF Offline Depot</dc:creator>
  <cp:keywords/>
  <dc:description>generated by python-docx</dc:description>
  <cp:lastModifiedBy/>
  <cp:revision>1</cp:revision>
  <dcterms:created xsi:type="dcterms:W3CDTF">2013-12-23T23:15:00Z</dcterms:created>
  <dcterms:modified xsi:type="dcterms:W3CDTF">2013-12-23T23:15:00Z</dcterms:modified>
  <cp:category/>
</cp:coreProperties>
</file>