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Mail-Verlauf: Abstimmung vor dem nächsten Steuerkreis</w:t>
      </w:r>
    </w:p>
    <w:p>
      <w:pPr>
        <w:pStyle w:val="Heading2"/>
      </w:pPr>
      <w:r>
        <w:t>Mail 1 - Mara Vogt an das Projektteam</w:t>
      </w:r>
    </w:p>
    <w:p>
      <w:r>
        <w:t>Betreff: Briefing für den nächsten Steuerkreis</w:t>
      </w:r>
    </w:p>
    <w:p>
      <w:r>
        <w:t>Mara schreibt, der nächste Steuerkreis diene der Vorbereitung der vertagten Entscheidung zur Rechte- und Rollensteuerung.</w:t>
      </w:r>
    </w:p>
    <w:p>
      <w:r>
        <w:t>Sie bittet um ein Briefing mit belegten Aussagen und klarem Hinweis auf den vertagten Status.</w:t>
      </w:r>
    </w:p>
    <w:p>
      <w:pPr>
        <w:pStyle w:val="Heading2"/>
      </w:pPr>
      <w:r>
        <w:t>Mail 2 - Jonas Reiter an Mara Vogt</w:t>
      </w:r>
    </w:p>
    <w:p>
      <w:r>
        <w:t>Betreff: Technische Optionen für die Zugriffssteuerung</w:t>
      </w:r>
    </w:p>
    <w:p>
      <w:r>
        <w:t>Jonas Reiter beschreibt drei mögliche Ansätze: Filterung beim Dokumentzugriff, Filterung während der Retrieval-Abfrage und nachträgliche Prüfung der Antwortquellen.</w:t>
      </w:r>
    </w:p>
    <w:p>
      <w:r>
        <w:t>Jonas Reiter soll bis zum nächsten Steuerkreis zwei dieser Optionen mit Aufwand und Risiken skizzieren.</w:t>
      </w:r>
    </w:p>
    <w:p>
      <w:pPr>
        <w:pStyle w:val="Heading2"/>
      </w:pPr>
      <w:r>
        <w:t>Mail 3 - Dr. Thomas Brandt an Jonas Reiter und Mara Vogt</w:t>
      </w:r>
    </w:p>
    <w:p>
      <w:r>
        <w:t>Betreff: Datenschutzanforderungen an den Dokumentzugriff</w:t>
      </w:r>
    </w:p>
    <w:p>
      <w:r>
        <w:t>Dr. Thomas Brandt weist darauf hin, dass die nachträgliche Filterung allein nicht genügt, weil vertrauliche Inhalte dann bereits im Kontext des Modells gelandet sein können.</w:t>
      </w:r>
    </w:p>
    <w:p>
      <w:r>
        <w:t>Dr. Thomas Brandt soll Mindestanforderungen für datenschutzkonforme Dokumentzugriffe im späteren Betrieb formulieren.</w:t>
      </w:r>
    </w:p>
    <w:p>
      <w:pPr>
        <w:pStyle w:val="Heading2"/>
      </w:pPr>
      <w:r>
        <w:t>Mail 4 - Elif Kaya an Mara Vogt</w:t>
      </w:r>
    </w:p>
    <w:p>
      <w:r>
        <w:t>Betreff: Rückfrage aus dem Vertrieb</w:t>
      </w:r>
    </w:p>
    <w:p>
      <w:r>
        <w:t>Elif Kaya fragt, ob ChromaDB weiterhin die Zielplattform für den produktiven Betrieb ist. Sie bezieht sich dabei auf die Entscheidung D1 vom 17.03.2026.</w:t>
      </w:r>
    </w:p>
    <w:p>
      <w:r>
        <w:t>Mara Vogt antwortet, dass D1 durch D2 vom 14.04.2026 ersetzt wurde: Für den produktiven Einsatz ist eine verwaltete Cloud-Vektordatenbank vorgesehen.</w:t>
      </w:r>
    </w:p>
    <w:p>
      <w:pPr>
        <w:pStyle w:val="Heading2"/>
      </w:pPr>
      <w:r>
        <w:t>Hinweis</w:t>
      </w:r>
    </w:p>
    <w:p>
      <w:r>
        <w:t>Die Mail von Elif Kaya zeigt einen typischen Konflikt zwischen einem älteren und einem aktuellen Stand. Ein Briefing nennt D2 als aktive Entscheidung und kennzeichnet D1 als überholt.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