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Projektstatus: Projekt Kompass</w:t>
      </w:r>
    </w:p>
    <w:p>
      <w:pPr>
        <w:pStyle w:val="Heading2"/>
      </w:pPr>
      <w:r>
        <w:t>Zusammenfassung</w:t>
      </w:r>
    </w:p>
    <w:p>
      <w:r>
        <w:t>Stand: 20.05.2026.</w:t>
      </w:r>
    </w:p>
    <w:p>
      <w:r>
        <w:t>Projekt Kompass führt einen internen KI-gestützten Recherche- und Wissensassistenten für die Fachabteilungen der Nordlicht Software GmbH ein. Der Prototyp läuft mit einem kuratierten Testkorpus.</w:t>
      </w:r>
    </w:p>
    <w:p>
      <w:r>
        <w:t>Vier von fünf Aufgaben im Follow-up-Tracker (Stand 19.05.2026) sind erledigt. Offen ist die Rechte- und Rollensteuerung.</w:t>
      </w:r>
    </w:p>
    <w:p>
      <w:pPr>
        <w:pStyle w:val="Heading2"/>
      </w:pPr>
      <w:r>
        <w:t>Fortschritt nach Aufgaben</w:t>
      </w:r>
    </w:p>
    <w:p>
      <w:r>
        <w:t>Jonas Reiter liefert den Tool-Vergleich bis 17.03.2026 (erledigt).</w:t>
      </w:r>
    </w:p>
    <w:p>
      <w:r>
        <w:t>Jonas Reiter übernimmt den Belastungstest bis 14.04.2026 (erledigt).</w:t>
      </w:r>
    </w:p>
    <w:p>
      <w:r>
        <w:t>Dr. Thomas Brandt liefert die Datenschutzfreigabe bis 28.04.2026 (erledigt).</w:t>
      </w:r>
    </w:p>
    <w:p>
      <w:r>
        <w:t>Elif Kaya übernimmt die Sammlung der Anforderungen aus dem Fachbereich Vertrieb bis 05.05.2026 (erledigt).</w:t>
      </w:r>
    </w:p>
    <w:p>
      <w:r>
        <w:t>Mara Vogt klärt die Entscheidung zur Rechte- und Rollensteuerung (vertagt, offen).</w:t>
      </w:r>
    </w:p>
    <w:p>
      <w:pPr>
        <w:pStyle w:val="Heading2"/>
      </w:pPr>
      <w:r>
        <w:t>Entscheidungen</w:t>
      </w:r>
    </w:p>
    <w:p>
      <w:r>
        <w:t>D1, beschlossen am 17.03.2026: ChromaDB für den Prototyp evaluieren. Status: überholt, ersetzt durch D2.</w:t>
      </w:r>
    </w:p>
    <w:p>
      <w:r>
        <w:t>D2, beschlossen am 14.04.2026: Verwaltete Cloud-Vektordatenbank für den produktiven Einsatz; ChromaDB verworfen. Status: aktiv.</w:t>
      </w:r>
    </w:p>
    <w:p>
      <w:r>
        <w:t>D3, beschlossen am 28.04.2026: Risiko R2 (Datenschutzfreigabe) als mitigiert eingestuft. Status: aktiv.</w:t>
      </w:r>
    </w:p>
    <w:p>
      <w:pPr>
        <w:pStyle w:val="Heading2"/>
      </w:pPr>
      <w:r>
        <w:t>Risiken</w:t>
      </w:r>
    </w:p>
    <w:p>
      <w:r>
        <w:t>R2 (Datenschutzfreigabe): mitigiert seit 28.04.2026. Die Freigabe von Dr. Thomas Brandt gilt für den kuratierten Testkorpus; für produktive Daten ist eine separate Prüfung erforderlich.</w:t>
      </w:r>
    </w:p>
    <w:p>
      <w:r>
        <w:t>R1 (Technische Integration), R3 (Akzeptanz im Fachbereich) und R4 (Budgetrahmen): laut Risikoliste vom 17.03.2026 offen. Ein späterer Status ist in den vorliegenden Protokollen nicht belegt.</w:t>
      </w:r>
    </w:p>
    <w:p>
      <w:pPr>
        <w:pStyle w:val="Heading2"/>
      </w:pPr>
      <w:r>
        <w:t>Blocker und Engpässe</w:t>
      </w:r>
    </w:p>
    <w:p>
      <w:r>
        <w:t>Die Rechte- und Rollensteuerung ist nicht entschieden. Weder ein Rollenmodell noch eine technische Freigabe für produktive Zugriffssteuerung wurde beschlossen.</w:t>
      </w:r>
    </w:p>
    <w:p>
      <w:pPr>
        <w:pStyle w:val="Heading2"/>
      </w:pPr>
      <w:r>
        <w:t>Abhängigkeiten</w:t>
      </w:r>
    </w:p>
    <w:p>
      <w:r>
        <w:t>Die Entscheidung zur Rechte- und Rollensteuerung hängt von den technischen Optionen von Jonas Reiter und den Mindestanforderungen von Dr. Thomas Brandt ab.</w:t>
      </w:r>
    </w:p>
    <w:p>
      <w:pPr>
        <w:pStyle w:val="Heading2"/>
      </w:pPr>
      <w:r>
        <w:t>Empfehlung für das Meeting</w:t>
      </w:r>
    </w:p>
    <w:p>
      <w:r>
        <w:t>Empfohlene Reihenfolge: zuerst der vertagte Punkt zur Rechte- und Rollensteuerung, danach der Abgleich der offenen Aufgaben im Follow-up-Tracker.</w:t>
      </w:r>
    </w:p>
    <w:p>
      <w:r>
        <w:t>Das Briefing stellt die Rechte- und Rollensteuerung nicht als beschlossen dar.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