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Notizen aus der Vorbesprechung zum nächsten Steuerkreis</w:t>
      </w:r>
    </w:p>
    <w:p>
      <w:pPr>
        <w:pStyle w:val="Heading2"/>
      </w:pPr>
      <w:r>
        <w:t>Teilnehmende der Vorbesprechung</w:t>
      </w:r>
    </w:p>
    <w:p>
      <w:r>
        <w:t>Anwesend waren Mara Vogt, Jonas Reiter und Dr. Thomas Brandt.</w:t>
      </w:r>
    </w:p>
    <w:p>
      <w:pPr>
        <w:pStyle w:val="Heading2"/>
      </w:pPr>
      <w:r>
        <w:t>Kernaussagen</w:t>
      </w:r>
    </w:p>
    <w:p>
      <w:r>
        <w:t>Sprache des Briefings: Deutsch, mit Quellenangabe (Dokumentname und Datum).</w:t>
      </w:r>
    </w:p>
    <w:p>
      <w:r>
        <w:t>Das Briefing dient der Vorbereitung des Steuerkreises; die Nachbereitung folgt nach dem Termin.</w:t>
      </w:r>
    </w:p>
    <w:p>
      <w:r>
        <w:t>Darstellung: Der Punkt Rechte- und Rollensteuerung gilt als diskutiert, aber nicht beschlossen.</w:t>
      </w:r>
    </w:p>
    <w:p>
      <w:r>
        <w:t>Bei Entscheidungen zur Vektordatenbank gilt D2 als aktiv und D1 als überholt.</w:t>
      </w:r>
    </w:p>
    <w:p>
      <w:pPr>
        <w:pStyle w:val="Heading2"/>
      </w:pPr>
      <w:r>
        <w:t>Offene Fragen</w:t>
      </w:r>
    </w:p>
    <w:p>
      <w:r>
        <w:t>Welche technische Option für die Zugriffssteuerung ist für den Prototyp realistisch?</w:t>
      </w:r>
    </w:p>
    <w:p>
      <w:r>
        <w:t>Welche Mindestanforderungen stellt der Datenschutz an den Dokumentzugriff im späteren Betrieb?</w:t>
      </w:r>
    </w:p>
    <w:p>
      <w:r>
        <w:t>Offen ist die Rolle des Vertriebs bei den nächsten Tests.</w:t>
      </w:r>
    </w:p>
    <w:p>
      <w:pPr>
        <w:pStyle w:val="Heading2"/>
      </w:pPr>
      <w:r>
        <w:t>Vereinbarte nächste Schritte</w:t>
      </w:r>
    </w:p>
    <w:p>
      <w:r>
        <w:t>Jonas Reiter skizziert zwei technische Optionen bis zum nächsten Steuerkreis.</w:t>
      </w:r>
    </w:p>
    <w:p>
      <w:r>
        <w:t>Dr. Thomas Brandt formuliert Mindestanforderungen für datenschutzkonforme Dokumentzugriffe.</w:t>
      </w:r>
    </w:p>
    <w:p>
      <w:r>
        <w:t>Mara Vogt nimmt den Punkt in den Follow-up-Tracker auf.</w:t>
      </w:r>
    </w:p>
    <w:p>
      <w:pPr>
        <w:pStyle w:val="Heading2"/>
      </w:pPr>
      <w:r>
        <w:t>Hinweise zur Qualität</w:t>
      </w:r>
    </w:p>
    <w:p>
      <w:r>
        <w:t>Fehlende Angaben wie Datum, Uhrzeit und Ort sind im Briefing als [offen] zu kennzeichnen.</w:t>
      </w:r>
    </w:p>
    <w:p>
      <w:r>
        <w:t>Zu den Risiken R1, R3 und R4 darf kein aktueller Status behauptet werden, solange keine neuere Quelle vorliegt.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