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97FD8">
      <w:pPr>
        <w:pStyle w:val="2"/>
        <w:shd w:val="clear"/>
        <w:bidi w:val="0"/>
        <w:ind w:left="0" w:leftChars="0" w:firstLine="0" w:firstLineChars="0"/>
        <w:rPr>
          <w:rFonts w:hint="eastAsia" w:ascii="仿宋" w:hAnsi="仿宋" w:eastAsia="仿宋" w:cs="仿宋"/>
          <w:highlight w:val="none"/>
        </w:rPr>
      </w:pPr>
      <w:r>
        <w:rPr>
          <w:rFonts w:hint="eastAsia" w:ascii="仿宋" w:hAnsi="仿宋" w:eastAsia="仿宋" w:cs="仿宋"/>
          <w:highlight w:val="none"/>
        </w:rPr>
        <w:t>附件1</w:t>
      </w:r>
    </w:p>
    <w:p w14:paraId="2B44DDD1">
      <w:pPr>
        <w:shd w:val="clear"/>
        <w:bidi w:val="0"/>
        <w:ind w:left="0" w:leftChars="0" w:firstLine="0" w:firstLineChars="0"/>
        <w:rPr>
          <w:rFonts w:hint="eastAsia"/>
          <w:highlight w:val="none"/>
        </w:rPr>
      </w:pPr>
    </w:p>
    <w:p w14:paraId="13B40E31">
      <w:pPr>
        <w:shd w:val="clear"/>
        <w:bidi w:val="0"/>
        <w:ind w:left="0" w:leftChars="0" w:firstLine="0" w:firstLineChars="0"/>
        <w:jc w:val="center"/>
        <w:rPr>
          <w:rFonts w:hint="default" w:eastAsia="宋体" w:cs="宋体"/>
          <w:b/>
          <w:bCs w:val="0"/>
          <w:color w:val="000000"/>
          <w:sz w:val="44"/>
          <w:szCs w:val="44"/>
          <w:highlight w:val="none"/>
          <w:lang w:val="en-US" w:eastAsia="zh-CN"/>
        </w:rPr>
      </w:pPr>
      <w:r>
        <w:rPr>
          <w:rFonts w:hint="eastAsia" w:ascii="宋体" w:hAnsi="宋体" w:eastAsia="宋体" w:cs="宋体"/>
          <w:b/>
          <w:bCs w:val="0"/>
          <w:color w:val="000000"/>
          <w:sz w:val="44"/>
          <w:szCs w:val="44"/>
          <w:highlight w:val="none"/>
        </w:rPr>
        <w:t>中估协2026年度课题</w:t>
      </w:r>
      <w:r>
        <w:rPr>
          <w:rFonts w:hint="eastAsia" w:eastAsia="宋体" w:cs="宋体"/>
          <w:b/>
          <w:bCs w:val="0"/>
          <w:color w:val="000000"/>
          <w:sz w:val="44"/>
          <w:szCs w:val="44"/>
          <w:highlight w:val="none"/>
          <w:lang w:val="en-US" w:eastAsia="zh-CN"/>
        </w:rPr>
        <w:t>分类表</w:t>
      </w:r>
    </w:p>
    <w:p w14:paraId="21E1FDC3">
      <w:pPr>
        <w:shd w:val="clear"/>
        <w:bidi w:val="0"/>
        <w:rPr>
          <w:rFonts w:hint="eastAsia"/>
          <w:highlight w:val="none"/>
        </w:rPr>
      </w:pPr>
    </w:p>
    <w:p w14:paraId="1DFC7A7A">
      <w:pPr>
        <w:keepNext w:val="0"/>
        <w:keepLines w:val="0"/>
        <w:widowControl/>
        <w:suppressLineNumbers w:val="0"/>
        <w:pBdr>
          <w:top w:val="none" w:color="auto" w:sz="0" w:space="0"/>
          <w:left w:val="none" w:color="auto" w:sz="0" w:space="0"/>
          <w:right w:val="none" w:color="auto" w:sz="0" w:space="0"/>
        </w:pBdr>
        <w:shd w:val="clear"/>
        <w:spacing w:before="0" w:beforeAutospacing="0" w:after="0" w:afterAutospacing="0"/>
        <w:ind w:left="0" w:leftChars="0" w:right="0" w:firstLineChars="0"/>
        <w:jc w:val="both"/>
        <w:rPr>
          <w:rFonts w:hint="eastAsia" w:ascii="仿宋" w:hAnsi="仿宋" w:eastAsia="仿宋" w:cs="仿宋"/>
          <w:b w:val="0"/>
          <w:bCs w:val="0"/>
          <w:color w:val="auto"/>
          <w:kern w:val="2"/>
          <w:sz w:val="32"/>
          <w:szCs w:val="32"/>
          <w:highlight w:val="none"/>
          <w:lang w:val="en-US" w:eastAsia="zh-CN" w:bidi="ar-SA"/>
        </w:rPr>
      </w:pPr>
      <w:r>
        <w:rPr>
          <w:rFonts w:hint="eastAsia" w:ascii="仿宋" w:hAnsi="仿宋" w:eastAsia="仿宋" w:cs="仿宋"/>
          <w:b w:val="0"/>
          <w:bCs w:val="0"/>
          <w:color w:val="auto"/>
          <w:kern w:val="2"/>
          <w:sz w:val="32"/>
          <w:szCs w:val="32"/>
          <w:highlight w:val="none"/>
          <w:lang w:bidi="ar-SA"/>
        </w:rPr>
        <w:t>中估协2026年度课题</w:t>
      </w:r>
      <w:r>
        <w:rPr>
          <w:rFonts w:hint="eastAsia" w:ascii="仿宋" w:hAnsi="仿宋" w:eastAsia="仿宋" w:cs="仿宋"/>
          <w:bCs w:val="0"/>
          <w:kern w:val="2"/>
          <w:szCs w:val="32"/>
          <w:highlight w:val="none"/>
          <w:lang w:val="en-US" w:eastAsia="zh-CN" w:bidi="ar-SA"/>
        </w:rPr>
        <w:t>按经费支持及组织实施方式分为A、B、C、D四类：</w:t>
      </w:r>
    </w:p>
    <w:p w14:paraId="41E74258">
      <w:pPr>
        <w:shd w:val="clear"/>
        <w:jc w:val="both"/>
        <w:rPr>
          <w:rFonts w:hint="eastAsia" w:ascii="仿宋" w:hAnsi="仿宋" w:eastAsia="仿宋" w:cs="仿宋"/>
          <w:sz w:val="32"/>
          <w:szCs w:val="32"/>
          <w:highlight w:val="none"/>
          <w:lang w:val="en-US" w:eastAsia="zh-CN"/>
        </w:rPr>
      </w:pPr>
      <w:r>
        <w:rPr>
          <w:rFonts w:hint="eastAsia" w:ascii="仿宋" w:hAnsi="仿宋" w:eastAsia="仿宋" w:cs="仿宋"/>
          <w:sz w:val="32"/>
          <w:szCs w:val="32"/>
          <w:highlight w:val="none"/>
          <w:lang w:val="en-US" w:eastAsia="zh-CN"/>
        </w:rPr>
        <w:t>A类</w:t>
      </w:r>
      <w:r>
        <w:rPr>
          <w:rFonts w:hint="eastAsia" w:cs="仿宋"/>
          <w:sz w:val="32"/>
          <w:szCs w:val="32"/>
          <w:highlight w:val="none"/>
          <w:lang w:val="en-US" w:eastAsia="zh-CN"/>
        </w:rPr>
        <w:t>，</w:t>
      </w:r>
      <w:r>
        <w:rPr>
          <w:rFonts w:hint="eastAsia" w:ascii="仿宋" w:hAnsi="仿宋" w:eastAsia="仿宋" w:cs="仿宋"/>
          <w:sz w:val="32"/>
          <w:szCs w:val="32"/>
          <w:highlight w:val="none"/>
          <w:lang w:val="en-US" w:eastAsia="zh-CN"/>
        </w:rPr>
        <w:t>由中估协全额经费支持并组织实施</w:t>
      </w:r>
      <w:r>
        <w:rPr>
          <w:rFonts w:hint="eastAsia" w:cs="仿宋"/>
          <w:sz w:val="32"/>
          <w:szCs w:val="32"/>
          <w:highlight w:val="none"/>
          <w:lang w:val="en-US" w:eastAsia="zh-CN"/>
        </w:rPr>
        <w:t>，共6个</w:t>
      </w:r>
      <w:r>
        <w:rPr>
          <w:rFonts w:hint="eastAsia" w:ascii="仿宋" w:hAnsi="仿宋" w:eastAsia="仿宋" w:cs="仿宋"/>
          <w:sz w:val="32"/>
          <w:szCs w:val="32"/>
          <w:highlight w:val="none"/>
          <w:lang w:val="en-US" w:eastAsia="zh-CN"/>
        </w:rPr>
        <w:t>；</w:t>
      </w:r>
    </w:p>
    <w:p w14:paraId="647B5D98">
      <w:pPr>
        <w:shd w:val="clear"/>
        <w:jc w:val="both"/>
        <w:rPr>
          <w:rFonts w:hint="eastAsia" w:ascii="仿宋" w:hAnsi="仿宋" w:eastAsia="仿宋" w:cs="仿宋"/>
          <w:sz w:val="32"/>
          <w:szCs w:val="32"/>
          <w:highlight w:val="none"/>
          <w:lang w:val="en-US" w:eastAsia="zh-CN"/>
        </w:rPr>
      </w:pPr>
      <w:r>
        <w:rPr>
          <w:rFonts w:hint="eastAsia" w:ascii="仿宋" w:hAnsi="仿宋" w:eastAsia="仿宋" w:cs="仿宋"/>
          <w:sz w:val="32"/>
          <w:szCs w:val="32"/>
          <w:highlight w:val="none"/>
          <w:lang w:val="en-US" w:eastAsia="zh-CN"/>
        </w:rPr>
        <w:t>B类</w:t>
      </w:r>
      <w:r>
        <w:rPr>
          <w:rFonts w:hint="eastAsia" w:cs="仿宋"/>
          <w:sz w:val="32"/>
          <w:szCs w:val="32"/>
          <w:highlight w:val="none"/>
          <w:lang w:val="en-US" w:eastAsia="zh-CN"/>
        </w:rPr>
        <w:t>，</w:t>
      </w:r>
      <w:r>
        <w:rPr>
          <w:rFonts w:hint="eastAsia" w:ascii="仿宋" w:hAnsi="仿宋" w:eastAsia="仿宋" w:cs="仿宋"/>
          <w:sz w:val="32"/>
          <w:szCs w:val="32"/>
          <w:highlight w:val="none"/>
          <w:lang w:val="en-US" w:eastAsia="zh-CN"/>
        </w:rPr>
        <w:t>中估协给予</w:t>
      </w:r>
      <w:r>
        <w:rPr>
          <w:rFonts w:hint="eastAsia" w:cs="仿宋"/>
          <w:sz w:val="32"/>
          <w:szCs w:val="32"/>
          <w:highlight w:val="none"/>
          <w:lang w:val="en-US" w:eastAsia="zh-CN"/>
        </w:rPr>
        <w:t>部分</w:t>
      </w:r>
      <w:r>
        <w:rPr>
          <w:rFonts w:hint="eastAsia" w:ascii="仿宋" w:hAnsi="仿宋" w:eastAsia="仿宋" w:cs="仿宋"/>
          <w:sz w:val="32"/>
          <w:szCs w:val="32"/>
          <w:highlight w:val="none"/>
          <w:lang w:val="en-US" w:eastAsia="zh-CN"/>
        </w:rPr>
        <w:t>经费支持并统筹组织实施，</w:t>
      </w:r>
      <w:r>
        <w:rPr>
          <w:rFonts w:hint="eastAsia" w:cs="仿宋"/>
          <w:sz w:val="32"/>
          <w:szCs w:val="32"/>
          <w:highlight w:val="none"/>
          <w:lang w:val="en-US" w:eastAsia="zh-CN"/>
        </w:rPr>
        <w:t>承担</w:t>
      </w:r>
      <w:r>
        <w:rPr>
          <w:rFonts w:hint="eastAsia" w:ascii="仿宋" w:hAnsi="仿宋" w:eastAsia="仿宋" w:cs="仿宋"/>
          <w:sz w:val="32"/>
          <w:szCs w:val="32"/>
          <w:highlight w:val="none"/>
          <w:lang w:val="en-US" w:eastAsia="zh-CN"/>
        </w:rPr>
        <w:t>单位</w:t>
      </w:r>
      <w:r>
        <w:rPr>
          <w:rFonts w:hint="eastAsia" w:cs="仿宋"/>
          <w:sz w:val="32"/>
          <w:szCs w:val="32"/>
          <w:highlight w:val="none"/>
          <w:lang w:val="en-US" w:eastAsia="zh-CN"/>
        </w:rPr>
        <w:t>负责</w:t>
      </w:r>
      <w:r>
        <w:rPr>
          <w:rFonts w:hint="eastAsia" w:ascii="仿宋" w:hAnsi="仿宋" w:eastAsia="仿宋" w:cs="仿宋"/>
          <w:sz w:val="32"/>
          <w:szCs w:val="32"/>
          <w:highlight w:val="none"/>
          <w:lang w:val="en-US" w:eastAsia="zh-CN"/>
        </w:rPr>
        <w:t>剩余经费</w:t>
      </w:r>
      <w:r>
        <w:rPr>
          <w:rFonts w:hint="eastAsia" w:cs="仿宋"/>
          <w:sz w:val="32"/>
          <w:szCs w:val="32"/>
          <w:highlight w:val="none"/>
          <w:lang w:val="en-US" w:eastAsia="zh-CN"/>
        </w:rPr>
        <w:t>，共2个</w:t>
      </w:r>
      <w:r>
        <w:rPr>
          <w:rFonts w:hint="eastAsia" w:ascii="仿宋" w:hAnsi="仿宋" w:eastAsia="仿宋" w:cs="仿宋"/>
          <w:sz w:val="32"/>
          <w:szCs w:val="32"/>
          <w:highlight w:val="none"/>
          <w:lang w:val="en-US" w:eastAsia="zh-CN"/>
        </w:rPr>
        <w:t>；</w:t>
      </w:r>
    </w:p>
    <w:p w14:paraId="223937AC">
      <w:pPr>
        <w:shd w:val="clear"/>
        <w:ind w:firstLine="640"/>
        <w:rPr>
          <w:rFonts w:hint="eastAsia" w:ascii="仿宋" w:hAnsi="仿宋" w:eastAsia="仿宋" w:cs="仿宋"/>
          <w:sz w:val="32"/>
          <w:szCs w:val="32"/>
          <w:highlight w:val="none"/>
          <w:lang w:val="en-US" w:eastAsia="zh-CN"/>
        </w:rPr>
      </w:pPr>
      <w:r>
        <w:rPr>
          <w:rFonts w:hint="eastAsia" w:ascii="仿宋" w:hAnsi="仿宋" w:eastAsia="仿宋" w:cs="仿宋"/>
          <w:sz w:val="32"/>
          <w:szCs w:val="32"/>
          <w:highlight w:val="none"/>
          <w:lang w:val="en-US" w:eastAsia="zh-CN"/>
        </w:rPr>
        <w:t>C类</w:t>
      </w:r>
      <w:r>
        <w:rPr>
          <w:rFonts w:hint="eastAsia" w:cs="仿宋"/>
          <w:sz w:val="32"/>
          <w:szCs w:val="32"/>
          <w:highlight w:val="none"/>
          <w:lang w:val="en-US" w:eastAsia="zh-CN"/>
        </w:rPr>
        <w:t>，不提供课题</w:t>
      </w:r>
      <w:r>
        <w:rPr>
          <w:rFonts w:hint="eastAsia" w:ascii="仿宋" w:hAnsi="仿宋" w:eastAsia="仿宋" w:cs="仿宋"/>
          <w:sz w:val="32"/>
          <w:szCs w:val="32"/>
          <w:highlight w:val="none"/>
          <w:lang w:val="en-US" w:eastAsia="zh-CN"/>
        </w:rPr>
        <w:t>经费</w:t>
      </w:r>
      <w:r>
        <w:rPr>
          <w:rFonts w:hint="eastAsia" w:cs="仿宋"/>
          <w:sz w:val="32"/>
          <w:szCs w:val="32"/>
          <w:highlight w:val="none"/>
          <w:lang w:val="en-US" w:eastAsia="zh-CN"/>
        </w:rPr>
        <w:t>支持</w:t>
      </w:r>
      <w:r>
        <w:rPr>
          <w:rFonts w:hint="eastAsia" w:ascii="仿宋" w:hAnsi="仿宋" w:eastAsia="仿宋" w:cs="仿宋"/>
          <w:sz w:val="32"/>
          <w:szCs w:val="32"/>
          <w:highlight w:val="none"/>
          <w:lang w:val="en-US" w:eastAsia="zh-CN"/>
        </w:rPr>
        <w:t>，以中估协名义统筹组织，</w:t>
      </w:r>
      <w:r>
        <w:rPr>
          <w:rFonts w:hint="eastAsia" w:cs="仿宋"/>
          <w:sz w:val="32"/>
          <w:szCs w:val="32"/>
          <w:highlight w:val="none"/>
          <w:lang w:val="en-US" w:eastAsia="zh-CN"/>
        </w:rPr>
        <w:t>并为承担单位在资料提供、调研对接等方面给予适当支持，承担</w:t>
      </w:r>
      <w:r>
        <w:rPr>
          <w:rFonts w:hint="eastAsia" w:ascii="仿宋" w:hAnsi="仿宋" w:eastAsia="仿宋" w:cs="仿宋"/>
          <w:sz w:val="32"/>
          <w:szCs w:val="32"/>
          <w:highlight w:val="none"/>
          <w:lang w:val="en-US" w:eastAsia="zh-CN"/>
        </w:rPr>
        <w:t>单位</w:t>
      </w:r>
      <w:r>
        <w:rPr>
          <w:rFonts w:hint="eastAsia" w:cs="仿宋"/>
          <w:sz w:val="32"/>
          <w:szCs w:val="32"/>
          <w:highlight w:val="none"/>
          <w:lang w:val="en-US" w:eastAsia="zh-CN"/>
        </w:rPr>
        <w:t>负责全部</w:t>
      </w:r>
      <w:r>
        <w:rPr>
          <w:rFonts w:hint="eastAsia" w:ascii="仿宋" w:hAnsi="仿宋" w:eastAsia="仿宋" w:cs="仿宋"/>
          <w:sz w:val="32"/>
          <w:szCs w:val="32"/>
          <w:highlight w:val="none"/>
          <w:lang w:val="en-US" w:eastAsia="zh-CN"/>
        </w:rPr>
        <w:t>经费</w:t>
      </w:r>
      <w:r>
        <w:rPr>
          <w:rFonts w:hint="eastAsia" w:cs="仿宋"/>
          <w:sz w:val="32"/>
          <w:szCs w:val="32"/>
          <w:highlight w:val="none"/>
          <w:lang w:val="en-US" w:eastAsia="zh-CN"/>
        </w:rPr>
        <w:t>，共11个。</w:t>
      </w:r>
    </w:p>
    <w:p w14:paraId="1216138A">
      <w:pPr>
        <w:shd w:val="clear"/>
        <w:ind w:firstLine="640"/>
        <w:rPr>
          <w:rFonts w:hint="eastAsia" w:cs="仿宋"/>
          <w:sz w:val="32"/>
          <w:szCs w:val="32"/>
          <w:highlight w:val="none"/>
          <w:lang w:val="en-US" w:eastAsia="zh-CN"/>
        </w:rPr>
      </w:pPr>
      <w:r>
        <w:rPr>
          <w:rFonts w:hint="eastAsia" w:ascii="仿宋" w:hAnsi="仿宋" w:eastAsia="仿宋" w:cs="仿宋"/>
          <w:sz w:val="32"/>
          <w:szCs w:val="32"/>
          <w:highlight w:val="none"/>
          <w:lang w:val="en-US" w:eastAsia="zh-CN"/>
        </w:rPr>
        <w:t>D类</w:t>
      </w:r>
      <w:r>
        <w:rPr>
          <w:rFonts w:hint="eastAsia" w:cs="仿宋"/>
          <w:sz w:val="32"/>
          <w:szCs w:val="32"/>
          <w:highlight w:val="none"/>
          <w:lang w:val="en-US" w:eastAsia="zh-CN"/>
        </w:rPr>
        <w:t>，不提供课题</w:t>
      </w:r>
      <w:r>
        <w:rPr>
          <w:rFonts w:hint="eastAsia" w:ascii="仿宋" w:hAnsi="仿宋" w:eastAsia="仿宋" w:cs="仿宋"/>
          <w:sz w:val="32"/>
          <w:szCs w:val="32"/>
          <w:highlight w:val="none"/>
          <w:lang w:val="en-US" w:eastAsia="zh-CN"/>
        </w:rPr>
        <w:t>经费</w:t>
      </w:r>
      <w:r>
        <w:rPr>
          <w:rFonts w:hint="eastAsia" w:cs="仿宋"/>
          <w:sz w:val="32"/>
          <w:szCs w:val="32"/>
          <w:highlight w:val="none"/>
          <w:lang w:val="en-US" w:eastAsia="zh-CN"/>
        </w:rPr>
        <w:t>支持</w:t>
      </w:r>
      <w:r>
        <w:rPr>
          <w:rFonts w:hint="eastAsia" w:ascii="仿宋" w:hAnsi="仿宋" w:eastAsia="仿宋" w:cs="仿宋"/>
          <w:sz w:val="32"/>
          <w:szCs w:val="32"/>
          <w:highlight w:val="none"/>
          <w:lang w:val="en-US" w:eastAsia="zh-CN"/>
        </w:rPr>
        <w:t>，</w:t>
      </w:r>
      <w:r>
        <w:rPr>
          <w:rFonts w:hint="eastAsia" w:cs="仿宋"/>
          <w:sz w:val="32"/>
          <w:szCs w:val="32"/>
          <w:highlight w:val="none"/>
          <w:lang w:val="en-US" w:eastAsia="zh-CN"/>
        </w:rPr>
        <w:t xml:space="preserve">各单位自愿开展研究。中估协为承担单位在提供资料、调研对接等方面给予适当支持，共18个。   </w:t>
      </w:r>
    </w:p>
    <w:p w14:paraId="5D8D93B4">
      <w:pPr>
        <w:shd w:val="clear"/>
        <w:ind w:firstLine="640"/>
        <w:rPr>
          <w:rFonts w:hint="eastAsia" w:cs="仿宋"/>
          <w:sz w:val="32"/>
          <w:szCs w:val="32"/>
          <w:highlight w:val="none"/>
          <w:lang w:val="en-US" w:eastAsia="zh-CN"/>
        </w:rPr>
      </w:pPr>
      <w:r>
        <w:rPr>
          <w:rFonts w:hint="eastAsia" w:cs="仿宋"/>
          <w:sz w:val="32"/>
          <w:szCs w:val="32"/>
          <w:highlight w:val="none"/>
          <w:lang w:val="en-US" w:eastAsia="zh-CN"/>
        </w:rPr>
        <w:t>优秀研究成果可入选行业课题汇编，并在行业评优中给予加分。</w:t>
      </w:r>
    </w:p>
    <w:p w14:paraId="76179836">
      <w:pPr>
        <w:shd w:val="clear"/>
        <w:ind w:firstLine="0" w:firstLineChars="0"/>
        <w:rPr>
          <w:rFonts w:hint="eastAsia" w:cs="仿宋"/>
          <w:sz w:val="32"/>
          <w:szCs w:val="32"/>
          <w:highlight w:val="none"/>
          <w:lang w:val="en-US" w:eastAsia="zh-CN"/>
        </w:rPr>
      </w:pPr>
    </w:p>
    <w:p w14:paraId="6B37A200">
      <w:pPr>
        <w:shd w:val="clear"/>
        <w:jc w:val="left"/>
        <w:rPr>
          <w:rFonts w:hint="eastAsia" w:ascii="仿宋" w:hAnsi="仿宋" w:eastAsia="仿宋" w:cs="仿宋"/>
          <w:sz w:val="32"/>
          <w:szCs w:val="32"/>
          <w:highlight w:val="none"/>
        </w:rPr>
      </w:pPr>
      <w:r>
        <w:rPr>
          <w:rFonts w:hint="eastAsia" w:ascii="仿宋" w:hAnsi="仿宋" w:eastAsia="仿宋" w:cs="仿宋"/>
          <w:sz w:val="32"/>
          <w:szCs w:val="32"/>
          <w:highlight w:val="none"/>
        </w:rPr>
        <w:br w:type="page"/>
      </w:r>
    </w:p>
    <w:tbl>
      <w:tblPr>
        <w:tblStyle w:val="5"/>
        <w:tblW w:w="89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8"/>
        <w:gridCol w:w="756"/>
        <w:gridCol w:w="1255"/>
        <w:gridCol w:w="2039"/>
        <w:gridCol w:w="4327"/>
      </w:tblGrid>
      <w:tr w14:paraId="3A25E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2" w:hRule="atLeast"/>
          <w:tblHeader/>
          <w:jc w:val="center"/>
        </w:trPr>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9D5D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ascii="仿宋" w:hAnsi="仿宋" w:eastAsia="仿宋" w:cs="仿宋"/>
                <w:b/>
                <w:bCs/>
                <w:i w:val="0"/>
                <w:iCs w:val="0"/>
                <w:color w:val="000000"/>
                <w:sz w:val="21"/>
                <w:szCs w:val="21"/>
                <w:highlight w:val="none"/>
                <w:u w:val="none"/>
              </w:rPr>
            </w:pPr>
            <w:r>
              <w:rPr>
                <w:rFonts w:hint="eastAsia" w:ascii="仿宋" w:hAnsi="仿宋" w:eastAsia="仿宋" w:cs="仿宋"/>
                <w:b/>
                <w:bCs/>
                <w:i w:val="0"/>
                <w:iCs w:val="0"/>
                <w:color w:val="000000"/>
                <w:kern w:val="0"/>
                <w:sz w:val="21"/>
                <w:szCs w:val="21"/>
                <w:highlight w:val="none"/>
                <w:u w:val="none"/>
                <w:lang w:val="en-US" w:eastAsia="zh-CN" w:bidi="ar"/>
              </w:rPr>
              <w:t>类别</w:t>
            </w: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94669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default" w:ascii="仿宋" w:hAnsi="仿宋" w:eastAsia="仿宋" w:cs="仿宋"/>
                <w:b/>
                <w:bCs/>
                <w:i w:val="0"/>
                <w:iCs w:val="0"/>
                <w:color w:val="000000"/>
                <w:sz w:val="21"/>
                <w:szCs w:val="21"/>
                <w:highlight w:val="none"/>
                <w:u w:val="none"/>
                <w:lang w:val="en-US" w:eastAsia="zh-CN"/>
              </w:rPr>
            </w:pPr>
            <w:r>
              <w:rPr>
                <w:rFonts w:hint="eastAsia" w:cs="仿宋"/>
                <w:b/>
                <w:bCs/>
                <w:i w:val="0"/>
                <w:iCs w:val="0"/>
                <w:color w:val="000000"/>
                <w:sz w:val="21"/>
                <w:szCs w:val="21"/>
                <w:highlight w:val="none"/>
                <w:u w:val="none"/>
                <w:lang w:val="en-US" w:eastAsia="zh-CN"/>
              </w:rPr>
              <w:t>课题编号</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0FE97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b/>
                <w:bCs/>
                <w:i w:val="0"/>
                <w:iCs w:val="0"/>
                <w:color w:val="000000"/>
                <w:sz w:val="21"/>
                <w:szCs w:val="21"/>
                <w:highlight w:val="none"/>
                <w:u w:val="none"/>
              </w:rPr>
            </w:pPr>
            <w:r>
              <w:rPr>
                <w:rFonts w:hint="eastAsia" w:cs="仿宋"/>
                <w:b/>
                <w:bCs/>
                <w:i w:val="0"/>
                <w:iCs w:val="0"/>
                <w:color w:val="000000"/>
                <w:kern w:val="0"/>
                <w:sz w:val="21"/>
                <w:szCs w:val="21"/>
                <w:highlight w:val="none"/>
                <w:u w:val="none"/>
                <w:lang w:val="en-US" w:eastAsia="zh-CN" w:bidi="ar"/>
              </w:rPr>
              <w:t>立项单位</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C1C7B8">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b/>
                <w:bCs/>
                <w:i w:val="0"/>
                <w:iCs w:val="0"/>
                <w:color w:val="000000"/>
                <w:sz w:val="21"/>
                <w:szCs w:val="21"/>
                <w:highlight w:val="none"/>
                <w:u w:val="none"/>
              </w:rPr>
            </w:pPr>
            <w:r>
              <w:rPr>
                <w:rFonts w:hint="eastAsia" w:ascii="仿宋" w:hAnsi="仿宋" w:eastAsia="仿宋" w:cs="仿宋"/>
                <w:b/>
                <w:bCs/>
                <w:i w:val="0"/>
                <w:iCs w:val="0"/>
                <w:color w:val="000000"/>
                <w:kern w:val="0"/>
                <w:sz w:val="21"/>
                <w:szCs w:val="21"/>
                <w:highlight w:val="none"/>
                <w:u w:val="none"/>
                <w:lang w:val="en-US" w:eastAsia="zh-CN" w:bidi="ar"/>
              </w:rPr>
              <w:t>课题名称</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1C9C9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b/>
                <w:bCs/>
                <w:i w:val="0"/>
                <w:iCs w:val="0"/>
                <w:color w:val="000000"/>
                <w:sz w:val="21"/>
                <w:szCs w:val="21"/>
                <w:highlight w:val="none"/>
                <w:u w:val="none"/>
              </w:rPr>
            </w:pPr>
            <w:r>
              <w:rPr>
                <w:rFonts w:hint="eastAsia" w:ascii="仿宋" w:hAnsi="仿宋" w:eastAsia="仿宋" w:cs="仿宋"/>
                <w:b/>
                <w:bCs/>
                <w:i w:val="0"/>
                <w:iCs w:val="0"/>
                <w:color w:val="000000"/>
                <w:kern w:val="0"/>
                <w:sz w:val="21"/>
                <w:szCs w:val="21"/>
                <w:highlight w:val="none"/>
                <w:u w:val="none"/>
                <w:lang w:val="en-US" w:eastAsia="zh-CN" w:bidi="ar"/>
              </w:rPr>
              <w:t>研究内容/目的</w:t>
            </w:r>
          </w:p>
        </w:tc>
      </w:tr>
      <w:tr w14:paraId="2CF5E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restart"/>
            <w:tcBorders>
              <w:top w:val="single" w:color="000000" w:sz="4" w:space="0"/>
              <w:left w:val="single" w:color="000000" w:sz="4" w:space="0"/>
              <w:right w:val="single" w:color="000000" w:sz="4" w:space="0"/>
            </w:tcBorders>
            <w:shd w:val="clear" w:color="auto" w:fill="auto"/>
            <w:vAlign w:val="center"/>
          </w:tcPr>
          <w:p w14:paraId="7BE2E368">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r>
              <w:rPr>
                <w:rFonts w:hint="eastAsia" w:cs="仿宋"/>
                <w:b/>
                <w:bCs/>
                <w:i w:val="0"/>
                <w:iCs w:val="0"/>
                <w:color w:val="000000"/>
                <w:kern w:val="0"/>
                <w:sz w:val="21"/>
                <w:szCs w:val="21"/>
                <w:highlight w:val="none"/>
                <w:u w:val="none"/>
                <w:lang w:val="en-US" w:eastAsia="zh-CN" w:bidi="ar"/>
              </w:rPr>
              <w:t>A</w:t>
            </w:r>
            <w:r>
              <w:rPr>
                <w:rFonts w:hint="eastAsia" w:ascii="仿宋" w:hAnsi="仿宋" w:eastAsia="仿宋" w:cs="仿宋"/>
                <w:b/>
                <w:bCs/>
                <w:i w:val="0"/>
                <w:iCs w:val="0"/>
                <w:color w:val="000000"/>
                <w:kern w:val="0"/>
                <w:sz w:val="21"/>
                <w:szCs w:val="21"/>
                <w:highlight w:val="none"/>
                <w:u w:val="none"/>
                <w:lang w:val="en-US" w:eastAsia="zh-CN" w:bidi="ar"/>
              </w:rPr>
              <w:t>类</w:t>
            </w: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A50E8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A</w:t>
            </w:r>
            <w:r>
              <w:rPr>
                <w:rFonts w:hint="eastAsia" w:ascii="仿宋" w:hAnsi="仿宋" w:eastAsia="仿宋" w:cs="仿宋"/>
                <w:i w:val="0"/>
                <w:iCs w:val="0"/>
                <w:color w:val="000000"/>
                <w:kern w:val="0"/>
                <w:sz w:val="21"/>
                <w:szCs w:val="21"/>
                <w:highlight w:val="none"/>
                <w:u w:val="none"/>
                <w:lang w:val="en-US" w:eastAsia="zh-CN" w:bidi="ar"/>
              </w:rPr>
              <w:t>1</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64D1A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cyan"/>
                <w:u w:val="none"/>
                <w:rPrChange w:id="0" w:author="云房数据闫旭东" w:date="2026-03-12T10:00:23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1" w:author="云房数据闫旭东" w:date="2026-03-12T10:00:23Z">
                  <w:rPr>
                    <w:rFonts w:hint="eastAsia" w:ascii="仿宋" w:hAnsi="仿宋" w:eastAsia="仿宋" w:cs="仿宋"/>
                    <w:i w:val="0"/>
                    <w:iCs w:val="0"/>
                    <w:color w:val="000000"/>
                    <w:kern w:val="0"/>
                    <w:sz w:val="21"/>
                    <w:szCs w:val="21"/>
                    <w:highlight w:val="none"/>
                    <w:u w:val="none"/>
                    <w:lang w:val="en-US" w:eastAsia="zh-CN" w:bidi="ar"/>
                  </w:rPr>
                </w:rPrChange>
              </w:rPr>
              <w:t>规划与发展工作委员会</w:t>
            </w:r>
            <w:r>
              <w:rPr>
                <w:rFonts w:hint="eastAsia" w:ascii="仿宋" w:hAnsi="仿宋" w:eastAsia="仿宋" w:cs="仿宋"/>
                <w:i w:val="0"/>
                <w:iCs w:val="0"/>
                <w:color w:val="000000"/>
                <w:kern w:val="0"/>
                <w:sz w:val="21"/>
                <w:szCs w:val="21"/>
                <w:highlight w:val="cyan"/>
                <w:u w:val="none"/>
                <w:lang w:val="en-US" w:eastAsia="zh-CN" w:bidi="ar"/>
                <w:rPrChange w:id="2" w:author="云房数据闫旭东" w:date="2026-03-12T10:00:23Z">
                  <w:rPr>
                    <w:rFonts w:hint="eastAsia" w:ascii="仿宋" w:hAnsi="仿宋" w:eastAsia="仿宋" w:cs="仿宋"/>
                    <w:i w:val="0"/>
                    <w:iCs w:val="0"/>
                    <w:color w:val="000000"/>
                    <w:kern w:val="0"/>
                    <w:sz w:val="21"/>
                    <w:szCs w:val="21"/>
                    <w:highlight w:val="none"/>
                    <w:u w:val="none"/>
                    <w:lang w:val="en-US" w:eastAsia="zh-CN" w:bidi="ar"/>
                  </w:rPr>
                </w:rPrChange>
              </w:rPr>
              <w:br w:type="textWrapping"/>
            </w:r>
            <w:r>
              <w:rPr>
                <w:rFonts w:hint="eastAsia" w:ascii="仿宋" w:hAnsi="仿宋" w:eastAsia="仿宋" w:cs="仿宋"/>
                <w:i w:val="0"/>
                <w:iCs w:val="0"/>
                <w:color w:val="000000"/>
                <w:kern w:val="0"/>
                <w:sz w:val="21"/>
                <w:szCs w:val="21"/>
                <w:highlight w:val="cyan"/>
                <w:u w:val="none"/>
                <w:lang w:val="en-US" w:eastAsia="zh-CN" w:bidi="ar"/>
                <w:rPrChange w:id="3" w:author="云房数据闫旭东" w:date="2026-03-12T10:00:23Z">
                  <w:rPr>
                    <w:rFonts w:hint="eastAsia" w:ascii="仿宋" w:hAnsi="仿宋" w:eastAsia="仿宋" w:cs="仿宋"/>
                    <w:i w:val="0"/>
                    <w:iCs w:val="0"/>
                    <w:color w:val="000000"/>
                    <w:kern w:val="0"/>
                    <w:sz w:val="21"/>
                    <w:szCs w:val="21"/>
                    <w:highlight w:val="none"/>
                    <w:u w:val="none"/>
                    <w:lang w:val="en-US" w:eastAsia="zh-CN" w:bidi="ar"/>
                  </w:rPr>
                </w:rPrChange>
              </w:rPr>
              <w:t>技术标准工作委员会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4589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4" w:author="云房数据闫旭东" w:date="2026-03-12T10:00:23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5" w:author="云房数据闫旭东" w:date="2026-03-12T10:00:23Z">
                  <w:rPr>
                    <w:rFonts w:hint="eastAsia" w:ascii="仿宋" w:hAnsi="仿宋" w:eastAsia="仿宋" w:cs="仿宋"/>
                    <w:i w:val="0"/>
                    <w:iCs w:val="0"/>
                    <w:color w:val="000000"/>
                    <w:kern w:val="0"/>
                    <w:sz w:val="21"/>
                    <w:szCs w:val="21"/>
                    <w:highlight w:val="none"/>
                    <w:u w:val="none"/>
                    <w:lang w:val="en-US" w:eastAsia="zh-CN" w:bidi="ar"/>
                  </w:rPr>
                </w:rPrChange>
              </w:rPr>
              <w:t>存量土地盘活和低效用地再开发地价评估指引及工作中土地估价机构专业角色定位与价值实现路径研究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84E8F">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6" w:author="云房数据闫旭东" w:date="2026-03-12T10:00:23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7" w:author="云房数据闫旭东" w:date="2026-03-12T10:00:23Z">
                  <w:rPr>
                    <w:rFonts w:hint="eastAsia" w:ascii="仿宋" w:hAnsi="仿宋" w:eastAsia="仿宋" w:cs="仿宋"/>
                    <w:i w:val="0"/>
                    <w:iCs w:val="0"/>
                    <w:color w:val="000000"/>
                    <w:kern w:val="0"/>
                    <w:sz w:val="21"/>
                    <w:szCs w:val="21"/>
                    <w:highlight w:val="none"/>
                    <w:u w:val="none"/>
                    <w:lang w:val="en-US" w:eastAsia="zh-CN" w:bidi="ar"/>
                  </w:rPr>
                </w:rPrChange>
              </w:rPr>
              <w:t>梳理存量低效用地再开发地价政策与评估现状，提出改革完善相关政策的意见建议，构建科学可操作的评估技术体系及方法要点，形成技术指引；明确土地估价机构在存量土地盘活及低效用地再开发中的专业角色，探索全周期服务模式与价值实现路径，形成研究报告及工作指引。</w:t>
            </w:r>
          </w:p>
        </w:tc>
      </w:tr>
      <w:tr w14:paraId="7FC21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continue"/>
            <w:tcBorders>
              <w:left w:val="single" w:color="000000" w:sz="4" w:space="0"/>
              <w:right w:val="single" w:color="000000" w:sz="4" w:space="0"/>
            </w:tcBorders>
            <w:shd w:val="clear" w:color="auto" w:fill="auto"/>
            <w:vAlign w:val="center"/>
          </w:tcPr>
          <w:p w14:paraId="2D4A49EB">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56E8A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lang w:val="en-US" w:eastAsia="zh-CN"/>
              </w:rPr>
            </w:pPr>
            <w:r>
              <w:rPr>
                <w:rFonts w:hint="eastAsia" w:cs="仿宋"/>
                <w:i w:val="0"/>
                <w:iCs w:val="0"/>
                <w:color w:val="000000"/>
                <w:sz w:val="21"/>
                <w:szCs w:val="21"/>
                <w:highlight w:val="none"/>
                <w:u w:val="none"/>
                <w:lang w:val="en-US" w:eastAsia="zh-CN"/>
              </w:rPr>
              <w:t>A2</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F56A0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会员与信用评价工作委员会</w:t>
            </w:r>
            <w:r>
              <w:rPr>
                <w:rFonts w:hint="eastAsia" w:ascii="仿宋" w:hAnsi="仿宋" w:eastAsia="仿宋" w:cs="仿宋"/>
                <w:i w:val="0"/>
                <w:iCs w:val="0"/>
                <w:color w:val="000000"/>
                <w:kern w:val="0"/>
                <w:sz w:val="21"/>
                <w:szCs w:val="21"/>
                <w:highlight w:val="none"/>
                <w:u w:val="none"/>
                <w:lang w:val="en-US" w:eastAsia="zh-CN" w:bidi="ar"/>
              </w:rPr>
              <w:br w:type="textWrapping"/>
            </w:r>
            <w:r>
              <w:rPr>
                <w:rFonts w:hint="eastAsia" w:ascii="仿宋" w:hAnsi="仿宋" w:eastAsia="仿宋" w:cs="仿宋"/>
                <w:i w:val="0"/>
                <w:iCs w:val="0"/>
                <w:color w:val="000000"/>
                <w:kern w:val="0"/>
                <w:sz w:val="21"/>
                <w:szCs w:val="21"/>
                <w:highlight w:val="none"/>
                <w:u w:val="none"/>
                <w:lang w:val="en-US" w:eastAsia="zh-CN" w:bidi="ar"/>
              </w:rPr>
              <w:t>财务行政工作委员会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D3A55F">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《土地估价行业平均成本参考指引》</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CB33F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通过系统调查土地估价机构成本构成、不同区域与不同估价目的的平均执业成本，分析收费匹配关系及各类影响因素，调研监管难点与效果，提出治理低价无序竞争的建议，为机构收费、委托方预算、招采规则制定及行业监管提供依据，助力规范市场竞争、推动行业高质量发展。</w:t>
            </w:r>
          </w:p>
        </w:tc>
      </w:tr>
      <w:tr w14:paraId="5E0BF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1" w:hRule="atLeast"/>
          <w:tblHeader/>
          <w:jc w:val="center"/>
        </w:trPr>
        <w:tc>
          <w:tcPr>
            <w:tcW w:w="528" w:type="dxa"/>
            <w:vMerge w:val="continue"/>
            <w:tcBorders>
              <w:left w:val="single" w:color="000000" w:sz="4" w:space="0"/>
              <w:right w:val="single" w:color="000000" w:sz="4" w:space="0"/>
            </w:tcBorders>
            <w:shd w:val="clear" w:color="auto" w:fill="auto"/>
            <w:vAlign w:val="center"/>
          </w:tcPr>
          <w:p w14:paraId="295B1B86">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9B2C2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default" w:ascii="仿宋" w:hAnsi="仿宋" w:eastAsia="仿宋" w:cs="仿宋"/>
                <w:i w:val="0"/>
                <w:iCs w:val="0"/>
                <w:color w:val="000000"/>
                <w:sz w:val="21"/>
                <w:szCs w:val="21"/>
                <w:highlight w:val="none"/>
                <w:u w:val="none"/>
                <w:lang w:val="en-US" w:eastAsia="zh-CN"/>
              </w:rPr>
            </w:pPr>
            <w:r>
              <w:rPr>
                <w:rFonts w:hint="eastAsia" w:cs="仿宋"/>
                <w:i w:val="0"/>
                <w:iCs w:val="0"/>
                <w:color w:val="000000"/>
                <w:sz w:val="21"/>
                <w:szCs w:val="21"/>
                <w:highlight w:val="none"/>
                <w:u w:val="none"/>
                <w:lang w:val="en-US" w:eastAsia="zh-CN"/>
              </w:rPr>
              <w:t>A3</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9579A8">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default" w:ascii="仿宋" w:hAnsi="仿宋" w:eastAsia="仿宋" w:cs="仿宋"/>
                <w:i w:val="0"/>
                <w:iCs w:val="0"/>
                <w:color w:val="000000"/>
                <w:sz w:val="21"/>
                <w:szCs w:val="21"/>
                <w:highlight w:val="none"/>
                <w:u w:val="none"/>
                <w:lang w:val="en-US" w:eastAsia="zh-CN"/>
              </w:rPr>
            </w:pPr>
            <w:r>
              <w:rPr>
                <w:rFonts w:hint="eastAsia" w:cs="仿宋"/>
                <w:i w:val="0"/>
                <w:iCs w:val="0"/>
                <w:color w:val="000000"/>
                <w:sz w:val="21"/>
                <w:szCs w:val="21"/>
                <w:highlight w:val="none"/>
                <w:u w:val="none"/>
                <w:lang w:val="en-US" w:eastAsia="zh-CN"/>
              </w:rPr>
              <w:t>技术标准工作委员会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BD055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《土地市场中介机构经营管理办法》</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B334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落实构建城乡统一建设用地市场的改革要求，完善自然资源资产价格体系，指导地方培育和发展城乡建设用地市场中介服务机构，引导其在信息发布、规划设计、交易代理、市场咨询、地价评估、不动产登记代理等方面发挥纽带作用，并加强中介服务活动的规范监管，形成《土地市场中介机构经营管理办法》（征求意见稿），用以配合优化政府服务、规范土地市场交易、强化中介服务监管。</w:t>
            </w:r>
          </w:p>
        </w:tc>
      </w:tr>
      <w:tr w14:paraId="538E9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909" w:hRule="atLeast"/>
          <w:tblHeader/>
          <w:jc w:val="center"/>
        </w:trPr>
        <w:tc>
          <w:tcPr>
            <w:tcW w:w="528" w:type="dxa"/>
            <w:vMerge w:val="continue"/>
            <w:tcBorders>
              <w:left w:val="single" w:color="000000" w:sz="4" w:space="0"/>
              <w:right w:val="single" w:color="000000" w:sz="4" w:space="0"/>
            </w:tcBorders>
            <w:shd w:val="clear" w:color="auto" w:fill="auto"/>
            <w:vAlign w:val="center"/>
          </w:tcPr>
          <w:p w14:paraId="65DDD858">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694DB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default" w:ascii="仿宋" w:hAnsi="仿宋" w:eastAsia="仿宋" w:cs="仿宋"/>
                <w:i w:val="0"/>
                <w:iCs w:val="0"/>
                <w:color w:val="000000"/>
                <w:sz w:val="21"/>
                <w:szCs w:val="21"/>
                <w:highlight w:val="none"/>
                <w:u w:val="none"/>
                <w:lang w:val="en-US" w:eastAsia="zh-CN"/>
              </w:rPr>
            </w:pPr>
            <w:r>
              <w:rPr>
                <w:rFonts w:hint="eastAsia" w:cs="仿宋"/>
                <w:i w:val="0"/>
                <w:iCs w:val="0"/>
                <w:color w:val="000000"/>
                <w:sz w:val="21"/>
                <w:szCs w:val="21"/>
                <w:highlight w:val="none"/>
                <w:u w:val="none"/>
                <w:lang w:val="en-US" w:eastAsia="zh-CN"/>
              </w:rPr>
              <w:t>A4</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B1900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学术专业工作委员会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B7850">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中估协学术专业工作体系与课题评审及论文评奖规范研究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6F1E6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围绕课题评审及论文评奖工作展开研究，制定中估协课题申报、遴选、评审及成果验收的标准办法，建立学术论文评审与奖励机制，形成相关制度规范，用以指导和规范中估协课题管理、成果评价及论文评奖等工作。</w:t>
            </w:r>
          </w:p>
        </w:tc>
      </w:tr>
      <w:tr w14:paraId="24982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continue"/>
            <w:tcBorders>
              <w:left w:val="single" w:color="000000" w:sz="4" w:space="0"/>
              <w:bottom w:val="single" w:color="000000" w:sz="4" w:space="0"/>
              <w:right w:val="single" w:color="000000" w:sz="4" w:space="0"/>
            </w:tcBorders>
            <w:shd w:val="clear" w:color="auto" w:fill="auto"/>
            <w:vAlign w:val="center"/>
          </w:tcPr>
          <w:p w14:paraId="7589A223">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E9CCF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default" w:ascii="仿宋" w:hAnsi="仿宋" w:eastAsia="仿宋" w:cs="仿宋"/>
                <w:i w:val="0"/>
                <w:iCs w:val="0"/>
                <w:color w:val="FFFF00"/>
                <w:sz w:val="21"/>
                <w:szCs w:val="21"/>
                <w:highlight w:val="green"/>
                <w:u w:val="none"/>
                <w:lang w:val="en-US" w:eastAsia="zh-CN"/>
                <w:rPrChange w:id="8" w:author="云房数据闫旭东" w:date="2026-03-12T10:00:41Z">
                  <w:rPr>
                    <w:rFonts w:hint="default" w:ascii="仿宋" w:hAnsi="仿宋" w:eastAsia="仿宋" w:cs="仿宋"/>
                    <w:i w:val="0"/>
                    <w:iCs w:val="0"/>
                    <w:color w:val="FFFF00"/>
                    <w:sz w:val="21"/>
                    <w:szCs w:val="21"/>
                    <w:highlight w:val="none"/>
                    <w:u w:val="none"/>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rPrChang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cs="仿宋"/>
                <w:i w:val="0"/>
                <w:iCs w:val="0"/>
                <w:color w:val="FFFF00"/>
                <w:sz w:val="21"/>
                <w:szCs w:val="21"/>
                <w:highlight w:val="green"/>
                <w:u w:val="none"/>
                <w:lang w:val="en-US" w:eastAsia="zh-CN"/>
                <w:rPrChange w:id="9" w:author="云房数据闫旭东" w:date="2026-03-12T10:00:41Z">
                  <w:rPr>
                    <w:rFonts w:hint="eastAsia" w:cs="仿宋"/>
                    <w:i w:val="0"/>
                    <w:iCs w:val="0"/>
                    <w:color w:val="FFFF00"/>
                    <w:sz w:val="21"/>
                    <w:szCs w:val="21"/>
                    <w:highlight w:val="none"/>
                    <w:u w:val="none"/>
                    <w:lang w:val="en-US"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rPrChang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A5</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7EA105">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FFFF00"/>
                <w:sz w:val="21"/>
                <w:szCs w:val="21"/>
                <w:highlight w:val="green"/>
                <w:u w:val="none"/>
                <w:rPrChange w:id="10" w:author="云房数据闫旭东" w:date="2026-03-12T10:00:41Z">
                  <w:rPr>
                    <w:rFonts w:hint="eastAsia" w:ascii="仿宋" w:hAnsi="仿宋" w:eastAsia="仿宋" w:cs="仿宋"/>
                    <w:i w:val="0"/>
                    <w:iCs w:val="0"/>
                    <w:color w:val="FFFF00"/>
                    <w:sz w:val="21"/>
                    <w:szCs w:val="21"/>
                    <w:highlight w:val="none"/>
                    <w:u w:val="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rPrChang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仿宋" w:hAnsi="仿宋" w:eastAsia="仿宋" w:cs="仿宋"/>
                <w:i w:val="0"/>
                <w:iCs w:val="0"/>
                <w:color w:val="FFFF00"/>
                <w:kern w:val="0"/>
                <w:sz w:val="21"/>
                <w:szCs w:val="21"/>
                <w:highlight w:val="green"/>
                <w:u w:val="none"/>
                <w:lang w:val="en-US" w:eastAsia="zh-CN" w:bidi="ar"/>
                <w:rPrChange w:id="11" w:author="云房数据闫旭东" w:date="2026-03-12T10:00:41Z">
                  <w:rPr>
                    <w:rFonts w:hint="eastAsia" w:ascii="仿宋" w:hAnsi="仿宋" w:eastAsia="仿宋" w:cs="仿宋"/>
                    <w:i w:val="0"/>
                    <w:iCs w:val="0"/>
                    <w:color w:val="FFFF00"/>
                    <w:kern w:val="0"/>
                    <w:sz w:val="21"/>
                    <w:szCs w:val="21"/>
                    <w:highlight w:val="none"/>
                    <w:u w:val="none"/>
                    <w:lang w:val="en-US" w:eastAsia="zh-CN" w:bidi="ar"/>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rPrChang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不动产登记代理工作委员会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D265A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FFFF00"/>
                <w:sz w:val="21"/>
                <w:szCs w:val="21"/>
                <w:highlight w:val="green"/>
                <w:u w:val="none"/>
                <w:rPrChange w:id="12" w:author="云房数据闫旭东" w:date="2026-03-12T10:00:41Z">
                  <w:rPr>
                    <w:rFonts w:hint="eastAsia" w:ascii="仿宋" w:hAnsi="仿宋" w:eastAsia="仿宋" w:cs="仿宋"/>
                    <w:i w:val="0"/>
                    <w:iCs w:val="0"/>
                    <w:color w:val="FFFF00"/>
                    <w:sz w:val="21"/>
                    <w:szCs w:val="21"/>
                    <w:highlight w:val="none"/>
                    <w:u w:val="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rPrChang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仿宋" w:hAnsi="仿宋" w:eastAsia="仿宋" w:cs="仿宋"/>
                <w:i w:val="0"/>
                <w:iCs w:val="0"/>
                <w:color w:val="FFFF00"/>
                <w:kern w:val="0"/>
                <w:sz w:val="21"/>
                <w:szCs w:val="21"/>
                <w:highlight w:val="green"/>
                <w:u w:val="none"/>
                <w:lang w:val="en-US" w:eastAsia="zh-CN" w:bidi="ar"/>
                <w:rPrChange w:id="13" w:author="云房数据闫旭东" w:date="2026-03-12T10:00:41Z">
                  <w:rPr>
                    <w:rFonts w:hint="eastAsia" w:ascii="仿宋" w:hAnsi="仿宋" w:eastAsia="仿宋" w:cs="仿宋"/>
                    <w:i w:val="0"/>
                    <w:iCs w:val="0"/>
                    <w:color w:val="FFFF00"/>
                    <w:kern w:val="0"/>
                    <w:sz w:val="21"/>
                    <w:szCs w:val="21"/>
                    <w:highlight w:val="none"/>
                    <w:u w:val="none"/>
                    <w:lang w:val="en-US" w:eastAsia="zh-CN" w:bidi="ar"/>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rPrChang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不动产登记代理制度体系研究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6AB1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FFFF00"/>
                <w:sz w:val="21"/>
                <w:szCs w:val="21"/>
                <w:highlight w:val="green"/>
                <w:u w:val="none"/>
                <w:rPrChange w:id="14" w:author="云房数据闫旭东" w:date="2026-03-12T10:00:41Z">
                  <w:rPr>
                    <w:rFonts w:hint="eastAsia" w:ascii="仿宋" w:hAnsi="仿宋" w:eastAsia="仿宋" w:cs="仿宋"/>
                    <w:i w:val="0"/>
                    <w:iCs w:val="0"/>
                    <w:color w:val="FFFF00"/>
                    <w:sz w:val="21"/>
                    <w:szCs w:val="21"/>
                    <w:highlight w:val="none"/>
                    <w:u w:val="non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rPrChang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ascii="仿宋" w:hAnsi="仿宋" w:eastAsia="仿宋" w:cs="仿宋"/>
                <w:i w:val="0"/>
                <w:iCs w:val="0"/>
                <w:color w:val="FFFF00"/>
                <w:kern w:val="0"/>
                <w:sz w:val="21"/>
                <w:szCs w:val="21"/>
                <w:highlight w:val="green"/>
                <w:u w:val="none"/>
                <w:lang w:val="en-US" w:eastAsia="zh-CN" w:bidi="ar"/>
                <w:rPrChange w:id="15" w:author="云房数据闫旭东" w:date="2026-03-12T10:00:41Z">
                  <w:rPr>
                    <w:rFonts w:hint="eastAsia" w:ascii="仿宋" w:hAnsi="仿宋" w:eastAsia="仿宋" w:cs="仿宋"/>
                    <w:i w:val="0"/>
                    <w:iCs w:val="0"/>
                    <w:color w:val="FFFF00"/>
                    <w:kern w:val="0"/>
                    <w:sz w:val="21"/>
                    <w:szCs w:val="21"/>
                    <w:highlight w:val="none"/>
                    <w:u w:val="none"/>
                    <w:lang w:val="en-US" w:eastAsia="zh-CN" w:bidi="ar"/>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rPrChange>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系统分析不动产登记代理行业制度框架、机构与人员法律地位、职责及服务模式，明确业务边界与拓展路径，聚焦自然资源确权登记、集体经营性建设用地入市、城市更新等新兴领域，完善不动产登记服务体系，推动行业规范化、专业化发展，为行业转型升级、提升登记质效、保障权利人合法权益提供支撑。</w:t>
            </w:r>
          </w:p>
        </w:tc>
      </w:tr>
      <w:tr w14:paraId="39C42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87" w:hRule="atLeast"/>
          <w:tblHeader/>
          <w:jc w:val="center"/>
        </w:trPr>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287DD">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default" w:ascii="仿宋" w:hAnsi="仿宋" w:eastAsia="仿宋" w:cs="仿宋"/>
                <w:b/>
                <w:bCs/>
                <w:i w:val="0"/>
                <w:iCs w:val="0"/>
                <w:color w:val="000000"/>
                <w:sz w:val="21"/>
                <w:szCs w:val="21"/>
                <w:highlight w:val="cyan"/>
                <w:u w:val="none"/>
                <w:lang w:val="en-US" w:eastAsia="zh-CN"/>
                <w:rPrChange w:id="16" w:author="云房数据闫旭东" w:date="2026-03-12T10:01:13Z">
                  <w:rPr>
                    <w:rFonts w:hint="default" w:ascii="仿宋" w:hAnsi="仿宋" w:eastAsia="仿宋" w:cs="仿宋"/>
                    <w:b/>
                    <w:bCs/>
                    <w:i w:val="0"/>
                    <w:iCs w:val="0"/>
                    <w:color w:val="000000"/>
                    <w:sz w:val="21"/>
                    <w:szCs w:val="21"/>
                    <w:highlight w:val="none"/>
                    <w:u w:val="none"/>
                    <w:lang w:val="en-US" w:eastAsia="zh-CN"/>
                  </w:rPr>
                </w:rPrChange>
              </w:rPr>
            </w:pPr>
            <w:r>
              <w:rPr>
                <w:rFonts w:hint="eastAsia" w:cs="仿宋"/>
                <w:b/>
                <w:bCs/>
                <w:i w:val="0"/>
                <w:iCs w:val="0"/>
                <w:color w:val="000000"/>
                <w:sz w:val="21"/>
                <w:szCs w:val="21"/>
                <w:highlight w:val="cyan"/>
                <w:u w:val="none"/>
                <w:lang w:val="en-US" w:eastAsia="zh-CN"/>
                <w:rPrChange w:id="17" w:author="云房数据闫旭东" w:date="2026-03-12T10:01:13Z">
                  <w:rPr>
                    <w:rFonts w:hint="eastAsia" w:cs="仿宋"/>
                    <w:b/>
                    <w:bCs/>
                    <w:i w:val="0"/>
                    <w:iCs w:val="0"/>
                    <w:color w:val="000000"/>
                    <w:sz w:val="21"/>
                    <w:szCs w:val="21"/>
                    <w:highlight w:val="none"/>
                    <w:u w:val="none"/>
                    <w:lang w:val="en-US" w:eastAsia="zh-CN"/>
                  </w:rPr>
                </w:rPrChange>
              </w:rPr>
              <w:t>A类</w:t>
            </w: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E28CD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default" w:ascii="仿宋" w:hAnsi="仿宋" w:eastAsia="仿宋" w:cs="仿宋"/>
                <w:i w:val="0"/>
                <w:iCs w:val="0"/>
                <w:color w:val="000000"/>
                <w:sz w:val="21"/>
                <w:szCs w:val="21"/>
                <w:highlight w:val="cyan"/>
                <w:u w:val="none"/>
                <w:lang w:val="en-US" w:eastAsia="zh-CN"/>
                <w:rPrChange w:id="18" w:author="云房数据闫旭东" w:date="2026-03-12T10:01:13Z">
                  <w:rPr>
                    <w:rFonts w:hint="default" w:ascii="仿宋" w:hAnsi="仿宋" w:eastAsia="仿宋" w:cs="仿宋"/>
                    <w:i w:val="0"/>
                    <w:iCs w:val="0"/>
                    <w:color w:val="000000"/>
                    <w:sz w:val="21"/>
                    <w:szCs w:val="21"/>
                    <w:highlight w:val="none"/>
                    <w:u w:val="none"/>
                    <w:lang w:val="en-US" w:eastAsia="zh-CN"/>
                  </w:rPr>
                </w:rPrChange>
              </w:rPr>
            </w:pPr>
            <w:r>
              <w:rPr>
                <w:rFonts w:hint="eastAsia" w:cs="仿宋"/>
                <w:i w:val="0"/>
                <w:iCs w:val="0"/>
                <w:color w:val="000000"/>
                <w:sz w:val="21"/>
                <w:szCs w:val="21"/>
                <w:highlight w:val="cyan"/>
                <w:u w:val="none"/>
                <w:lang w:val="en-US" w:eastAsia="zh-CN"/>
                <w:rPrChange w:id="19" w:author="云房数据闫旭东" w:date="2026-03-12T10:01:13Z">
                  <w:rPr>
                    <w:rFonts w:hint="eastAsia" w:cs="仿宋"/>
                    <w:i w:val="0"/>
                    <w:iCs w:val="0"/>
                    <w:color w:val="000000"/>
                    <w:sz w:val="21"/>
                    <w:szCs w:val="21"/>
                    <w:highlight w:val="none"/>
                    <w:u w:val="none"/>
                    <w:lang w:val="en-US" w:eastAsia="zh-CN"/>
                  </w:rPr>
                </w:rPrChange>
              </w:rPr>
              <w:t>A6</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BEDE45">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cyan"/>
                <w:u w:val="none"/>
                <w:rPrChange w:id="20" w:author="云房数据闫旭东" w:date="2026-03-12T10:01:13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21" w:author="云房数据闫旭东" w:date="2026-03-12T10:01:13Z">
                  <w:rPr>
                    <w:rFonts w:hint="eastAsia" w:ascii="仿宋" w:hAnsi="仿宋" w:eastAsia="仿宋" w:cs="仿宋"/>
                    <w:i w:val="0"/>
                    <w:iCs w:val="0"/>
                    <w:color w:val="000000"/>
                    <w:kern w:val="0"/>
                    <w:sz w:val="21"/>
                    <w:szCs w:val="21"/>
                    <w:highlight w:val="none"/>
                    <w:u w:val="none"/>
                    <w:lang w:val="en-US" w:eastAsia="zh-CN" w:bidi="ar"/>
                  </w:rPr>
                </w:rPrChange>
              </w:rPr>
              <w:t>信息技术工作委员会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1B01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22" w:author="云房数据闫旭东" w:date="2026-03-12T10:01:13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23" w:author="云房数据闫旭东" w:date="2026-03-12T10:01:13Z">
                  <w:rPr>
                    <w:rFonts w:hint="eastAsia" w:ascii="仿宋" w:hAnsi="仿宋" w:eastAsia="仿宋" w:cs="仿宋"/>
                    <w:i w:val="0"/>
                    <w:iCs w:val="0"/>
                    <w:color w:val="000000"/>
                    <w:kern w:val="0"/>
                    <w:sz w:val="21"/>
                    <w:szCs w:val="21"/>
                    <w:highlight w:val="none"/>
                    <w:u w:val="none"/>
                    <w:lang w:val="en-US" w:eastAsia="zh-CN" w:bidi="ar"/>
                  </w:rPr>
                </w:rPrChange>
              </w:rPr>
              <w:t>中估协综合服务平台研究及完善</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C362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24" w:author="云房数据闫旭东" w:date="2026-03-12T10:01:13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25" w:author="云房数据闫旭东" w:date="2026-03-12T10:01:13Z">
                  <w:rPr>
                    <w:rFonts w:hint="eastAsia" w:ascii="仿宋" w:hAnsi="仿宋" w:eastAsia="仿宋" w:cs="仿宋"/>
                    <w:i w:val="0"/>
                    <w:iCs w:val="0"/>
                    <w:color w:val="000000"/>
                    <w:kern w:val="0"/>
                    <w:sz w:val="21"/>
                    <w:szCs w:val="21"/>
                    <w:highlight w:val="none"/>
                    <w:u w:val="none"/>
                    <w:lang w:val="en-US" w:eastAsia="zh-CN" w:bidi="ar"/>
                  </w:rPr>
                </w:rPrChange>
              </w:rPr>
              <w:t>立足“服务会员、服务行业、服务社会”核心宗旨，开展多维度、全视角的业务需求深度调研工作，全面摸排行业协会、机构等在业务开展、服务对接、技术应用、行业发展等方面的实际需求与痛点难点，研究提升综合服务平台基础服务效能；开展行业信息化调研、构建高质量数据底座、探索数据共享机制，推动综合服务平台向数字化、智能化升级，全面提升会员服务质量与行业管理水平。</w:t>
            </w:r>
          </w:p>
        </w:tc>
      </w:tr>
      <w:tr w14:paraId="33C4D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909" w:hRule="atLeast"/>
          <w:tblHeader/>
          <w:jc w:val="center"/>
        </w:trPr>
        <w:tc>
          <w:tcPr>
            <w:tcW w:w="52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B00007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b/>
                <w:bCs/>
                <w:i w:val="0"/>
                <w:iCs w:val="0"/>
                <w:color w:val="000000"/>
                <w:sz w:val="21"/>
                <w:szCs w:val="21"/>
                <w:highlight w:val="none"/>
                <w:u w:val="none"/>
              </w:rPr>
            </w:pPr>
            <w:r>
              <w:rPr>
                <w:rFonts w:hint="eastAsia" w:ascii="仿宋" w:hAnsi="仿宋" w:eastAsia="仿宋" w:cs="仿宋"/>
                <w:b/>
                <w:bCs/>
                <w:i w:val="0"/>
                <w:iCs w:val="0"/>
                <w:color w:val="000000"/>
                <w:kern w:val="0"/>
                <w:sz w:val="21"/>
                <w:szCs w:val="21"/>
                <w:highlight w:val="none"/>
                <w:u w:val="none"/>
                <w:lang w:val="en-US" w:eastAsia="zh-CN" w:bidi="ar"/>
              </w:rPr>
              <w:t>B类</w:t>
            </w: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A5655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B</w:t>
            </w:r>
            <w:r>
              <w:rPr>
                <w:rFonts w:hint="eastAsia" w:ascii="仿宋" w:hAnsi="仿宋" w:eastAsia="仿宋" w:cs="仿宋"/>
                <w:i w:val="0"/>
                <w:iCs w:val="0"/>
                <w:color w:val="000000"/>
                <w:kern w:val="0"/>
                <w:sz w:val="21"/>
                <w:szCs w:val="21"/>
                <w:highlight w:val="none"/>
                <w:u w:val="none"/>
                <w:lang w:val="en-US" w:eastAsia="zh-CN" w:bidi="ar"/>
              </w:rPr>
              <w:t>1</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2A4E8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规划与发展工作委员会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026AD">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存量提质背景下责任估价师工作指引研究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D7F053">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立足城市发展从增量扩张转向存量提质的行业转型需求，开展城市更新中责任估价师工作指引</w:t>
            </w:r>
            <w:r>
              <w:rPr>
                <w:rFonts w:hint="eastAsia" w:cs="仿宋"/>
                <w:i w:val="0"/>
                <w:iCs w:val="0"/>
                <w:color w:val="000000"/>
                <w:kern w:val="0"/>
                <w:sz w:val="21"/>
                <w:szCs w:val="21"/>
                <w:highlight w:val="none"/>
                <w:u w:val="none"/>
                <w:lang w:val="en-US" w:eastAsia="zh-CN" w:bidi="ar"/>
              </w:rPr>
              <w:t>，在</w:t>
            </w:r>
            <w:r>
              <w:rPr>
                <w:rFonts w:hint="eastAsia" w:ascii="仿宋" w:hAnsi="仿宋" w:eastAsia="仿宋" w:cs="仿宋"/>
                <w:i w:val="0"/>
                <w:iCs w:val="0"/>
                <w:color w:val="000000"/>
                <w:kern w:val="0"/>
                <w:sz w:val="21"/>
                <w:szCs w:val="21"/>
                <w:highlight w:val="none"/>
                <w:u w:val="none"/>
                <w:lang w:val="en-US" w:eastAsia="zh-CN" w:bidi="ar"/>
              </w:rPr>
              <w:t>国土空间规划中责任估价师与责任规划师等的协同联动机制，形成责任估价师工作指引，支撑行业规范转型与高质量发展。</w:t>
            </w:r>
          </w:p>
        </w:tc>
      </w:tr>
      <w:tr w14:paraId="47D25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223" w:hRule="atLeast"/>
          <w:tblHeader/>
          <w:jc w:val="center"/>
        </w:trPr>
        <w:tc>
          <w:tcPr>
            <w:tcW w:w="52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47C6C6">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6D53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B</w:t>
            </w:r>
            <w:r>
              <w:rPr>
                <w:rFonts w:hint="eastAsia" w:ascii="仿宋" w:hAnsi="仿宋" w:eastAsia="仿宋" w:cs="仿宋"/>
                <w:i w:val="0"/>
                <w:iCs w:val="0"/>
                <w:color w:val="000000"/>
                <w:kern w:val="0"/>
                <w:sz w:val="21"/>
                <w:szCs w:val="21"/>
                <w:highlight w:val="none"/>
                <w:u w:val="none"/>
                <w:lang w:val="en-US" w:eastAsia="zh-CN" w:bidi="ar"/>
              </w:rPr>
              <w:t>2</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84C8B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教育培训工作委员会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ABBF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中估协教育培训体系研究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22E3F">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通过调研行业培训需求，梳理现有教育培训体系的不足，对接自然资源管理改革新要求，为制定中长期及年度培训规划、开发网络培训课件、优化继续教育管理提供支撑，形成研究报告，构建科学完善的教育培训体系，提升行业专业能力与培训规范化水平。</w:t>
            </w:r>
          </w:p>
        </w:tc>
      </w:tr>
      <w:tr w14:paraId="2271F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1" w:hRule="atLeast"/>
          <w:tblHeader/>
          <w:jc w:val="center"/>
        </w:trPr>
        <w:tc>
          <w:tcPr>
            <w:tcW w:w="528" w:type="dxa"/>
            <w:vMerge w:val="restart"/>
            <w:tcBorders>
              <w:top w:val="single" w:color="000000" w:sz="4" w:space="0"/>
              <w:left w:val="single" w:color="000000" w:sz="4" w:space="0"/>
              <w:right w:val="single" w:color="000000" w:sz="4" w:space="0"/>
            </w:tcBorders>
            <w:shd w:val="clear" w:color="auto" w:fill="auto"/>
            <w:vAlign w:val="center"/>
          </w:tcPr>
          <w:p w14:paraId="0F5F9213">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b/>
                <w:bCs/>
                <w:i w:val="0"/>
                <w:iCs w:val="0"/>
                <w:color w:val="000000"/>
                <w:sz w:val="21"/>
                <w:szCs w:val="21"/>
                <w:highlight w:val="none"/>
                <w:u w:val="none"/>
              </w:rPr>
            </w:pPr>
            <w:r>
              <w:rPr>
                <w:rFonts w:hint="eastAsia" w:ascii="仿宋" w:hAnsi="仿宋" w:eastAsia="仿宋" w:cs="仿宋"/>
                <w:b/>
                <w:bCs/>
                <w:i w:val="0"/>
                <w:iCs w:val="0"/>
                <w:color w:val="000000"/>
                <w:kern w:val="0"/>
                <w:sz w:val="21"/>
                <w:szCs w:val="21"/>
                <w:highlight w:val="none"/>
                <w:u w:val="none"/>
                <w:lang w:val="en-US" w:eastAsia="zh-CN" w:bidi="ar"/>
              </w:rPr>
              <w:t>C类</w:t>
            </w: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CFC7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C</w:t>
            </w:r>
            <w:r>
              <w:rPr>
                <w:rFonts w:hint="eastAsia" w:ascii="仿宋" w:hAnsi="仿宋" w:eastAsia="仿宋" w:cs="仿宋"/>
                <w:i w:val="0"/>
                <w:iCs w:val="0"/>
                <w:color w:val="000000"/>
                <w:kern w:val="0"/>
                <w:sz w:val="21"/>
                <w:szCs w:val="21"/>
                <w:highlight w:val="none"/>
                <w:u w:val="none"/>
                <w:lang w:val="en-US" w:eastAsia="zh-CN" w:bidi="ar"/>
              </w:rPr>
              <w:t>1</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0BE0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规划与发展工作委员会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6980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人工智能（AI）技术在土地估价核心业务中的融合应用与规范研究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EFB2C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围绕AI技术在土地估价中的应用展开研究，针对基准地价、标定地价更新与地价监测存在的效率低、主观性强等问题，构建智能估价模型，实现数据自动分析与价值动态监测。研究建立适配我国地价体系的AI应用框架与操作规范，明确技术标准、流程及风险防控措施，并探索其在土地市场分析、参数确定、估价方法选择与测算等场景的落地应用，推动行业智能化转型。</w:t>
            </w:r>
          </w:p>
        </w:tc>
      </w:tr>
      <w:tr w14:paraId="36D7F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74" w:hRule="atLeast"/>
          <w:tblHeader/>
          <w:jc w:val="center"/>
        </w:trPr>
        <w:tc>
          <w:tcPr>
            <w:tcW w:w="528" w:type="dxa"/>
            <w:vMerge w:val="continue"/>
            <w:tcBorders>
              <w:left w:val="single" w:color="000000" w:sz="4" w:space="0"/>
              <w:bottom w:val="single" w:color="000000" w:sz="4" w:space="0"/>
              <w:right w:val="single" w:color="000000" w:sz="4" w:space="0"/>
            </w:tcBorders>
            <w:shd w:val="clear" w:color="auto" w:fill="auto"/>
            <w:vAlign w:val="center"/>
          </w:tcPr>
          <w:p w14:paraId="01170C9D">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41A5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C</w:t>
            </w:r>
            <w:r>
              <w:rPr>
                <w:rFonts w:hint="eastAsia" w:ascii="仿宋" w:hAnsi="仿宋" w:eastAsia="仿宋" w:cs="仿宋"/>
                <w:i w:val="0"/>
                <w:iCs w:val="0"/>
                <w:color w:val="000000"/>
                <w:kern w:val="0"/>
                <w:sz w:val="21"/>
                <w:szCs w:val="21"/>
                <w:highlight w:val="none"/>
                <w:u w:val="none"/>
                <w:lang w:val="en-US" w:eastAsia="zh-CN" w:bidi="ar"/>
              </w:rPr>
              <w:t>2</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AB5367">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资格考试专家工作委员会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4440D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考试辅导教材</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076BD">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以两项考试大纲为依据，编制针对性强、贴合考试要求的专用教材，方便考生系统复习，提升备考效率，扩大报考规模，助力行业人才队伍建设。</w:t>
            </w:r>
          </w:p>
        </w:tc>
      </w:tr>
      <w:tr w14:paraId="7540C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289" w:hRule="atLeast"/>
          <w:tblHeader/>
          <w:jc w:val="center"/>
        </w:trPr>
        <w:tc>
          <w:tcPr>
            <w:tcW w:w="528" w:type="dxa"/>
            <w:vMerge w:val="restart"/>
            <w:tcBorders>
              <w:top w:val="single" w:color="000000" w:sz="4" w:space="0"/>
              <w:left w:val="single" w:color="000000" w:sz="4" w:space="0"/>
              <w:right w:val="single" w:color="000000" w:sz="4" w:space="0"/>
            </w:tcBorders>
            <w:shd w:val="clear" w:color="auto" w:fill="auto"/>
            <w:vAlign w:val="center"/>
          </w:tcPr>
          <w:p w14:paraId="39825A8B">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default" w:ascii="仿宋" w:hAnsi="仿宋" w:eastAsia="仿宋" w:cs="仿宋"/>
                <w:b/>
                <w:bCs/>
                <w:i w:val="0"/>
                <w:iCs w:val="0"/>
                <w:color w:val="000000"/>
                <w:sz w:val="21"/>
                <w:szCs w:val="21"/>
                <w:highlight w:val="none"/>
                <w:u w:val="none"/>
                <w:lang w:val="en-US" w:eastAsia="zh-CN"/>
              </w:rPr>
            </w:pPr>
            <w:r>
              <w:rPr>
                <w:rFonts w:hint="eastAsia" w:cs="仿宋"/>
                <w:b/>
                <w:bCs/>
                <w:i w:val="0"/>
                <w:iCs w:val="0"/>
                <w:color w:val="000000"/>
                <w:sz w:val="21"/>
                <w:szCs w:val="21"/>
                <w:highlight w:val="none"/>
                <w:u w:val="none"/>
                <w:lang w:val="en-US" w:eastAsia="zh-CN"/>
              </w:rPr>
              <w:t>C类</w:t>
            </w: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988D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cyan"/>
                <w:u w:val="none"/>
                <w:rPrChange w:id="26" w:author="云房数据闫旭东" w:date="2026-03-12T10:01:47Z">
                  <w:rPr>
                    <w:rFonts w:hint="eastAsia" w:ascii="仿宋" w:hAnsi="仿宋" w:eastAsia="仿宋" w:cs="仿宋"/>
                    <w:i w:val="0"/>
                    <w:iCs w:val="0"/>
                    <w:color w:val="000000"/>
                    <w:sz w:val="21"/>
                    <w:szCs w:val="21"/>
                    <w:highlight w:val="none"/>
                    <w:u w:val="none"/>
                  </w:rPr>
                </w:rPrChange>
              </w:rPr>
            </w:pPr>
            <w:r>
              <w:rPr>
                <w:rFonts w:hint="eastAsia" w:cs="仿宋"/>
                <w:i w:val="0"/>
                <w:iCs w:val="0"/>
                <w:color w:val="000000"/>
                <w:kern w:val="0"/>
                <w:sz w:val="21"/>
                <w:szCs w:val="21"/>
                <w:highlight w:val="cyan"/>
                <w:u w:val="none"/>
                <w:lang w:val="en-US" w:eastAsia="zh-CN" w:bidi="ar"/>
                <w:rPrChange w:id="27" w:author="云房数据闫旭东" w:date="2026-03-12T10:01:47Z">
                  <w:rPr>
                    <w:rFonts w:hint="eastAsia" w:cs="仿宋"/>
                    <w:i w:val="0"/>
                    <w:iCs w:val="0"/>
                    <w:color w:val="000000"/>
                    <w:kern w:val="0"/>
                    <w:sz w:val="21"/>
                    <w:szCs w:val="21"/>
                    <w:highlight w:val="none"/>
                    <w:u w:val="none"/>
                    <w:lang w:val="en-US" w:eastAsia="zh-CN" w:bidi="ar"/>
                  </w:rPr>
                </w:rPrChange>
              </w:rPr>
              <w:t>C</w:t>
            </w:r>
            <w:r>
              <w:rPr>
                <w:rFonts w:hint="eastAsia" w:ascii="仿宋" w:hAnsi="仿宋" w:eastAsia="仿宋" w:cs="仿宋"/>
                <w:i w:val="0"/>
                <w:iCs w:val="0"/>
                <w:color w:val="000000"/>
                <w:kern w:val="0"/>
                <w:sz w:val="21"/>
                <w:szCs w:val="21"/>
                <w:highlight w:val="cyan"/>
                <w:u w:val="none"/>
                <w:lang w:val="en-US" w:eastAsia="zh-CN" w:bidi="ar"/>
                <w:rPrChange w:id="28" w:author="云房数据闫旭东" w:date="2026-03-12T10:01:47Z">
                  <w:rPr>
                    <w:rFonts w:hint="eastAsia" w:ascii="仿宋" w:hAnsi="仿宋" w:eastAsia="仿宋" w:cs="仿宋"/>
                    <w:i w:val="0"/>
                    <w:iCs w:val="0"/>
                    <w:color w:val="000000"/>
                    <w:kern w:val="0"/>
                    <w:sz w:val="21"/>
                    <w:szCs w:val="21"/>
                    <w:highlight w:val="none"/>
                    <w:u w:val="none"/>
                    <w:lang w:val="en-US" w:eastAsia="zh-CN" w:bidi="ar"/>
                  </w:rPr>
                </w:rPrChange>
              </w:rPr>
              <w:t>3</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B02A6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cyan"/>
                <w:u w:val="none"/>
                <w:rPrChange w:id="29" w:author="云房数据闫旭东" w:date="2026-03-12T10:01:47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30" w:author="云房数据闫旭东" w:date="2026-03-12T10:01:47Z">
                  <w:rPr>
                    <w:rFonts w:hint="eastAsia" w:ascii="仿宋" w:hAnsi="仿宋" w:eastAsia="仿宋" w:cs="仿宋"/>
                    <w:i w:val="0"/>
                    <w:iCs w:val="0"/>
                    <w:color w:val="000000"/>
                    <w:kern w:val="0"/>
                    <w:sz w:val="21"/>
                    <w:szCs w:val="21"/>
                    <w:highlight w:val="none"/>
                    <w:u w:val="none"/>
                    <w:lang w:val="en-US" w:eastAsia="zh-CN" w:bidi="ar"/>
                  </w:rPr>
                </w:rPrChange>
              </w:rPr>
              <w:t>会员与信用评价工作委员会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ED65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31" w:author="云房数据闫旭东" w:date="2026-03-12T10:01:47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32" w:author="云房数据闫旭东" w:date="2026-03-12T10:01:47Z">
                  <w:rPr>
                    <w:rFonts w:hint="eastAsia" w:ascii="仿宋" w:hAnsi="仿宋" w:eastAsia="仿宋" w:cs="仿宋"/>
                    <w:i w:val="0"/>
                    <w:iCs w:val="0"/>
                    <w:color w:val="000000"/>
                    <w:kern w:val="0"/>
                    <w:sz w:val="21"/>
                    <w:szCs w:val="21"/>
                    <w:highlight w:val="none"/>
                    <w:u w:val="none"/>
                    <w:lang w:val="en-US" w:eastAsia="zh-CN" w:bidi="ar"/>
                  </w:rPr>
                </w:rPrChange>
              </w:rPr>
              <w:t>土地估价信用评价机制与标准体系研究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8B8A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33" w:author="云房数据闫旭东" w:date="2026-03-12T10:01:47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34" w:author="云房数据闫旭东" w:date="2026-03-12T10:01:47Z">
                  <w:rPr>
                    <w:rFonts w:hint="eastAsia" w:ascii="仿宋" w:hAnsi="仿宋" w:eastAsia="仿宋" w:cs="仿宋"/>
                    <w:i w:val="0"/>
                    <w:iCs w:val="0"/>
                    <w:color w:val="000000"/>
                    <w:kern w:val="0"/>
                    <w:sz w:val="21"/>
                    <w:szCs w:val="21"/>
                    <w:highlight w:val="none"/>
                    <w:u w:val="none"/>
                    <w:lang w:val="en-US" w:eastAsia="zh-CN" w:bidi="ar"/>
                  </w:rPr>
                </w:rPrChange>
              </w:rPr>
              <w:t>针对现有信用评价机制及指标体系滞后的问题，优化A级资信机构与资深会员评价指标，简化评审流程、完善反馈机制，推动中估协与省级协会评价标准统一、信息互通，完善填报系统，减少主观影响，提升评价公平性、高效性与公信力，助力行业诚信建设与健康发展。</w:t>
            </w:r>
          </w:p>
        </w:tc>
      </w:tr>
      <w:tr w14:paraId="43DF0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223" w:hRule="atLeast"/>
          <w:tblHeader/>
          <w:jc w:val="center"/>
        </w:trPr>
        <w:tc>
          <w:tcPr>
            <w:tcW w:w="528" w:type="dxa"/>
            <w:vMerge w:val="continue"/>
            <w:tcBorders>
              <w:left w:val="single" w:color="000000" w:sz="4" w:space="0"/>
              <w:right w:val="single" w:color="000000" w:sz="4" w:space="0"/>
            </w:tcBorders>
            <w:shd w:val="clear" w:color="auto" w:fill="auto"/>
            <w:vAlign w:val="center"/>
          </w:tcPr>
          <w:p w14:paraId="70C2155E">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2C1B4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C</w:t>
            </w:r>
            <w:r>
              <w:rPr>
                <w:rFonts w:hint="eastAsia" w:ascii="仿宋" w:hAnsi="仿宋" w:eastAsia="仿宋" w:cs="仿宋"/>
                <w:i w:val="0"/>
                <w:iCs w:val="0"/>
                <w:color w:val="000000"/>
                <w:kern w:val="0"/>
                <w:sz w:val="21"/>
                <w:szCs w:val="21"/>
                <w:highlight w:val="none"/>
                <w:u w:val="none"/>
                <w:lang w:val="en-US" w:eastAsia="zh-CN" w:bidi="ar"/>
              </w:rPr>
              <w:t>4</w:t>
            </w:r>
          </w:p>
        </w:tc>
        <w:tc>
          <w:tcPr>
            <w:tcW w:w="125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0CE4AD3">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技术标准工作委员会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F6A98">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35" w:author="云房数据闫旭东" w:date="2026-03-12T10:01:56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36" w:author="云房数据闫旭东" w:date="2026-03-12T10:01:56Z">
                  <w:rPr>
                    <w:rFonts w:hint="eastAsia" w:ascii="仿宋" w:hAnsi="仿宋" w:eastAsia="仿宋" w:cs="仿宋"/>
                    <w:i w:val="0"/>
                    <w:iCs w:val="0"/>
                    <w:color w:val="000000"/>
                    <w:kern w:val="0"/>
                    <w:sz w:val="21"/>
                    <w:szCs w:val="21"/>
                    <w:highlight w:val="none"/>
                    <w:u w:val="none"/>
                    <w:lang w:val="en-US" w:eastAsia="zh-CN" w:bidi="ar"/>
                  </w:rPr>
                </w:rPrChange>
              </w:rPr>
              <w:t>《土地估价重点难点及常见问题解答》</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254400">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37" w:author="云房数据闫旭东" w:date="2026-03-12T10:01:56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38" w:author="云房数据闫旭东" w:date="2026-03-12T10:01:56Z">
                  <w:rPr>
                    <w:rFonts w:hint="eastAsia" w:ascii="仿宋" w:hAnsi="仿宋" w:eastAsia="仿宋" w:cs="仿宋"/>
                    <w:i w:val="0"/>
                    <w:iCs w:val="0"/>
                    <w:color w:val="000000"/>
                    <w:kern w:val="0"/>
                    <w:sz w:val="21"/>
                    <w:szCs w:val="21"/>
                    <w:highlight w:val="none"/>
                    <w:u w:val="none"/>
                    <w:lang w:val="en-US" w:eastAsia="zh-CN" w:bidi="ar"/>
                  </w:rPr>
                </w:rPrChange>
              </w:rPr>
              <w:t>针对近年监督检查、信用评级及报告评审中发现的估价方法、参数选取、公式运用等问题，系统梳理估价实务重点难点与常见问题，提供专业解答与建议，并结合案例支撑，形成简明实用的专业汇编，为土地估价机构和从业人员提供实操指导与参考。</w:t>
            </w:r>
          </w:p>
        </w:tc>
      </w:tr>
      <w:tr w14:paraId="75DBB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continue"/>
            <w:tcBorders>
              <w:left w:val="single" w:color="000000" w:sz="4" w:space="0"/>
              <w:right w:val="single" w:color="000000" w:sz="4" w:space="0"/>
            </w:tcBorders>
            <w:shd w:val="clear" w:color="auto" w:fill="auto"/>
            <w:vAlign w:val="center"/>
          </w:tcPr>
          <w:p w14:paraId="7BD14A44">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4372A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C</w:t>
            </w:r>
            <w:r>
              <w:rPr>
                <w:rFonts w:hint="eastAsia" w:ascii="仿宋" w:hAnsi="仿宋" w:eastAsia="仿宋" w:cs="仿宋"/>
                <w:i w:val="0"/>
                <w:iCs w:val="0"/>
                <w:color w:val="000000"/>
                <w:kern w:val="0"/>
                <w:sz w:val="21"/>
                <w:szCs w:val="21"/>
                <w:highlight w:val="none"/>
                <w:u w:val="none"/>
                <w:lang w:val="en-US" w:eastAsia="zh-CN" w:bidi="ar"/>
              </w:rPr>
              <w:t>5</w:t>
            </w:r>
          </w:p>
        </w:tc>
        <w:tc>
          <w:tcPr>
            <w:tcW w:w="125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A38D3A">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47974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39" w:author="云房数据闫旭东" w:date="2026-03-12T10:02:01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40" w:author="云房数据闫旭东" w:date="2026-03-12T10:02:01Z">
                  <w:rPr>
                    <w:rFonts w:hint="eastAsia" w:ascii="仿宋" w:hAnsi="仿宋" w:eastAsia="仿宋" w:cs="仿宋"/>
                    <w:i w:val="0"/>
                    <w:iCs w:val="0"/>
                    <w:color w:val="000000"/>
                    <w:kern w:val="0"/>
                    <w:sz w:val="21"/>
                    <w:szCs w:val="21"/>
                    <w:highlight w:val="none"/>
                    <w:u w:val="none"/>
                    <w:lang w:val="en-US" w:eastAsia="zh-CN" w:bidi="ar"/>
                  </w:rPr>
                </w:rPrChange>
              </w:rPr>
              <w:t>土地估价现场查勘技术规范研究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10A3D5">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41" w:author="云房数据闫旭东" w:date="2026-03-12T10:02:01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42" w:author="云房数据闫旭东" w:date="2026-03-12T10:02:01Z">
                  <w:rPr>
                    <w:rFonts w:hint="eastAsia" w:ascii="仿宋" w:hAnsi="仿宋" w:eastAsia="仿宋" w:cs="仿宋"/>
                    <w:i w:val="0"/>
                    <w:iCs w:val="0"/>
                    <w:color w:val="000000"/>
                    <w:kern w:val="0"/>
                    <w:sz w:val="21"/>
                    <w:szCs w:val="21"/>
                    <w:highlight w:val="none"/>
                    <w:u w:val="none"/>
                    <w:lang w:val="en-US" w:eastAsia="zh-CN" w:bidi="ar"/>
                  </w:rPr>
                </w:rPrChange>
              </w:rPr>
              <w:t>针对土地估价现场查勘流于形式、远程查勘缺乏标准等问题，研究查勘核心原则、流程及不同场景下的技术要求，建立质量控制体系，制定不可抗力场景下的替代查勘方案，规范VR、无人机等新技术的应用标准，提升估价报告的公信力与权威性。预期成果为研究报告及《土地估价现场查勘技术规范》（草案）。</w:t>
            </w:r>
          </w:p>
        </w:tc>
      </w:tr>
      <w:tr w14:paraId="41188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289" w:hRule="atLeast"/>
          <w:tblHeader/>
          <w:jc w:val="center"/>
        </w:trPr>
        <w:tc>
          <w:tcPr>
            <w:tcW w:w="528" w:type="dxa"/>
            <w:vMerge w:val="continue"/>
            <w:tcBorders>
              <w:left w:val="single" w:color="000000" w:sz="4" w:space="0"/>
              <w:right w:val="single" w:color="000000" w:sz="4" w:space="0"/>
            </w:tcBorders>
            <w:shd w:val="clear" w:color="auto" w:fill="auto"/>
            <w:vAlign w:val="center"/>
          </w:tcPr>
          <w:p w14:paraId="339237CD">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DE1B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C</w:t>
            </w:r>
            <w:r>
              <w:rPr>
                <w:rFonts w:hint="eastAsia" w:ascii="仿宋" w:hAnsi="仿宋" w:eastAsia="仿宋" w:cs="仿宋"/>
                <w:i w:val="0"/>
                <w:iCs w:val="0"/>
                <w:color w:val="000000"/>
                <w:kern w:val="0"/>
                <w:sz w:val="21"/>
                <w:szCs w:val="21"/>
                <w:highlight w:val="none"/>
                <w:u w:val="none"/>
                <w:lang w:val="en-US" w:eastAsia="zh-CN" w:bidi="ar"/>
              </w:rPr>
              <w:t>6</w:t>
            </w:r>
          </w:p>
        </w:tc>
        <w:tc>
          <w:tcPr>
            <w:tcW w:w="125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BD2066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学术专业工作委员会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AD6A3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新时代不动产估价与登记代理学术前沿研究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0A5B1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立足经济转型、自然资源统一管理与AI技术革新等背景，系统梳理不动产估价新理论、新方法及各类估价对象特征，研判学术前沿与发展趋势；结合我国登记代理行业现状，借鉴国际经验，明确业务类型与研究方向，引导会员拓展新业务，为行业高质量发展提供理论支撑。</w:t>
            </w:r>
          </w:p>
        </w:tc>
      </w:tr>
      <w:tr w14:paraId="49947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55" w:hRule="atLeast"/>
          <w:tblHeader/>
          <w:jc w:val="center"/>
        </w:trPr>
        <w:tc>
          <w:tcPr>
            <w:tcW w:w="528" w:type="dxa"/>
            <w:vMerge w:val="continue"/>
            <w:tcBorders>
              <w:left w:val="single" w:color="000000" w:sz="4" w:space="0"/>
              <w:bottom w:val="single" w:color="000000" w:sz="4" w:space="0"/>
              <w:right w:val="single" w:color="000000" w:sz="4" w:space="0"/>
            </w:tcBorders>
            <w:shd w:val="clear" w:color="auto" w:fill="auto"/>
            <w:vAlign w:val="center"/>
          </w:tcPr>
          <w:p w14:paraId="71059DD1">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29138">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C</w:t>
            </w:r>
            <w:r>
              <w:rPr>
                <w:rFonts w:hint="eastAsia" w:ascii="仿宋" w:hAnsi="仿宋" w:eastAsia="仿宋" w:cs="仿宋"/>
                <w:i w:val="0"/>
                <w:iCs w:val="0"/>
                <w:color w:val="000000"/>
                <w:kern w:val="0"/>
                <w:sz w:val="21"/>
                <w:szCs w:val="21"/>
                <w:highlight w:val="none"/>
                <w:u w:val="none"/>
                <w:lang w:val="en-US" w:eastAsia="zh-CN" w:bidi="ar"/>
              </w:rPr>
              <w:t>7</w:t>
            </w:r>
          </w:p>
        </w:tc>
        <w:tc>
          <w:tcPr>
            <w:tcW w:w="125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98314D">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960478">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中估协课题管理体系制度建设</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48BD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针对中估协2010年版课题管理办法已不适应行业新发展、新需求的问题，梳理现行制度短板，借鉴国内外先进经验，优化选题评审、过程管理、成果评审、成果转化等机制，修订完善课题管理、经费管理等相关文件，构建科学规范高效的制度体系，提升课题研究质量与成果应用水平，服务行业理论创新与高质量发展。</w:t>
            </w:r>
          </w:p>
        </w:tc>
      </w:tr>
      <w:tr w14:paraId="56EFF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909" w:hRule="atLeast"/>
          <w:tblHeader/>
          <w:jc w:val="center"/>
        </w:trPr>
        <w:tc>
          <w:tcPr>
            <w:tcW w:w="528" w:type="dxa"/>
            <w:vMerge w:val="restart"/>
            <w:tcBorders>
              <w:top w:val="single" w:color="000000" w:sz="4" w:space="0"/>
              <w:left w:val="single" w:color="000000" w:sz="4" w:space="0"/>
              <w:right w:val="single" w:color="000000" w:sz="4" w:space="0"/>
            </w:tcBorders>
            <w:shd w:val="clear" w:color="auto" w:fill="auto"/>
            <w:vAlign w:val="center"/>
          </w:tcPr>
          <w:p w14:paraId="2D195965">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default" w:ascii="仿宋" w:hAnsi="仿宋" w:eastAsia="仿宋" w:cs="仿宋"/>
                <w:b/>
                <w:bCs/>
                <w:i w:val="0"/>
                <w:iCs w:val="0"/>
                <w:color w:val="000000"/>
                <w:sz w:val="21"/>
                <w:szCs w:val="21"/>
                <w:highlight w:val="none"/>
                <w:u w:val="none"/>
                <w:lang w:val="en-US" w:eastAsia="zh-CN"/>
              </w:rPr>
            </w:pPr>
            <w:r>
              <w:rPr>
                <w:rFonts w:hint="eastAsia" w:cs="仿宋"/>
                <w:b/>
                <w:bCs/>
                <w:i w:val="0"/>
                <w:iCs w:val="0"/>
                <w:color w:val="000000"/>
                <w:sz w:val="21"/>
                <w:szCs w:val="21"/>
                <w:highlight w:val="none"/>
                <w:u w:val="none"/>
                <w:lang w:val="en-US" w:eastAsia="zh-CN"/>
              </w:rPr>
              <w:t>C类</w:t>
            </w: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6F6330">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C</w:t>
            </w:r>
            <w:r>
              <w:rPr>
                <w:rFonts w:hint="eastAsia" w:ascii="仿宋" w:hAnsi="仿宋" w:eastAsia="仿宋" w:cs="仿宋"/>
                <w:i w:val="0"/>
                <w:iCs w:val="0"/>
                <w:color w:val="000000"/>
                <w:kern w:val="0"/>
                <w:sz w:val="21"/>
                <w:szCs w:val="21"/>
                <w:highlight w:val="none"/>
                <w:u w:val="none"/>
                <w:lang w:val="en-US" w:eastAsia="zh-CN" w:bidi="ar"/>
              </w:rPr>
              <w:t>8</w:t>
            </w:r>
          </w:p>
        </w:tc>
        <w:tc>
          <w:tcPr>
            <w:tcW w:w="125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23DD4C">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信息技术工作委员会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79590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基于大语言模型的土地估价智能辅助决策系统研发与应用</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5F4F90">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针对行业依赖人工经验、效率低、偏差大、标准不统一等问题，利用大语言模型挖掘多类数据，提升估价精度与效率。开发“土地估价AI助手”原型系统，接入省级平台，实现报告生成、数据对比等功能，支撑全国推广应用。</w:t>
            </w:r>
          </w:p>
        </w:tc>
      </w:tr>
      <w:tr w14:paraId="1544B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909" w:hRule="atLeast"/>
          <w:tblHeader/>
          <w:jc w:val="center"/>
        </w:trPr>
        <w:tc>
          <w:tcPr>
            <w:tcW w:w="528" w:type="dxa"/>
            <w:vMerge w:val="continue"/>
            <w:tcBorders>
              <w:left w:val="single" w:color="000000" w:sz="4" w:space="0"/>
              <w:right w:val="single" w:color="000000" w:sz="4" w:space="0"/>
            </w:tcBorders>
            <w:shd w:val="clear" w:color="auto" w:fill="auto"/>
            <w:vAlign w:val="center"/>
          </w:tcPr>
          <w:p w14:paraId="41F1D1A1">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D7B73F">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cs="仿宋"/>
                <w:i w:val="0"/>
                <w:iCs w:val="0"/>
                <w:color w:val="000000"/>
                <w:kern w:val="0"/>
                <w:sz w:val="21"/>
                <w:szCs w:val="21"/>
                <w:highlight w:val="none"/>
                <w:u w:val="none"/>
                <w:lang w:val="en-US" w:eastAsia="zh-CN" w:bidi="ar"/>
              </w:rPr>
            </w:pPr>
            <w:r>
              <w:rPr>
                <w:rFonts w:hint="eastAsia" w:cs="仿宋"/>
                <w:i w:val="0"/>
                <w:iCs w:val="0"/>
                <w:color w:val="000000"/>
                <w:kern w:val="0"/>
                <w:sz w:val="21"/>
                <w:szCs w:val="21"/>
                <w:highlight w:val="none"/>
                <w:u w:val="none"/>
                <w:lang w:val="en-US" w:eastAsia="zh-CN" w:bidi="ar"/>
              </w:rPr>
              <w:t>C</w:t>
            </w:r>
            <w:r>
              <w:rPr>
                <w:rFonts w:hint="eastAsia" w:ascii="仿宋" w:hAnsi="仿宋" w:eastAsia="仿宋" w:cs="仿宋"/>
                <w:i w:val="0"/>
                <w:iCs w:val="0"/>
                <w:color w:val="000000"/>
                <w:kern w:val="0"/>
                <w:sz w:val="21"/>
                <w:szCs w:val="21"/>
                <w:highlight w:val="none"/>
                <w:u w:val="none"/>
                <w:lang w:val="en-US" w:eastAsia="zh-CN" w:bidi="ar"/>
              </w:rPr>
              <w:t>9</w:t>
            </w:r>
          </w:p>
        </w:tc>
        <w:tc>
          <w:tcPr>
            <w:tcW w:w="1255" w:type="dxa"/>
            <w:vMerge w:val="continue"/>
            <w:tcBorders>
              <w:left w:val="single" w:color="000000" w:sz="4" w:space="0"/>
              <w:bottom w:val="single" w:color="auto" w:sz="4" w:space="0"/>
              <w:right w:val="single" w:color="000000" w:sz="4" w:space="0"/>
            </w:tcBorders>
            <w:shd w:val="clear" w:color="auto" w:fill="auto"/>
            <w:vAlign w:val="center"/>
          </w:tcPr>
          <w:p w14:paraId="00095CF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kern w:val="0"/>
                <w:sz w:val="21"/>
                <w:szCs w:val="21"/>
                <w:highlight w:val="none"/>
                <w:u w:val="none"/>
                <w:lang w:val="en-US" w:eastAsia="zh-CN" w:bidi="ar"/>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D107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kern w:val="2"/>
                <w:sz w:val="21"/>
                <w:szCs w:val="21"/>
                <w:highlight w:val="none"/>
                <w:u w:val="none"/>
                <w:lang w:val="en-US" w:eastAsia="zh-CN" w:bidi="ar-SA"/>
              </w:rPr>
            </w:pPr>
            <w:r>
              <w:rPr>
                <w:rFonts w:hint="eastAsia" w:ascii="仿宋" w:hAnsi="仿宋" w:eastAsia="仿宋" w:cs="仿宋"/>
                <w:i w:val="0"/>
                <w:iCs w:val="0"/>
                <w:color w:val="000000"/>
                <w:kern w:val="0"/>
                <w:sz w:val="21"/>
                <w:szCs w:val="21"/>
                <w:highlight w:val="none"/>
                <w:u w:val="none"/>
                <w:lang w:val="en-US" w:eastAsia="zh-CN" w:bidi="ar"/>
              </w:rPr>
              <w:t>基于“人机协同”视角的土地估价报告智能评审标准体系与行业治理机制研究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6BA1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kern w:val="2"/>
                <w:sz w:val="21"/>
                <w:szCs w:val="21"/>
                <w:highlight w:val="none"/>
                <w:u w:val="none"/>
                <w:lang w:val="en-US" w:eastAsia="zh-CN" w:bidi="ar-SA"/>
              </w:rPr>
            </w:pPr>
            <w:r>
              <w:rPr>
                <w:rFonts w:hint="eastAsia" w:ascii="仿宋" w:hAnsi="仿宋" w:eastAsia="仿宋" w:cs="仿宋"/>
                <w:i w:val="0"/>
                <w:iCs w:val="0"/>
                <w:color w:val="000000"/>
                <w:kern w:val="0"/>
                <w:sz w:val="21"/>
                <w:szCs w:val="21"/>
                <w:highlight w:val="none"/>
                <w:u w:val="none"/>
                <w:lang w:val="en-US" w:eastAsia="zh-CN" w:bidi="ar"/>
              </w:rPr>
              <w:t>针对传统评审效率低、标准不一等痛点，运用大语言模型与RAG技术，将评审标准数字化解构，构建三级指标体系与知识图谱；研发智能评审助手，实现报告自动审查；再造“AI预检—专家复核—争议仲裁”流程，明确人机职责与责任机制，形成标准、系统、指引及知识库，为行业智能监管与高质量发展提供支撑。</w:t>
            </w:r>
          </w:p>
        </w:tc>
      </w:tr>
      <w:tr w14:paraId="066B1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909" w:hRule="atLeast"/>
          <w:tblHeader/>
          <w:jc w:val="center"/>
        </w:trPr>
        <w:tc>
          <w:tcPr>
            <w:tcW w:w="528" w:type="dxa"/>
            <w:vMerge w:val="continue"/>
            <w:tcBorders>
              <w:left w:val="single" w:color="000000" w:sz="4" w:space="0"/>
              <w:right w:val="single" w:color="000000" w:sz="4" w:space="0"/>
            </w:tcBorders>
            <w:shd w:val="clear" w:color="auto" w:fill="auto"/>
            <w:vAlign w:val="center"/>
          </w:tcPr>
          <w:p w14:paraId="38526C2C">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AADC1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default" w:cs="仿宋"/>
                <w:i w:val="0"/>
                <w:iCs w:val="0"/>
                <w:color w:val="000000"/>
                <w:kern w:val="0"/>
                <w:sz w:val="21"/>
                <w:szCs w:val="21"/>
                <w:highlight w:val="none"/>
                <w:u w:val="none"/>
                <w:lang w:val="en-US" w:eastAsia="zh-CN" w:bidi="ar"/>
              </w:rPr>
            </w:pPr>
            <w:r>
              <w:rPr>
                <w:rFonts w:hint="eastAsia" w:cs="仿宋"/>
                <w:i w:val="0"/>
                <w:iCs w:val="0"/>
                <w:color w:val="000000"/>
                <w:kern w:val="0"/>
                <w:sz w:val="21"/>
                <w:szCs w:val="21"/>
                <w:highlight w:val="none"/>
                <w:u w:val="none"/>
                <w:lang w:val="en-US" w:eastAsia="zh-CN" w:bidi="ar"/>
              </w:rPr>
              <w:t>C10</w:t>
            </w:r>
          </w:p>
        </w:tc>
        <w:tc>
          <w:tcPr>
            <w:tcW w:w="1255" w:type="dxa"/>
            <w:tcBorders>
              <w:top w:val="single" w:color="auto" w:sz="4" w:space="0"/>
              <w:left w:val="single" w:color="000000" w:sz="4" w:space="0"/>
              <w:bottom w:val="single" w:color="auto" w:sz="4" w:space="0"/>
              <w:right w:val="single" w:color="000000" w:sz="4" w:space="0"/>
            </w:tcBorders>
            <w:shd w:val="clear" w:color="auto" w:fill="auto"/>
            <w:vAlign w:val="center"/>
          </w:tcPr>
          <w:p w14:paraId="14D39B6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kern w:val="0"/>
                <w:sz w:val="21"/>
                <w:szCs w:val="21"/>
                <w:highlight w:val="none"/>
                <w:u w:val="none"/>
                <w:lang w:val="en-US" w:eastAsia="zh-CN" w:bidi="ar"/>
              </w:rPr>
            </w:pPr>
            <w:r>
              <w:rPr>
                <w:rFonts w:hint="eastAsia" w:ascii="仿宋" w:hAnsi="仿宋" w:eastAsia="仿宋" w:cs="仿宋"/>
                <w:i w:val="0"/>
                <w:iCs w:val="0"/>
                <w:color w:val="000000"/>
                <w:kern w:val="0"/>
                <w:sz w:val="21"/>
                <w:szCs w:val="21"/>
                <w:highlight w:val="none"/>
                <w:u w:val="none"/>
                <w:lang w:val="en-US" w:eastAsia="zh-CN" w:bidi="ar"/>
              </w:rPr>
              <w:t>不动产登记代理工作委员会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1BE6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kern w:val="0"/>
                <w:sz w:val="21"/>
                <w:szCs w:val="21"/>
                <w:highlight w:val="none"/>
                <w:u w:val="none"/>
                <w:lang w:val="en-US" w:eastAsia="zh-CN" w:bidi="ar"/>
              </w:rPr>
            </w:pPr>
            <w:r>
              <w:rPr>
                <w:rFonts w:hint="eastAsia" w:ascii="仿宋" w:hAnsi="仿宋" w:eastAsia="仿宋" w:cs="仿宋"/>
                <w:i w:val="0"/>
                <w:iCs w:val="0"/>
                <w:color w:val="000000"/>
                <w:kern w:val="0"/>
                <w:sz w:val="21"/>
                <w:szCs w:val="21"/>
                <w:highlight w:val="none"/>
                <w:u w:val="none"/>
                <w:lang w:val="en-US" w:eastAsia="zh-CN" w:bidi="ar"/>
              </w:rPr>
              <w:t>二手房不动产登记一站式服务指引研究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AAF3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kern w:val="0"/>
                <w:sz w:val="21"/>
                <w:szCs w:val="21"/>
                <w:highlight w:val="none"/>
                <w:u w:val="none"/>
                <w:lang w:val="en-US" w:eastAsia="zh-CN" w:bidi="ar"/>
              </w:rPr>
            </w:pPr>
            <w:r>
              <w:rPr>
                <w:rFonts w:hint="eastAsia" w:ascii="仿宋" w:hAnsi="仿宋" w:eastAsia="仿宋" w:cs="仿宋"/>
                <w:i w:val="0"/>
                <w:iCs w:val="0"/>
                <w:color w:val="000000"/>
                <w:kern w:val="0"/>
                <w:sz w:val="21"/>
                <w:szCs w:val="21"/>
                <w:highlight w:val="none"/>
                <w:u w:val="none"/>
                <w:lang w:val="en-US" w:eastAsia="zh-CN" w:bidi="ar"/>
              </w:rPr>
              <w:t>通过明确二手房不动产登记服务流程、材料审核、风险防控、责任边界等内容，防范虚假登记、信息泄露等风险，沉淀行业实操经验，规范市场秩序，提升行业公信力与服务水平，研究形成可落地的服务指引。</w:t>
            </w:r>
          </w:p>
        </w:tc>
      </w:tr>
      <w:tr w14:paraId="6984A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13" w:hRule="atLeast"/>
          <w:tblHeader/>
          <w:jc w:val="center"/>
        </w:trPr>
        <w:tc>
          <w:tcPr>
            <w:tcW w:w="528" w:type="dxa"/>
            <w:vMerge w:val="continue"/>
            <w:tcBorders>
              <w:left w:val="single" w:color="000000" w:sz="4" w:space="0"/>
              <w:bottom w:val="single" w:color="000000" w:sz="4" w:space="0"/>
              <w:right w:val="single" w:color="000000" w:sz="4" w:space="0"/>
            </w:tcBorders>
            <w:shd w:val="clear" w:color="auto" w:fill="auto"/>
            <w:vAlign w:val="center"/>
          </w:tcPr>
          <w:p w14:paraId="1EED8CBF">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D9373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default" w:ascii="仿宋" w:hAnsi="仿宋" w:eastAsia="仿宋" w:cs="仿宋"/>
                <w:i w:val="0"/>
                <w:iCs w:val="0"/>
                <w:color w:val="000000"/>
                <w:sz w:val="21"/>
                <w:szCs w:val="21"/>
                <w:highlight w:val="none"/>
                <w:u w:val="none"/>
                <w:lang w:val="en-US" w:eastAsia="zh-CN"/>
              </w:rPr>
            </w:pPr>
            <w:r>
              <w:rPr>
                <w:rFonts w:hint="eastAsia" w:cs="仿宋"/>
                <w:i w:val="0"/>
                <w:iCs w:val="0"/>
                <w:color w:val="000000"/>
                <w:sz w:val="21"/>
                <w:szCs w:val="21"/>
                <w:highlight w:val="none"/>
                <w:u w:val="none"/>
                <w:lang w:val="en-US" w:eastAsia="zh-CN"/>
              </w:rPr>
              <w:t>C11</w:t>
            </w:r>
          </w:p>
        </w:tc>
        <w:tc>
          <w:tcPr>
            <w:tcW w:w="1255" w:type="dxa"/>
            <w:tcBorders>
              <w:top w:val="single" w:color="auto" w:sz="4" w:space="0"/>
              <w:left w:val="single" w:color="000000" w:sz="4" w:space="0"/>
              <w:bottom w:val="single" w:color="000000" w:sz="4" w:space="0"/>
              <w:right w:val="single" w:color="000000" w:sz="4" w:space="0"/>
            </w:tcBorders>
            <w:shd w:val="clear" w:color="auto" w:fill="auto"/>
            <w:vAlign w:val="center"/>
          </w:tcPr>
          <w:p w14:paraId="5FD3F753">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信息技术工作委员会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321BEC">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自然资源资产数据要素市场化配置机制研究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08749C">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针对自然资源资产数据要素市场化配置机制缺失、价值挖掘不足、流通不畅等问题，构建科学的市场化配置框架，打通数据要素流通堵点，释放自然资源经济价值。开展试点地区落地应用，扩大数据要素交易规模，形成行业标准，为全国省级数据交易平台规范化运营提供支撑，服务国家数据要素市场建设。</w:t>
            </w:r>
          </w:p>
        </w:tc>
      </w:tr>
      <w:tr w14:paraId="3D1DA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20" w:hRule="atLeast"/>
          <w:tblHeader/>
          <w:jc w:val="center"/>
        </w:trPr>
        <w:tc>
          <w:tcPr>
            <w:tcW w:w="528" w:type="dxa"/>
            <w:vMerge w:val="restart"/>
            <w:tcBorders>
              <w:top w:val="single" w:color="000000" w:sz="4" w:space="0"/>
              <w:left w:val="single" w:color="000000" w:sz="4" w:space="0"/>
              <w:right w:val="single" w:color="000000" w:sz="4" w:space="0"/>
            </w:tcBorders>
            <w:shd w:val="clear" w:color="auto" w:fill="auto"/>
            <w:noWrap/>
            <w:vAlign w:val="center"/>
          </w:tcPr>
          <w:p w14:paraId="3291D5FD">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b/>
                <w:bCs/>
                <w:i w:val="0"/>
                <w:iCs w:val="0"/>
                <w:color w:val="000000"/>
                <w:sz w:val="21"/>
                <w:szCs w:val="21"/>
                <w:highlight w:val="none"/>
                <w:u w:val="none"/>
              </w:rPr>
            </w:pPr>
            <w:r>
              <w:rPr>
                <w:rFonts w:hint="eastAsia" w:ascii="仿宋" w:hAnsi="仿宋" w:eastAsia="仿宋" w:cs="仿宋"/>
                <w:b/>
                <w:bCs/>
                <w:i w:val="0"/>
                <w:iCs w:val="0"/>
                <w:color w:val="000000"/>
                <w:kern w:val="0"/>
                <w:sz w:val="21"/>
                <w:szCs w:val="21"/>
                <w:highlight w:val="none"/>
                <w:u w:val="none"/>
                <w:lang w:val="en-US" w:eastAsia="zh-CN" w:bidi="ar"/>
              </w:rPr>
              <w:t>D类</w:t>
            </w:r>
          </w:p>
        </w:tc>
        <w:tc>
          <w:tcPr>
            <w:tcW w:w="756" w:type="dxa"/>
            <w:tcBorders>
              <w:top w:val="single" w:color="000000" w:sz="4" w:space="0"/>
              <w:left w:val="single" w:color="000000" w:sz="4" w:space="0"/>
              <w:right w:val="single" w:color="000000" w:sz="4" w:space="0"/>
            </w:tcBorders>
            <w:shd w:val="clear" w:color="auto" w:fill="auto"/>
            <w:noWrap/>
            <w:vAlign w:val="center"/>
          </w:tcPr>
          <w:p w14:paraId="1B5CD1F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w:t>
            </w:r>
          </w:p>
        </w:tc>
        <w:tc>
          <w:tcPr>
            <w:tcW w:w="1255" w:type="dxa"/>
            <w:vMerge w:val="restart"/>
            <w:tcBorders>
              <w:top w:val="single" w:color="000000" w:sz="4" w:space="0"/>
              <w:left w:val="single" w:color="000000" w:sz="4" w:space="0"/>
              <w:right w:val="single" w:color="000000" w:sz="4" w:space="0"/>
            </w:tcBorders>
            <w:shd w:val="clear" w:color="auto" w:fill="auto"/>
            <w:vAlign w:val="center"/>
          </w:tcPr>
          <w:p w14:paraId="22412B6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规划与发展工作委员会</w:t>
            </w:r>
          </w:p>
        </w:tc>
        <w:tc>
          <w:tcPr>
            <w:tcW w:w="2039" w:type="dxa"/>
            <w:tcBorders>
              <w:top w:val="single" w:color="000000" w:sz="4" w:space="0"/>
              <w:left w:val="single" w:color="000000" w:sz="4" w:space="0"/>
              <w:right w:val="single" w:color="000000" w:sz="4" w:space="0"/>
            </w:tcBorders>
            <w:shd w:val="clear" w:color="auto" w:fill="auto"/>
            <w:vAlign w:val="center"/>
          </w:tcPr>
          <w:p w14:paraId="76D0252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全民所有自然资源资产清查结果的应用评价体系研究</w:t>
            </w:r>
          </w:p>
        </w:tc>
        <w:tc>
          <w:tcPr>
            <w:tcW w:w="4327" w:type="dxa"/>
            <w:tcBorders>
              <w:top w:val="single" w:color="000000" w:sz="4" w:space="0"/>
              <w:left w:val="single" w:color="000000" w:sz="4" w:space="0"/>
              <w:right w:val="single" w:color="000000" w:sz="4" w:space="0"/>
            </w:tcBorders>
            <w:shd w:val="clear" w:color="auto" w:fill="auto"/>
            <w:vAlign w:val="center"/>
          </w:tcPr>
          <w:p w14:paraId="0DE742D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立足生态文明建设与自然资源资产管理改革需求，梳理自然资源资产清查成果应用需求，以清查实物量、价值量等数据为基础，构建评价体系与方法，明确成果在资源管理、经济评价、资产负债表、审计考核等领域的应用路径，提出相关制度机制建议，为清查成果全链条应用、提升资产管理水平提供方法工具与决策支撑。</w:t>
            </w:r>
          </w:p>
        </w:tc>
      </w:tr>
      <w:tr w14:paraId="0454E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223" w:hRule="atLeast"/>
          <w:tblHeader/>
          <w:jc w:val="center"/>
        </w:trPr>
        <w:tc>
          <w:tcPr>
            <w:tcW w:w="528" w:type="dxa"/>
            <w:vMerge w:val="continue"/>
            <w:tcBorders>
              <w:left w:val="single" w:color="000000" w:sz="4" w:space="0"/>
              <w:bottom w:val="single" w:color="000000" w:sz="4" w:space="0"/>
              <w:right w:val="single" w:color="000000" w:sz="4" w:space="0"/>
            </w:tcBorders>
            <w:shd w:val="clear" w:color="auto" w:fill="auto"/>
            <w:noWrap/>
            <w:vAlign w:val="center"/>
          </w:tcPr>
          <w:p w14:paraId="36F82B1C">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auto" w:sz="4" w:space="0"/>
              <w:left w:val="single" w:color="000000" w:sz="4" w:space="0"/>
              <w:bottom w:val="single" w:color="000000" w:sz="4" w:space="0"/>
              <w:right w:val="single" w:color="000000" w:sz="4" w:space="0"/>
            </w:tcBorders>
            <w:shd w:val="clear" w:color="auto" w:fill="auto"/>
            <w:noWrap/>
            <w:vAlign w:val="center"/>
          </w:tcPr>
          <w:p w14:paraId="34FC23B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2</w:t>
            </w:r>
          </w:p>
        </w:tc>
        <w:tc>
          <w:tcPr>
            <w:tcW w:w="1255" w:type="dxa"/>
            <w:vMerge w:val="continue"/>
            <w:tcBorders>
              <w:left w:val="single" w:color="000000" w:sz="4" w:space="0"/>
              <w:bottom w:val="single" w:color="auto" w:sz="4" w:space="0"/>
              <w:right w:val="single" w:color="000000" w:sz="4" w:space="0"/>
            </w:tcBorders>
            <w:shd w:val="clear" w:color="auto" w:fill="auto"/>
            <w:vAlign w:val="center"/>
          </w:tcPr>
          <w:p w14:paraId="74000EC6">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D133D5">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基础设施公募REITs发行所涉土地资产配置处置制度研究与土地估价机构的专业服务探索</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F54A2F">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梳理REITs发行土地合规要求，剖析典型项目，借鉴国企改制土地处置经验，针对划拨土地流转、地价显化等难点，提出制度优化建议；明确估价机构在尽职调查、价值评估等环节的服务边界与标准，形成研究报告及服务指引，完善制度供给与技术支撑。</w:t>
            </w:r>
          </w:p>
        </w:tc>
      </w:tr>
      <w:tr w14:paraId="7B621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restart"/>
            <w:tcBorders>
              <w:top w:val="single" w:color="000000" w:sz="4" w:space="0"/>
              <w:left w:val="single" w:color="000000" w:sz="4" w:space="0"/>
              <w:right w:val="single" w:color="000000" w:sz="4" w:space="0"/>
            </w:tcBorders>
            <w:shd w:val="clear" w:color="auto" w:fill="auto"/>
            <w:noWrap/>
            <w:vAlign w:val="center"/>
          </w:tcPr>
          <w:p w14:paraId="3D57EDBE">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default" w:ascii="仿宋" w:hAnsi="仿宋" w:eastAsia="仿宋" w:cs="仿宋"/>
                <w:b/>
                <w:bCs/>
                <w:i w:val="0"/>
                <w:iCs w:val="0"/>
                <w:color w:val="000000"/>
                <w:sz w:val="21"/>
                <w:szCs w:val="21"/>
                <w:highlight w:val="none"/>
                <w:u w:val="none"/>
                <w:lang w:val="en-US" w:eastAsia="zh-CN"/>
              </w:rPr>
            </w:pPr>
            <w:r>
              <w:rPr>
                <w:rFonts w:hint="eastAsia" w:cs="仿宋"/>
                <w:b/>
                <w:bCs/>
                <w:i w:val="0"/>
                <w:iCs w:val="0"/>
                <w:color w:val="000000"/>
                <w:sz w:val="21"/>
                <w:szCs w:val="21"/>
                <w:highlight w:val="none"/>
                <w:u w:val="none"/>
                <w:lang w:val="en-US" w:eastAsia="zh-CN"/>
              </w:rPr>
              <w:t>D类</w:t>
            </w: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9E76F">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3</w:t>
            </w:r>
          </w:p>
        </w:tc>
        <w:tc>
          <w:tcPr>
            <w:tcW w:w="1255" w:type="dxa"/>
            <w:tcBorders>
              <w:top w:val="single" w:color="auto" w:sz="4" w:space="0"/>
              <w:left w:val="single" w:color="000000" w:sz="4" w:space="0"/>
              <w:bottom w:val="single" w:color="auto" w:sz="4" w:space="0"/>
              <w:right w:val="single" w:color="000000" w:sz="4" w:space="0"/>
            </w:tcBorders>
            <w:shd w:val="clear" w:color="auto" w:fill="auto"/>
            <w:vAlign w:val="center"/>
          </w:tcPr>
          <w:p w14:paraId="4501CFBA">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规划与发展工作委员会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581C0">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土地储备专项债券实施方案编制优化研究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11C9DC">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针对收益自平衡论证不足、收储定价不规范、申报通过率低等问题，结合自然资源部相关政策，梳理各地编制经验与问题。依托土地估价专业优势，研究成本收入估算标准化方法，构建全国统一的收储定价规范框架，优化方案编制模板与技术指引，提升专项债项目合规性、收益可靠性与资金使用效率。</w:t>
            </w:r>
          </w:p>
        </w:tc>
      </w:tr>
      <w:tr w14:paraId="115EC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continue"/>
            <w:tcBorders>
              <w:left w:val="single" w:color="000000" w:sz="4" w:space="0"/>
              <w:right w:val="single" w:color="000000" w:sz="4" w:space="0"/>
            </w:tcBorders>
            <w:shd w:val="clear" w:color="auto" w:fill="auto"/>
            <w:noWrap/>
            <w:vAlign w:val="center"/>
          </w:tcPr>
          <w:p w14:paraId="0CFE2682">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14E3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4</w:t>
            </w:r>
          </w:p>
        </w:tc>
        <w:tc>
          <w:tcPr>
            <w:tcW w:w="1255" w:type="dxa"/>
            <w:vMerge w:val="restart"/>
            <w:tcBorders>
              <w:top w:val="single" w:color="auto" w:sz="4" w:space="0"/>
              <w:left w:val="single" w:color="000000" w:sz="4" w:space="0"/>
              <w:bottom w:val="single" w:color="auto" w:sz="4" w:space="0"/>
              <w:right w:val="single" w:color="000000" w:sz="4" w:space="0"/>
            </w:tcBorders>
            <w:shd w:val="clear" w:color="auto" w:fill="auto"/>
            <w:vAlign w:val="center"/>
          </w:tcPr>
          <w:p w14:paraId="255B9163">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教育培训工作委员会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63DED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湿地自然资本核算技术方法研究——以广东珠海淇澳-担杆岛省级自然保护区淇澳红树林湿地为例</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7510B5">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以珠海淇澳红树林湿地为案例开展研究，构建涵盖成本、效益、生态服务等核算指标体系与技术方案，开展实物量与价值量全链条核算，形成量化结果，旨在应用于生态补偿、损害赔偿、蓝碳交易、生态资产融资等场景，为生态产品价值实现提供技术支撑，同时推动土地估价行业向生态价值评估领域拓展。</w:t>
            </w:r>
          </w:p>
        </w:tc>
      </w:tr>
      <w:tr w14:paraId="5B321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continue"/>
            <w:tcBorders>
              <w:left w:val="single" w:color="000000" w:sz="4" w:space="0"/>
              <w:right w:val="single" w:color="000000" w:sz="4" w:space="0"/>
            </w:tcBorders>
            <w:shd w:val="clear" w:color="auto" w:fill="auto"/>
            <w:noWrap/>
            <w:vAlign w:val="center"/>
          </w:tcPr>
          <w:p w14:paraId="660944B8">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8291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5</w:t>
            </w:r>
          </w:p>
        </w:tc>
        <w:tc>
          <w:tcPr>
            <w:tcW w:w="1255" w:type="dxa"/>
            <w:vMerge w:val="continue"/>
            <w:tcBorders>
              <w:top w:val="single" w:color="auto" w:sz="4" w:space="0"/>
              <w:left w:val="single" w:color="000000" w:sz="4" w:space="0"/>
              <w:bottom w:val="single" w:color="auto" w:sz="4" w:space="0"/>
              <w:right w:val="single" w:color="000000" w:sz="4" w:space="0"/>
            </w:tcBorders>
            <w:shd w:val="clear" w:color="auto" w:fill="auto"/>
            <w:vAlign w:val="center"/>
          </w:tcPr>
          <w:p w14:paraId="03A279CE">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2C20B5">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土地增值收益研究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C46F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立足经济转型与土地制度改革背景，分析不同区域、类型土地增值规律，准确测算土地增值收益率，为税收征管、土地收益分配机制设计提供依据，为市场主体投资决策及REITs等金融产品定价提供支撑，为集体经营性建设用地入市等改革提供数据支撑，助力优化资源配置、推动乡村振兴与共同富裕。</w:t>
            </w:r>
          </w:p>
        </w:tc>
      </w:tr>
      <w:tr w14:paraId="7BF74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223" w:hRule="atLeast"/>
          <w:tblHeader/>
          <w:jc w:val="center"/>
        </w:trPr>
        <w:tc>
          <w:tcPr>
            <w:tcW w:w="528" w:type="dxa"/>
            <w:vMerge w:val="continue"/>
            <w:tcBorders>
              <w:left w:val="single" w:color="000000" w:sz="4" w:space="0"/>
              <w:right w:val="single" w:color="000000" w:sz="4" w:space="0"/>
            </w:tcBorders>
            <w:shd w:val="clear" w:color="auto" w:fill="auto"/>
            <w:noWrap/>
            <w:vAlign w:val="center"/>
          </w:tcPr>
          <w:p w14:paraId="18543BB9">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E88B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6</w:t>
            </w:r>
          </w:p>
        </w:tc>
        <w:tc>
          <w:tcPr>
            <w:tcW w:w="1255" w:type="dxa"/>
            <w:vMerge w:val="continue"/>
            <w:tcBorders>
              <w:top w:val="single" w:color="auto" w:sz="4" w:space="0"/>
              <w:left w:val="single" w:color="000000" w:sz="4" w:space="0"/>
              <w:bottom w:val="single" w:color="auto" w:sz="4" w:space="0"/>
              <w:right w:val="single" w:color="000000" w:sz="4" w:space="0"/>
            </w:tcBorders>
            <w:shd w:val="clear" w:color="auto" w:fill="auto"/>
            <w:vAlign w:val="center"/>
          </w:tcPr>
          <w:p w14:paraId="43249976">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D585F5">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43" w:author="云房数据闫旭东" w:date="2026-03-12T10:02:51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44" w:author="云房数据闫旭东" w:date="2026-03-12T10:02:51Z">
                  <w:rPr>
                    <w:rFonts w:hint="eastAsia" w:ascii="仿宋" w:hAnsi="仿宋" w:eastAsia="仿宋" w:cs="仿宋"/>
                    <w:i w:val="0"/>
                    <w:iCs w:val="0"/>
                    <w:color w:val="000000"/>
                    <w:kern w:val="0"/>
                    <w:sz w:val="21"/>
                    <w:szCs w:val="21"/>
                    <w:highlight w:val="none"/>
                    <w:u w:val="none"/>
                    <w:lang w:val="en-US" w:eastAsia="zh-CN" w:bidi="ar"/>
                  </w:rPr>
                </w:rPrChange>
              </w:rPr>
              <w:t>工、商业用地的土地续期评估研究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94209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45" w:author="云房数据闫旭东" w:date="2026-03-12T10:02:51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46" w:author="云房数据闫旭东" w:date="2026-03-12T10:02:51Z">
                  <w:rPr>
                    <w:rFonts w:hint="eastAsia" w:ascii="仿宋" w:hAnsi="仿宋" w:eastAsia="仿宋" w:cs="仿宋"/>
                    <w:i w:val="0"/>
                    <w:iCs w:val="0"/>
                    <w:color w:val="000000"/>
                    <w:kern w:val="0"/>
                    <w:sz w:val="21"/>
                    <w:szCs w:val="21"/>
                    <w:highlight w:val="none"/>
                    <w:u w:val="none"/>
                    <w:lang w:val="en-US" w:eastAsia="zh-CN" w:bidi="ar"/>
                  </w:rPr>
                </w:rPrChange>
              </w:rPr>
              <w:t>针对土地出让35年后大量工业、商业用地即将到期、续期法规滞后的现状，结合存量资产盘活与城市更新需求，研究土地续期的评估思路、技术方法与标准，为完善土地续期法规、健全评估规范提供技术支撑，服务城市更新、低效用地再开发与经济可持续发展。</w:t>
            </w:r>
          </w:p>
        </w:tc>
      </w:tr>
      <w:tr w14:paraId="24C64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55" w:hRule="atLeast"/>
          <w:tblHeader/>
          <w:jc w:val="center"/>
        </w:trPr>
        <w:tc>
          <w:tcPr>
            <w:tcW w:w="528" w:type="dxa"/>
            <w:vMerge w:val="continue"/>
            <w:tcBorders>
              <w:left w:val="single" w:color="000000" w:sz="4" w:space="0"/>
              <w:bottom w:val="single" w:color="000000" w:sz="4" w:space="0"/>
              <w:right w:val="single" w:color="000000" w:sz="4" w:space="0"/>
            </w:tcBorders>
            <w:shd w:val="clear" w:color="auto" w:fill="auto"/>
            <w:noWrap/>
            <w:vAlign w:val="center"/>
          </w:tcPr>
          <w:p w14:paraId="68EB19EA">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A17AD">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7</w:t>
            </w:r>
          </w:p>
        </w:tc>
        <w:tc>
          <w:tcPr>
            <w:tcW w:w="1255" w:type="dxa"/>
            <w:vMerge w:val="continue"/>
            <w:tcBorders>
              <w:top w:val="single" w:color="auto" w:sz="4" w:space="0"/>
              <w:left w:val="single" w:color="000000" w:sz="4" w:space="0"/>
              <w:bottom w:val="single" w:color="auto" w:sz="4" w:space="0"/>
              <w:right w:val="single" w:color="000000" w:sz="4" w:space="0"/>
            </w:tcBorders>
            <w:shd w:val="clear" w:color="auto" w:fill="auto"/>
            <w:vAlign w:val="center"/>
          </w:tcPr>
          <w:p w14:paraId="5B67DC78">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DA9B39">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基准地价、标定地价与地价监测体系的协同构建</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7114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立足国土空间治理与统一要素市场建设需求，依据相关用地分类指南，构建覆盖全类型土地权利的基准地价体系，推动基准地价、标定地价与地价监测体系深度联动，创新基准地价实时更新机制，破解时效性不足痛点，形成“全域覆盖—动态联动—实时更新”的现代化地价管理体系，为土地管理与市场调控提供支撑。</w:t>
            </w:r>
          </w:p>
        </w:tc>
      </w:tr>
      <w:tr w14:paraId="19BC5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119" w:hRule="atLeast"/>
          <w:tblHeader/>
          <w:jc w:val="center"/>
        </w:trPr>
        <w:tc>
          <w:tcPr>
            <w:tcW w:w="528" w:type="dxa"/>
            <w:vMerge w:val="restart"/>
            <w:tcBorders>
              <w:top w:val="single" w:color="000000" w:sz="4" w:space="0"/>
              <w:left w:val="single" w:color="000000" w:sz="4" w:space="0"/>
              <w:right w:val="single" w:color="000000" w:sz="4" w:space="0"/>
            </w:tcBorders>
            <w:shd w:val="clear" w:color="auto" w:fill="auto"/>
            <w:noWrap/>
            <w:vAlign w:val="center"/>
          </w:tcPr>
          <w:p w14:paraId="05401101">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default" w:ascii="仿宋" w:hAnsi="仿宋" w:eastAsia="仿宋" w:cs="仿宋"/>
                <w:b/>
                <w:bCs/>
                <w:i w:val="0"/>
                <w:iCs w:val="0"/>
                <w:color w:val="000000"/>
                <w:sz w:val="21"/>
                <w:szCs w:val="21"/>
                <w:highlight w:val="none"/>
                <w:u w:val="none"/>
                <w:lang w:val="en-US" w:eastAsia="zh-CN"/>
              </w:rPr>
            </w:pPr>
            <w:r>
              <w:rPr>
                <w:rFonts w:hint="eastAsia" w:cs="仿宋"/>
                <w:b/>
                <w:bCs/>
                <w:i w:val="0"/>
                <w:iCs w:val="0"/>
                <w:color w:val="000000"/>
                <w:sz w:val="21"/>
                <w:szCs w:val="21"/>
                <w:highlight w:val="none"/>
                <w:u w:val="none"/>
                <w:lang w:val="en-US" w:eastAsia="zh-CN"/>
              </w:rPr>
              <w:t>D类</w:t>
            </w: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ECC7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8</w:t>
            </w:r>
          </w:p>
        </w:tc>
        <w:tc>
          <w:tcPr>
            <w:tcW w:w="1255" w:type="dxa"/>
            <w:tcBorders>
              <w:top w:val="single" w:color="auto" w:sz="4" w:space="0"/>
              <w:left w:val="single" w:color="000000" w:sz="4" w:space="0"/>
              <w:bottom w:val="single" w:color="000000" w:sz="4" w:space="0"/>
              <w:right w:val="single" w:color="000000" w:sz="4" w:space="0"/>
            </w:tcBorders>
            <w:shd w:val="clear" w:color="auto" w:fill="auto"/>
            <w:noWrap/>
            <w:vAlign w:val="center"/>
          </w:tcPr>
          <w:p w14:paraId="4C30EA61">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技术标准工作委员会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68CD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47" w:author="云房数据闫旭东" w:date="2026-03-12T10:03:04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48" w:author="云房数据闫旭东" w:date="2026-03-12T10:03:04Z">
                  <w:rPr>
                    <w:rFonts w:hint="eastAsia" w:ascii="仿宋" w:hAnsi="仿宋" w:eastAsia="仿宋" w:cs="仿宋"/>
                    <w:i w:val="0"/>
                    <w:iCs w:val="0"/>
                    <w:color w:val="000000"/>
                    <w:kern w:val="0"/>
                    <w:sz w:val="21"/>
                    <w:szCs w:val="21"/>
                    <w:highlight w:val="none"/>
                    <w:u w:val="none"/>
                    <w:lang w:val="en-US" w:eastAsia="zh-CN" w:bidi="ar"/>
                  </w:rPr>
                </w:rPrChange>
              </w:rPr>
              <w:t>自然资源数据资产评估方法研究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663B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49" w:author="云房数据闫旭东" w:date="2026-03-12T10:03:04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50" w:author="云房数据闫旭东" w:date="2026-03-12T10:03:04Z">
                  <w:rPr>
                    <w:rFonts w:hint="eastAsia" w:ascii="仿宋" w:hAnsi="仿宋" w:eastAsia="仿宋" w:cs="仿宋"/>
                    <w:i w:val="0"/>
                    <w:iCs w:val="0"/>
                    <w:color w:val="000000"/>
                    <w:kern w:val="0"/>
                    <w:sz w:val="21"/>
                    <w:szCs w:val="21"/>
                    <w:highlight w:val="none"/>
                    <w:u w:val="none"/>
                    <w:lang w:val="en-US" w:eastAsia="zh-CN" w:bidi="ar"/>
                  </w:rPr>
                </w:rPrChange>
              </w:rPr>
              <w:t>随着数字中国战略的深入推进，为落实自然资源统一管理、推动生态产品价值实现，构建科学可操作的自然资源数据资产评估方法体系。研究目标为明确自然资源数据资产属性、权益，建立综合价值评估框架；研究不同类型数据资产评估方法，突破自然资源数据资产在重大场景中的价值转化机制，以及对数据资产全生命周期的技术规范与质量进行要求，形成研究报告及《自然资源数据资产评估方法指引（草案）》，助力实现数据驱动的高水平自然资源治理与绿色低碳发展。</w:t>
            </w:r>
          </w:p>
        </w:tc>
      </w:tr>
      <w:tr w14:paraId="5DC4D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55" w:hRule="atLeast"/>
          <w:tblHeader/>
          <w:jc w:val="center"/>
        </w:trPr>
        <w:tc>
          <w:tcPr>
            <w:tcW w:w="528" w:type="dxa"/>
            <w:vMerge w:val="continue"/>
            <w:tcBorders>
              <w:left w:val="single" w:color="000000" w:sz="4" w:space="0"/>
              <w:right w:val="single" w:color="000000" w:sz="4" w:space="0"/>
            </w:tcBorders>
            <w:shd w:val="clear" w:color="auto" w:fill="auto"/>
            <w:noWrap/>
            <w:vAlign w:val="center"/>
          </w:tcPr>
          <w:p w14:paraId="7578999A">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D9C68">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9</w:t>
            </w:r>
          </w:p>
        </w:tc>
        <w:tc>
          <w:tcPr>
            <w:tcW w:w="1255" w:type="dxa"/>
            <w:vMerge w:val="restart"/>
            <w:tcBorders>
              <w:top w:val="single" w:color="000000" w:sz="4" w:space="0"/>
              <w:left w:val="single" w:color="000000" w:sz="4" w:space="0"/>
              <w:right w:val="single" w:color="000000" w:sz="4" w:space="0"/>
            </w:tcBorders>
            <w:shd w:val="clear" w:color="auto" w:fill="auto"/>
            <w:vAlign w:val="center"/>
          </w:tcPr>
          <w:p w14:paraId="32F8BCC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学术专业工作委员会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E1FF0">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51" w:author="云房数据闫旭东" w:date="2026-03-12T10:03:10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52" w:author="云房数据闫旭东" w:date="2026-03-12T10:03:10Z">
                  <w:rPr>
                    <w:rFonts w:hint="eastAsia" w:ascii="仿宋" w:hAnsi="仿宋" w:eastAsia="仿宋" w:cs="仿宋"/>
                    <w:i w:val="0"/>
                    <w:iCs w:val="0"/>
                    <w:color w:val="000000"/>
                    <w:kern w:val="0"/>
                    <w:sz w:val="21"/>
                    <w:szCs w:val="21"/>
                    <w:highlight w:val="none"/>
                    <w:u w:val="none"/>
                    <w:lang w:val="en-US" w:eastAsia="zh-CN" w:bidi="ar"/>
                  </w:rPr>
                </w:rPrChange>
              </w:rPr>
              <w:t>自然资源资产整体价值评估的实践性研究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A7508">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53" w:author="云房数据闫旭东" w:date="2026-03-12T10:03:10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54" w:author="云房数据闫旭东" w:date="2026-03-12T10:03:10Z">
                  <w:rPr>
                    <w:rFonts w:hint="eastAsia" w:ascii="仿宋" w:hAnsi="仿宋" w:eastAsia="仿宋" w:cs="仿宋"/>
                    <w:i w:val="0"/>
                    <w:iCs w:val="0"/>
                    <w:color w:val="000000"/>
                    <w:kern w:val="0"/>
                    <w:sz w:val="21"/>
                    <w:szCs w:val="21"/>
                    <w:highlight w:val="none"/>
                    <w:u w:val="none"/>
                    <w:lang w:val="en-US" w:eastAsia="zh-CN" w:bidi="ar"/>
                  </w:rPr>
                </w:rPrChange>
              </w:rPr>
              <w:t>针对当前单一资源评估、缺乏系统性整体评估等问题，构建科学可行的整体价值评估框架，明确范围、内容、方法与技术路径。选取典型案例开展实证分析，验证方法有效性与可操作性，研究评估结果在区域资源配置中的应用机制，探索生态产品价值实现路径，为优化资源配置、推动生态产品价值实现提供理论支撑与决策参考。</w:t>
            </w:r>
          </w:p>
        </w:tc>
      </w:tr>
      <w:tr w14:paraId="5C999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55" w:hRule="atLeast"/>
          <w:tblHeader/>
          <w:jc w:val="center"/>
        </w:trPr>
        <w:tc>
          <w:tcPr>
            <w:tcW w:w="528" w:type="dxa"/>
            <w:vMerge w:val="continue"/>
            <w:tcBorders>
              <w:left w:val="single" w:color="000000" w:sz="4" w:space="0"/>
              <w:right w:val="single" w:color="000000" w:sz="4" w:space="0"/>
            </w:tcBorders>
            <w:shd w:val="clear" w:color="auto" w:fill="auto"/>
            <w:noWrap/>
            <w:vAlign w:val="center"/>
          </w:tcPr>
          <w:p w14:paraId="58699A7F">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A673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10</w:t>
            </w:r>
          </w:p>
        </w:tc>
        <w:tc>
          <w:tcPr>
            <w:tcW w:w="1255" w:type="dxa"/>
            <w:vMerge w:val="continue"/>
            <w:tcBorders>
              <w:left w:val="single" w:color="000000" w:sz="4" w:space="0"/>
              <w:right w:val="single" w:color="000000" w:sz="4" w:space="0"/>
            </w:tcBorders>
            <w:shd w:val="clear" w:color="auto" w:fill="auto"/>
            <w:vAlign w:val="center"/>
          </w:tcPr>
          <w:p w14:paraId="2573E821">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D316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土地生态服务价值评估研究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5F403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针对现有土地评估偏重经济价值、忽视生态价值的问题，开展土地生态服务价值评估研究。梳理理论与方法，构建评估指标体系；研究碳汇、水源涵养、生物多样性等功能的货币化路径，建立量化模型；探索将生态服务价值纳入土地价格评估体系的方式，形成新评估模型；通过案例实证验证成果，为土地生态化管理与可持续利用提供决策支撑。</w:t>
            </w:r>
          </w:p>
        </w:tc>
      </w:tr>
      <w:tr w14:paraId="306FB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continue"/>
            <w:tcBorders>
              <w:left w:val="single" w:color="000000" w:sz="4" w:space="0"/>
              <w:bottom w:val="single" w:color="000000" w:sz="4" w:space="0"/>
              <w:right w:val="single" w:color="000000" w:sz="4" w:space="0"/>
            </w:tcBorders>
            <w:shd w:val="clear" w:color="auto" w:fill="auto"/>
            <w:noWrap/>
            <w:vAlign w:val="center"/>
          </w:tcPr>
          <w:p w14:paraId="6B0153C5">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7F802CE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11</w:t>
            </w:r>
          </w:p>
        </w:tc>
        <w:tc>
          <w:tcPr>
            <w:tcW w:w="1255" w:type="dxa"/>
            <w:vMerge w:val="continue"/>
            <w:tcBorders>
              <w:left w:val="single" w:color="000000" w:sz="4" w:space="0"/>
              <w:bottom w:val="single" w:color="auto" w:sz="4" w:space="0"/>
              <w:right w:val="single" w:color="000000" w:sz="4" w:space="0"/>
            </w:tcBorders>
            <w:shd w:val="clear" w:color="auto" w:fill="auto"/>
            <w:vAlign w:val="center"/>
          </w:tcPr>
          <w:p w14:paraId="07322002">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auto" w:sz="4" w:space="0"/>
              <w:right w:val="single" w:color="000000" w:sz="4" w:space="0"/>
            </w:tcBorders>
            <w:shd w:val="clear" w:color="auto" w:fill="auto"/>
            <w:vAlign w:val="center"/>
          </w:tcPr>
          <w:p w14:paraId="730112D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55" w:author="云房数据闫旭东" w:date="2026-03-12T10:03:17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56" w:author="云房数据闫旭东" w:date="2026-03-12T10:03:17Z">
                  <w:rPr>
                    <w:rFonts w:hint="eastAsia" w:ascii="仿宋" w:hAnsi="仿宋" w:eastAsia="仿宋" w:cs="仿宋"/>
                    <w:i w:val="0"/>
                    <w:iCs w:val="0"/>
                    <w:color w:val="000000"/>
                    <w:kern w:val="0"/>
                    <w:sz w:val="21"/>
                    <w:szCs w:val="21"/>
                    <w:highlight w:val="none"/>
                    <w:u w:val="none"/>
                    <w:lang w:val="en-US" w:eastAsia="zh-CN" w:bidi="ar"/>
                  </w:rPr>
                </w:rPrChange>
              </w:rPr>
              <w:t>自然资本核算路径与方法研究</w:t>
            </w:r>
          </w:p>
        </w:tc>
        <w:tc>
          <w:tcPr>
            <w:tcW w:w="4327" w:type="dxa"/>
            <w:tcBorders>
              <w:top w:val="single" w:color="000000" w:sz="4" w:space="0"/>
              <w:left w:val="single" w:color="000000" w:sz="4" w:space="0"/>
              <w:bottom w:val="single" w:color="auto" w:sz="4" w:space="0"/>
              <w:right w:val="single" w:color="000000" w:sz="4" w:space="0"/>
            </w:tcBorders>
            <w:shd w:val="clear" w:color="auto" w:fill="auto"/>
            <w:vAlign w:val="center"/>
          </w:tcPr>
          <w:p w14:paraId="45D5DC8C">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57" w:author="云房数据闫旭东" w:date="2026-03-12T10:03:17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58" w:author="云房数据闫旭东" w:date="2026-03-12T10:03:17Z">
                  <w:rPr>
                    <w:rFonts w:hint="eastAsia" w:ascii="仿宋" w:hAnsi="仿宋" w:eastAsia="仿宋" w:cs="仿宋"/>
                    <w:i w:val="0"/>
                    <w:iCs w:val="0"/>
                    <w:color w:val="000000"/>
                    <w:kern w:val="0"/>
                    <w:sz w:val="21"/>
                    <w:szCs w:val="21"/>
                    <w:highlight w:val="none"/>
                    <w:u w:val="none"/>
                    <w:lang w:val="en-US" w:eastAsia="zh-CN" w:bidi="ar"/>
                  </w:rPr>
                </w:rPrChange>
              </w:rPr>
              <w:t>针对当前自然资本概念界定不统一、方法碎片化等问题，立足国家政策与资源管理实际，构建适配我国国情的自然资本核算体系。厘清核心概念逻辑、优化核算方法、编制实操成果并试点验证，提出推广建议，助力成果应用于资产负债表编制、生态价值转化等工作，推动生态与经济协同发展。</w:t>
            </w:r>
          </w:p>
        </w:tc>
      </w:tr>
      <w:tr w14:paraId="490F8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41" w:hRule="atLeast"/>
          <w:tblHeader/>
          <w:jc w:val="center"/>
        </w:trPr>
        <w:tc>
          <w:tcPr>
            <w:tcW w:w="528" w:type="dxa"/>
            <w:vMerge w:val="restart"/>
            <w:tcBorders>
              <w:top w:val="single" w:color="000000" w:sz="4" w:space="0"/>
              <w:left w:val="single" w:color="000000" w:sz="4" w:space="0"/>
              <w:right w:val="single" w:color="000000" w:sz="4" w:space="0"/>
            </w:tcBorders>
            <w:shd w:val="clear" w:color="auto" w:fill="auto"/>
            <w:noWrap/>
            <w:vAlign w:val="center"/>
          </w:tcPr>
          <w:p w14:paraId="3607D216">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default" w:ascii="仿宋" w:hAnsi="仿宋" w:eastAsia="仿宋" w:cs="仿宋"/>
                <w:b/>
                <w:bCs/>
                <w:i w:val="0"/>
                <w:iCs w:val="0"/>
                <w:color w:val="000000"/>
                <w:sz w:val="21"/>
                <w:szCs w:val="21"/>
                <w:highlight w:val="none"/>
                <w:u w:val="none"/>
                <w:lang w:val="en-US" w:eastAsia="zh-CN"/>
              </w:rPr>
            </w:pPr>
            <w:r>
              <w:rPr>
                <w:rFonts w:hint="eastAsia" w:cs="仿宋"/>
                <w:b/>
                <w:bCs/>
                <w:i w:val="0"/>
                <w:iCs w:val="0"/>
                <w:color w:val="000000"/>
                <w:sz w:val="21"/>
                <w:szCs w:val="21"/>
                <w:highlight w:val="none"/>
                <w:u w:val="none"/>
                <w:lang w:val="en-US" w:eastAsia="zh-CN"/>
              </w:rPr>
              <w:t>D类</w:t>
            </w:r>
          </w:p>
        </w:tc>
        <w:tc>
          <w:tcPr>
            <w:tcW w:w="756" w:type="dxa"/>
            <w:tcBorders>
              <w:top w:val="single" w:color="auto" w:sz="4" w:space="0"/>
              <w:left w:val="single" w:color="000000" w:sz="4" w:space="0"/>
              <w:bottom w:val="single" w:color="000000" w:sz="4" w:space="0"/>
              <w:right w:val="single" w:color="000000" w:sz="4" w:space="0"/>
            </w:tcBorders>
            <w:shd w:val="clear" w:color="auto" w:fill="auto"/>
            <w:noWrap/>
            <w:vAlign w:val="center"/>
          </w:tcPr>
          <w:p w14:paraId="64DCADA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12</w:t>
            </w:r>
          </w:p>
        </w:tc>
        <w:tc>
          <w:tcPr>
            <w:tcW w:w="1255" w:type="dxa"/>
            <w:vMerge w:val="restart"/>
            <w:tcBorders>
              <w:top w:val="single" w:color="auto" w:sz="4" w:space="0"/>
              <w:left w:val="single" w:color="000000" w:sz="4" w:space="0"/>
              <w:right w:val="single" w:color="000000" w:sz="4" w:space="0"/>
            </w:tcBorders>
            <w:shd w:val="clear" w:color="auto" w:fill="auto"/>
            <w:vAlign w:val="center"/>
          </w:tcPr>
          <w:p w14:paraId="062B20C5">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学术专业工作委员会</w:t>
            </w:r>
          </w:p>
        </w:tc>
        <w:tc>
          <w:tcPr>
            <w:tcW w:w="2039" w:type="dxa"/>
            <w:tcBorders>
              <w:top w:val="single" w:color="auto" w:sz="4" w:space="0"/>
              <w:left w:val="single" w:color="000000" w:sz="4" w:space="0"/>
              <w:bottom w:val="single" w:color="000000" w:sz="4" w:space="0"/>
              <w:right w:val="single" w:color="000000" w:sz="4" w:space="0"/>
            </w:tcBorders>
            <w:shd w:val="clear" w:color="auto" w:fill="auto"/>
            <w:vAlign w:val="center"/>
          </w:tcPr>
          <w:p w14:paraId="0658D508">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自然资源资产组合配置路径优化研究</w:t>
            </w:r>
          </w:p>
        </w:tc>
        <w:tc>
          <w:tcPr>
            <w:tcW w:w="4327" w:type="dxa"/>
            <w:tcBorders>
              <w:top w:val="single" w:color="auto" w:sz="4" w:space="0"/>
              <w:left w:val="single" w:color="000000" w:sz="4" w:space="0"/>
              <w:bottom w:val="single" w:color="000000" w:sz="4" w:space="0"/>
              <w:right w:val="single" w:color="000000" w:sz="4" w:space="0"/>
            </w:tcBorders>
            <w:shd w:val="clear" w:color="auto" w:fill="auto"/>
            <w:vAlign w:val="center"/>
          </w:tcPr>
          <w:p w14:paraId="1BA8422C">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针对当前自然资源资产组合配置模式单一、标准不一等痛点，立足国家战略与地方实践需求开展研究。构建适配不同区域的多要素组合配置模式，补齐地方实践中的标准、协同等短板，推动配置政策与产业发展、生态价值实现衔接，建立全周期监管与收益分配长效机制，提炼可复制推广路径，助力自然资源高效可持续利用。</w:t>
            </w:r>
          </w:p>
        </w:tc>
      </w:tr>
      <w:tr w14:paraId="6D3AA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855" w:hRule="atLeast"/>
          <w:tblHeader/>
          <w:jc w:val="center"/>
        </w:trPr>
        <w:tc>
          <w:tcPr>
            <w:tcW w:w="528" w:type="dxa"/>
            <w:vMerge w:val="continue"/>
            <w:tcBorders>
              <w:left w:val="single" w:color="000000" w:sz="4" w:space="0"/>
              <w:right w:val="single" w:color="000000" w:sz="4" w:space="0"/>
            </w:tcBorders>
            <w:shd w:val="clear" w:color="auto" w:fill="auto"/>
            <w:noWrap/>
            <w:vAlign w:val="center"/>
          </w:tcPr>
          <w:p w14:paraId="7F340058">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C3924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13</w:t>
            </w:r>
          </w:p>
        </w:tc>
        <w:tc>
          <w:tcPr>
            <w:tcW w:w="1255" w:type="dxa"/>
            <w:vMerge w:val="continue"/>
            <w:tcBorders>
              <w:left w:val="single" w:color="000000" w:sz="4" w:space="0"/>
              <w:bottom w:val="single" w:color="000000" w:sz="4" w:space="0"/>
              <w:right w:val="single" w:color="000000" w:sz="4" w:space="0"/>
            </w:tcBorders>
            <w:shd w:val="clear" w:color="auto" w:fill="auto"/>
            <w:vAlign w:val="center"/>
          </w:tcPr>
          <w:p w14:paraId="08C43C98">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0CD515">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基于地方实践的全域土地综合整治路径优化研究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B184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针对全域土地综合整治面临的适配性不足、机制不完善等问题，立足国家政策与地方实践开展研究。构建全要素统筹整治模式，提升区域适配性；破解地方实践中标准、协同、资金、社会参与等瓶颈；推动整治工作与乡村振兴政策有效衔接；构建长效保障机制，提炼可复制、可推广的优化路径，为土地综合整治提质增效提供支撑。</w:t>
            </w:r>
          </w:p>
        </w:tc>
      </w:tr>
      <w:tr w14:paraId="470A2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906" w:hRule="atLeast"/>
          <w:tblHeader/>
          <w:jc w:val="center"/>
        </w:trPr>
        <w:tc>
          <w:tcPr>
            <w:tcW w:w="528" w:type="dxa"/>
            <w:vMerge w:val="continue"/>
            <w:tcBorders>
              <w:left w:val="single" w:color="000000" w:sz="4" w:space="0"/>
              <w:right w:val="single" w:color="000000" w:sz="4" w:space="0"/>
            </w:tcBorders>
            <w:shd w:val="clear" w:color="auto" w:fill="auto"/>
            <w:noWrap/>
            <w:vAlign w:val="center"/>
          </w:tcPr>
          <w:p w14:paraId="33BE5827">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D5656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14</w:t>
            </w:r>
          </w:p>
        </w:tc>
        <w:tc>
          <w:tcPr>
            <w:tcW w:w="125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7B5E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不动产登记代理工作委员会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39517C">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二手房不动产登记一站式服务指引研究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EB58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通过明确二手房不动产登记服务流程、材料审核、风险防控、责任边界等内容，防范虚假登记、信息泄露等风险，沉淀行业实操经验，规范市场秩序，提升行业公信力与服务水平，研究形成可落地的服务指引。</w:t>
            </w:r>
          </w:p>
        </w:tc>
      </w:tr>
      <w:tr w14:paraId="42CA8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continue"/>
            <w:tcBorders>
              <w:left w:val="single" w:color="000000" w:sz="4" w:space="0"/>
              <w:right w:val="single" w:color="000000" w:sz="4" w:space="0"/>
            </w:tcBorders>
            <w:shd w:val="clear" w:color="auto" w:fill="auto"/>
            <w:noWrap/>
            <w:vAlign w:val="center"/>
          </w:tcPr>
          <w:p w14:paraId="024E2BAB">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8F1E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15</w:t>
            </w:r>
          </w:p>
        </w:tc>
        <w:tc>
          <w:tcPr>
            <w:tcW w:w="1255" w:type="dxa"/>
            <w:vMerge w:val="restart"/>
            <w:tcBorders>
              <w:top w:val="single" w:color="000000" w:sz="4" w:space="0"/>
              <w:left w:val="single" w:color="000000" w:sz="4" w:space="0"/>
              <w:right w:val="single" w:color="000000" w:sz="4" w:space="0"/>
            </w:tcBorders>
            <w:shd w:val="clear" w:color="auto" w:fill="auto"/>
            <w:vAlign w:val="center"/>
          </w:tcPr>
          <w:p w14:paraId="6AAC70A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信息技术工作委员会</w:t>
            </w: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60514F">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自然资源资产数据要素市场化配置机制研究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72CCC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针对自然资源资产数据要素市场化配置机制缺失、价值挖掘不足、流通不畅等问题，构建科学的市场化配置框架，打通数据要素流通堵点，释放自然资源经济价值。开展试点地区落地应用，扩大数据要素交易规模，形成行业标准，为全国省级数据交易平台规范化运营提供支撑，服务国家数据要素市场建设。</w:t>
            </w:r>
          </w:p>
        </w:tc>
      </w:tr>
      <w:tr w14:paraId="59211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39" w:hRule="atLeast"/>
          <w:tblHeader/>
          <w:jc w:val="center"/>
        </w:trPr>
        <w:tc>
          <w:tcPr>
            <w:tcW w:w="528" w:type="dxa"/>
            <w:vMerge w:val="continue"/>
            <w:tcBorders>
              <w:left w:val="single" w:color="000000" w:sz="4" w:space="0"/>
              <w:bottom w:val="single" w:color="000000" w:sz="4" w:space="0"/>
              <w:right w:val="single" w:color="000000" w:sz="4" w:space="0"/>
            </w:tcBorders>
            <w:shd w:val="clear" w:color="auto" w:fill="auto"/>
            <w:noWrap/>
            <w:vAlign w:val="center"/>
          </w:tcPr>
          <w:p w14:paraId="4AA0E717">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auto" w:sz="4" w:space="0"/>
              <w:right w:val="single" w:color="000000" w:sz="4" w:space="0"/>
            </w:tcBorders>
            <w:shd w:val="clear" w:color="auto" w:fill="auto"/>
            <w:noWrap/>
            <w:vAlign w:val="center"/>
          </w:tcPr>
          <w:p w14:paraId="5A644CEE">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16</w:t>
            </w:r>
          </w:p>
        </w:tc>
        <w:tc>
          <w:tcPr>
            <w:tcW w:w="1255" w:type="dxa"/>
            <w:vMerge w:val="continue"/>
            <w:tcBorders>
              <w:left w:val="single" w:color="000000" w:sz="4" w:space="0"/>
              <w:bottom w:val="single" w:color="auto" w:sz="4" w:space="0"/>
              <w:right w:val="single" w:color="000000" w:sz="4" w:space="0"/>
            </w:tcBorders>
            <w:shd w:val="clear" w:color="auto" w:fill="auto"/>
            <w:vAlign w:val="center"/>
          </w:tcPr>
          <w:p w14:paraId="57628F31">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auto" w:sz="4" w:space="0"/>
              <w:right w:val="single" w:color="000000" w:sz="4" w:space="0"/>
            </w:tcBorders>
            <w:shd w:val="clear" w:color="auto" w:fill="auto"/>
            <w:vAlign w:val="center"/>
          </w:tcPr>
          <w:p w14:paraId="61EFCFFB">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基于隐私计算与区块链驱动的自然资源数据要素可信流通技术研究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A2A78A">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研究构建覆盖自然资源确权、流转、使用、监管等数据要素的可信流通技术框架，探索建立标准化评价与治理机制。形成技术体系模型、验证性原型平台及应用指标体系，并在典型场景落地应用，实现数据“可用不可见”，确保流通安全可控、权责可追溯，推动自然资源数据合规高效流通，释放数据要素价值。</w:t>
            </w:r>
          </w:p>
        </w:tc>
      </w:tr>
      <w:tr w14:paraId="0FF39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909" w:hRule="atLeast"/>
          <w:tblHeader/>
          <w:jc w:val="center"/>
        </w:trPr>
        <w:tc>
          <w:tcPr>
            <w:tcW w:w="528" w:type="dxa"/>
            <w:vMerge w:val="restart"/>
            <w:tcBorders>
              <w:top w:val="single" w:color="000000" w:sz="4" w:space="0"/>
              <w:left w:val="single" w:color="000000" w:sz="4" w:space="0"/>
              <w:right w:val="single" w:color="000000" w:sz="4" w:space="0"/>
            </w:tcBorders>
            <w:shd w:val="clear" w:color="auto" w:fill="auto"/>
            <w:noWrap/>
            <w:vAlign w:val="center"/>
          </w:tcPr>
          <w:p w14:paraId="569D81B2">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default" w:ascii="仿宋" w:hAnsi="仿宋" w:eastAsia="仿宋" w:cs="仿宋"/>
                <w:b/>
                <w:bCs/>
                <w:i w:val="0"/>
                <w:iCs w:val="0"/>
                <w:color w:val="000000"/>
                <w:sz w:val="21"/>
                <w:szCs w:val="21"/>
                <w:highlight w:val="none"/>
                <w:u w:val="none"/>
                <w:lang w:val="en-US" w:eastAsia="zh-CN"/>
              </w:rPr>
            </w:pPr>
            <w:bookmarkStart w:id="0" w:name="_GoBack" w:colFirst="3" w:colLast="4"/>
            <w:r>
              <w:rPr>
                <w:rFonts w:hint="eastAsia" w:cs="仿宋"/>
                <w:b/>
                <w:bCs/>
                <w:i w:val="0"/>
                <w:iCs w:val="0"/>
                <w:color w:val="000000"/>
                <w:sz w:val="21"/>
                <w:szCs w:val="21"/>
                <w:highlight w:val="none"/>
                <w:u w:val="none"/>
                <w:lang w:val="en-US" w:eastAsia="zh-CN"/>
              </w:rPr>
              <w:t>D类</w:t>
            </w:r>
          </w:p>
        </w:tc>
        <w:tc>
          <w:tcPr>
            <w:tcW w:w="756" w:type="dxa"/>
            <w:tcBorders>
              <w:top w:val="single" w:color="auto" w:sz="4" w:space="0"/>
              <w:left w:val="single" w:color="000000" w:sz="4" w:space="0"/>
              <w:bottom w:val="single" w:color="000000" w:sz="4" w:space="0"/>
              <w:right w:val="single" w:color="000000" w:sz="4" w:space="0"/>
            </w:tcBorders>
            <w:shd w:val="clear" w:color="auto" w:fill="auto"/>
            <w:noWrap/>
            <w:vAlign w:val="center"/>
          </w:tcPr>
          <w:p w14:paraId="723EE3C4">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17</w:t>
            </w:r>
          </w:p>
        </w:tc>
        <w:tc>
          <w:tcPr>
            <w:tcW w:w="1255" w:type="dxa"/>
            <w:vMerge w:val="restart"/>
            <w:tcBorders>
              <w:top w:val="single" w:color="auto" w:sz="4" w:space="0"/>
              <w:left w:val="single" w:color="000000" w:sz="4" w:space="0"/>
              <w:right w:val="single" w:color="000000" w:sz="4" w:space="0"/>
            </w:tcBorders>
            <w:shd w:val="clear" w:color="auto" w:fill="auto"/>
            <w:vAlign w:val="center"/>
          </w:tcPr>
          <w:p w14:paraId="5AC9DE36">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信息技术工作委员会</w:t>
            </w:r>
          </w:p>
        </w:tc>
        <w:tc>
          <w:tcPr>
            <w:tcW w:w="2039" w:type="dxa"/>
            <w:tcBorders>
              <w:top w:val="single" w:color="auto" w:sz="4" w:space="0"/>
              <w:left w:val="single" w:color="000000" w:sz="4" w:space="0"/>
              <w:bottom w:val="single" w:color="000000" w:sz="4" w:space="0"/>
              <w:right w:val="single" w:color="000000" w:sz="4" w:space="0"/>
            </w:tcBorders>
            <w:shd w:val="clear" w:color="auto" w:fill="auto"/>
            <w:vAlign w:val="center"/>
          </w:tcPr>
          <w:p w14:paraId="102EF57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cyan"/>
                <w:u w:val="none"/>
                <w:rPrChange w:id="59" w:author="云房数据闫旭东" w:date="2026-03-12T10:03:35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60" w:author="云房数据闫旭东" w:date="2026-03-12T10:03:35Z">
                  <w:rPr>
                    <w:rFonts w:hint="eastAsia" w:ascii="仿宋" w:hAnsi="仿宋" w:eastAsia="仿宋" w:cs="仿宋"/>
                    <w:i w:val="0"/>
                    <w:iCs w:val="0"/>
                    <w:color w:val="000000"/>
                    <w:kern w:val="0"/>
                    <w:sz w:val="21"/>
                    <w:szCs w:val="21"/>
                    <w:highlight w:val="none"/>
                    <w:u w:val="none"/>
                    <w:lang w:val="en-US" w:eastAsia="zh-CN" w:bidi="ar"/>
                  </w:rPr>
                </w:rPrChange>
              </w:rPr>
              <w:t>不动产市场动态预测与风险预警大模型技术研究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EFE476">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cyan"/>
                <w:u w:val="none"/>
                <w:rPrChange w:id="61" w:author="云房数据闫旭东" w:date="2026-03-12T10:03:35Z">
                  <w:rPr>
                    <w:rFonts w:hint="eastAsia" w:ascii="仿宋" w:hAnsi="仿宋" w:eastAsia="仿宋" w:cs="仿宋"/>
                    <w:i w:val="0"/>
                    <w:iCs w:val="0"/>
                    <w:color w:val="000000"/>
                    <w:sz w:val="21"/>
                    <w:szCs w:val="21"/>
                    <w:highlight w:val="none"/>
                    <w:u w:val="none"/>
                  </w:rPr>
                </w:rPrChange>
              </w:rPr>
            </w:pPr>
            <w:r>
              <w:rPr>
                <w:rFonts w:hint="eastAsia" w:ascii="仿宋" w:hAnsi="仿宋" w:eastAsia="仿宋" w:cs="仿宋"/>
                <w:i w:val="0"/>
                <w:iCs w:val="0"/>
                <w:color w:val="000000"/>
                <w:kern w:val="0"/>
                <w:sz w:val="21"/>
                <w:szCs w:val="21"/>
                <w:highlight w:val="cyan"/>
                <w:u w:val="none"/>
                <w:lang w:val="en-US" w:eastAsia="zh-CN" w:bidi="ar"/>
                <w:rPrChange w:id="62" w:author="云房数据闫旭东" w:date="2026-03-12T10:03:35Z">
                  <w:rPr>
                    <w:rFonts w:hint="eastAsia" w:ascii="仿宋" w:hAnsi="仿宋" w:eastAsia="仿宋" w:cs="仿宋"/>
                    <w:i w:val="0"/>
                    <w:iCs w:val="0"/>
                    <w:color w:val="000000"/>
                    <w:kern w:val="0"/>
                    <w:sz w:val="21"/>
                    <w:szCs w:val="21"/>
                    <w:highlight w:val="none"/>
                    <w:u w:val="none"/>
                    <w:lang w:val="en-US" w:eastAsia="zh-CN" w:bidi="ar"/>
                  </w:rPr>
                </w:rPrChange>
              </w:rPr>
              <w:t>开展不动产市场动态预测与风险预警大模型技术研究，融合多源数据处理与区块链可信存证，提升市场预测与智能预警能力；开发不动产市场动态预测与风险预警大模型，对接省级自然资源部门，实现风险监测、金融风控等场景应用。</w:t>
            </w:r>
          </w:p>
        </w:tc>
      </w:tr>
      <w:bookmarkEnd w:id="0"/>
      <w:tr w14:paraId="511A0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90" w:hRule="atLeast"/>
          <w:tblHeader/>
          <w:jc w:val="center"/>
        </w:trPr>
        <w:tc>
          <w:tcPr>
            <w:tcW w:w="528" w:type="dxa"/>
            <w:vMerge w:val="continue"/>
            <w:tcBorders>
              <w:left w:val="single" w:color="000000" w:sz="4" w:space="0"/>
              <w:bottom w:val="single" w:color="000000" w:sz="4" w:space="0"/>
              <w:right w:val="single" w:color="000000" w:sz="4" w:space="0"/>
            </w:tcBorders>
            <w:shd w:val="clear" w:color="auto" w:fill="auto"/>
            <w:noWrap/>
            <w:vAlign w:val="center"/>
          </w:tcPr>
          <w:p w14:paraId="5A4A6961">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b/>
                <w:bCs/>
                <w:i w:val="0"/>
                <w:iCs w:val="0"/>
                <w:color w:val="000000"/>
                <w:sz w:val="21"/>
                <w:szCs w:val="21"/>
                <w:highlight w:val="none"/>
                <w:u w:val="none"/>
              </w:rPr>
            </w:pPr>
          </w:p>
        </w:tc>
        <w:tc>
          <w:tcPr>
            <w:tcW w:w="7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39635">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i w:val="0"/>
                <w:iCs w:val="0"/>
                <w:color w:val="000000"/>
                <w:sz w:val="21"/>
                <w:szCs w:val="21"/>
                <w:highlight w:val="none"/>
                <w:u w:val="none"/>
              </w:rPr>
            </w:pPr>
            <w:r>
              <w:rPr>
                <w:rFonts w:hint="eastAsia" w:cs="仿宋"/>
                <w:i w:val="0"/>
                <w:iCs w:val="0"/>
                <w:color w:val="000000"/>
                <w:kern w:val="0"/>
                <w:sz w:val="21"/>
                <w:szCs w:val="21"/>
                <w:highlight w:val="none"/>
                <w:u w:val="none"/>
                <w:lang w:val="en-US" w:eastAsia="zh-CN" w:bidi="ar"/>
              </w:rPr>
              <w:t>D</w:t>
            </w:r>
            <w:r>
              <w:rPr>
                <w:rFonts w:hint="eastAsia" w:ascii="仿宋" w:hAnsi="仿宋" w:eastAsia="仿宋" w:cs="仿宋"/>
                <w:i w:val="0"/>
                <w:iCs w:val="0"/>
                <w:color w:val="000000"/>
                <w:kern w:val="0"/>
                <w:sz w:val="21"/>
                <w:szCs w:val="21"/>
                <w:highlight w:val="none"/>
                <w:u w:val="none"/>
                <w:lang w:val="en-US" w:eastAsia="zh-CN" w:bidi="ar"/>
              </w:rPr>
              <w:t>18</w:t>
            </w:r>
          </w:p>
        </w:tc>
        <w:tc>
          <w:tcPr>
            <w:tcW w:w="1255" w:type="dxa"/>
            <w:vMerge w:val="continue"/>
            <w:tcBorders>
              <w:left w:val="single" w:color="000000" w:sz="4" w:space="0"/>
              <w:bottom w:val="single" w:color="000000" w:sz="4" w:space="0"/>
              <w:right w:val="single" w:color="000000" w:sz="4" w:space="0"/>
            </w:tcBorders>
            <w:shd w:val="clear" w:color="auto" w:fill="auto"/>
            <w:vAlign w:val="center"/>
          </w:tcPr>
          <w:p w14:paraId="106B9163">
            <w:pPr>
              <w:keepNext w:val="0"/>
              <w:keepLines w:val="0"/>
              <w:pageBreakBefore w:val="0"/>
              <w:shd w:val="clear"/>
              <w:kinsoku/>
              <w:wordWrap/>
              <w:overflowPunct/>
              <w:topLinePunct w:val="0"/>
              <w:autoSpaceDE/>
              <w:autoSpaceDN/>
              <w:bidi w:val="0"/>
              <w:adjustRightInd/>
              <w:snapToGrid/>
              <w:spacing w:line="240" w:lineRule="auto"/>
              <w:ind w:firstLine="0" w:firstLineChars="0"/>
              <w:jc w:val="center"/>
              <w:rPr>
                <w:rFonts w:hint="eastAsia" w:ascii="仿宋" w:hAnsi="仿宋" w:eastAsia="仿宋" w:cs="仿宋"/>
                <w:i w:val="0"/>
                <w:iCs w:val="0"/>
                <w:color w:val="000000"/>
                <w:sz w:val="21"/>
                <w:szCs w:val="21"/>
                <w:highlight w:val="none"/>
                <w:u w:val="none"/>
              </w:rPr>
            </w:pPr>
          </w:p>
        </w:tc>
        <w:tc>
          <w:tcPr>
            <w:tcW w:w="20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2F062">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left"/>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区块链驱动的估值全流程可信存证与跨部门协同机制研究</w:t>
            </w:r>
          </w:p>
        </w:tc>
        <w:tc>
          <w:tcPr>
            <w:tcW w:w="43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0616D">
            <w:pPr>
              <w:keepNext w:val="0"/>
              <w:keepLines w:val="0"/>
              <w:pageBreakBefore w:val="0"/>
              <w:widowControl/>
              <w:suppressLineNumbers w:val="0"/>
              <w:shd w:val="clear"/>
              <w:kinsoku/>
              <w:wordWrap/>
              <w:overflowPunct/>
              <w:topLinePunct w:val="0"/>
              <w:autoSpaceDE/>
              <w:autoSpaceDN/>
              <w:bidi w:val="0"/>
              <w:adjustRightInd/>
              <w:snapToGrid/>
              <w:spacing w:line="240" w:lineRule="auto"/>
              <w:ind w:firstLine="0" w:firstLineChars="0"/>
              <w:jc w:val="both"/>
              <w:textAlignment w:val="center"/>
              <w:rPr>
                <w:rFonts w:hint="eastAsia" w:ascii="仿宋" w:hAnsi="仿宋" w:eastAsia="仿宋" w:cs="仿宋"/>
                <w:i w:val="0"/>
                <w:iCs w:val="0"/>
                <w:color w:val="000000"/>
                <w:sz w:val="21"/>
                <w:szCs w:val="21"/>
                <w:highlight w:val="none"/>
                <w:u w:val="none"/>
              </w:rPr>
            </w:pPr>
            <w:r>
              <w:rPr>
                <w:rFonts w:hint="eastAsia" w:ascii="仿宋" w:hAnsi="仿宋" w:eastAsia="仿宋" w:cs="仿宋"/>
                <w:i w:val="0"/>
                <w:iCs w:val="0"/>
                <w:color w:val="000000"/>
                <w:kern w:val="0"/>
                <w:sz w:val="21"/>
                <w:szCs w:val="21"/>
                <w:highlight w:val="none"/>
                <w:u w:val="none"/>
                <w:lang w:val="en-US" w:eastAsia="zh-CN" w:bidi="ar"/>
              </w:rPr>
              <w:t>研究搭建自然资源资产估价区块链中枢平台，实现估价材料上链存证、数据跨部门共享，优化业务流程，并制定行业标准，推动全国估价机构接入，形成可信数据共享生态。</w:t>
            </w:r>
          </w:p>
        </w:tc>
      </w:tr>
    </w:tbl>
    <w:p w14:paraId="35AD45E9">
      <w:pPr>
        <w:ind w:left="0" w:leftChars="0" w:firstLine="0" w:firstLineChars="0"/>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32A10">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E673C">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D2E673C">
                    <w:pPr>
                      <w:pStyle w:val="3"/>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云房数据闫旭东">
    <w15:presenceInfo w15:providerId="WPS Office" w15:userId="7556076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4F7D65"/>
    <w:rsid w:val="505A06F3"/>
    <w:rsid w:val="5A7E5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39" w:firstLineChars="200"/>
      <w:jc w:val="both"/>
    </w:pPr>
    <w:rPr>
      <w:rFonts w:ascii="仿宋" w:hAnsi="仿宋" w:eastAsia="仿宋" w:cstheme="minorBidi"/>
      <w:kern w:val="2"/>
      <w:sz w:val="32"/>
      <w:szCs w:val="24"/>
      <w:lang w:val="en-US" w:eastAsia="zh-CN" w:bidi="ar-SA"/>
    </w:rPr>
  </w:style>
  <w:style w:type="paragraph" w:styleId="2">
    <w:name w:val="heading 2"/>
    <w:basedOn w:val="1"/>
    <w:next w:val="1"/>
    <w:unhideWhenUsed/>
    <w:qFormat/>
    <w:uiPriority w:val="0"/>
    <w:pPr>
      <w:spacing w:before="0" w:beforeAutospacing="0" w:after="0" w:afterAutospacing="0" w:line="360" w:lineRule="auto"/>
      <w:jc w:val="both"/>
      <w:outlineLvl w:val="1"/>
    </w:pPr>
    <w:rPr>
      <w:rFonts w:hint="eastAsia" w:ascii="宋体" w:hAnsi="宋体" w:eastAsia="楷体" w:cs="宋体"/>
      <w:bCs/>
      <w:kern w:val="0"/>
      <w:szCs w:val="36"/>
      <w:lang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2743</Words>
  <Characters>2776</Characters>
  <Lines>0</Lines>
  <Paragraphs>0</Paragraphs>
  <TotalTime>14</TotalTime>
  <ScaleCrop>false</ScaleCrop>
  <LinksUpToDate>false</LinksUpToDate>
  <CharactersWithSpaces>2779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2026-03-10T07:51:00Z</dcterms:created>
  <dc:creator>嘀</dc:creator>
  <cp:lastModifiedBy>云房数据闫旭东</cp:lastModifiedBy>
  <dcterms:modified xsi:type="dcterms:W3CDTF">2026-03-12T02:04:10Z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eyJoZGlkIjoiMTA4YjgyMjA2ZDRjMWQ4ZmQ5ZWVhMGUyYzk0N2I1MGUiLCJ1c2VySWQiOiIxMjc3NjY3NDg2In0=</vt:lpwstr>
  </property>
  <property fmtid="{D5CDD505-2E9C-101B-9397-08002B2CF9AE}" pid="4" name="ICV">
    <vt:lpwstr>49FB619F5570413F90A65A4D14FC37CA_12</vt:lpwstr>
  </property>
</Properties>
</file>