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drawings/drawing1.xml" ContentType="application/vnd.openxmlformats-officedocument.drawingml.chartshapes+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drawings/drawing2.xml" ContentType="application/vnd.openxmlformats-officedocument.drawingml.chartshapes+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drawings/drawing3.xml" ContentType="application/vnd.openxmlformats-officedocument.drawingml.chartshapes+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drawings/drawing4.xml" ContentType="application/vnd.openxmlformats-officedocument.drawingml.chartshapes+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drawings/drawing5.xml" ContentType="application/vnd.openxmlformats-officedocument.drawingml.chartshapes+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drawings/drawing6.xml" ContentType="application/vnd.openxmlformats-officedocument.drawingml.chartshapes+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drawings/drawing7.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7913" w:rsidRDefault="00C47913" w:rsidP="00C47913">
      <w:bookmarkStart w:id="0" w:name="_GoBack"/>
      <w:bookmarkEnd w:id="0"/>
    </w:p>
    <w:p w:rsidR="00C47913" w:rsidRDefault="00C47913" w:rsidP="00C47913"/>
    <w:p w:rsidR="00C47913" w:rsidRDefault="00C47913" w:rsidP="00C47913"/>
    <w:p w:rsidR="00C47913" w:rsidRDefault="00C47913" w:rsidP="00C47913">
      <w:r>
        <w:rPr>
          <w:noProof/>
        </w:rPr>
        <mc:AlternateContent>
          <mc:Choice Requires="wps">
            <w:drawing>
              <wp:anchor distT="45720" distB="45720" distL="114300" distR="114300" simplePos="0" relativeHeight="251660288" behindDoc="0" locked="0" layoutInCell="1" allowOverlap="1" wp14:anchorId="571CB3D3" wp14:editId="032B8963">
                <wp:simplePos x="0" y="0"/>
                <wp:positionH relativeFrom="margin">
                  <wp:align>left</wp:align>
                </wp:positionH>
                <wp:positionV relativeFrom="paragraph">
                  <wp:posOffset>6985</wp:posOffset>
                </wp:positionV>
                <wp:extent cx="3784600" cy="2444750"/>
                <wp:effectExtent l="0" t="0" r="635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4600" cy="2444750"/>
                        </a:xfrm>
                        <a:prstGeom prst="rect">
                          <a:avLst/>
                        </a:prstGeom>
                        <a:solidFill>
                          <a:srgbClr val="FFFFFF"/>
                        </a:solidFill>
                        <a:ln w="9525">
                          <a:noFill/>
                          <a:miter lim="800000"/>
                          <a:headEnd/>
                          <a:tailEnd/>
                        </a:ln>
                      </wps:spPr>
                      <wps:txbx>
                        <w:txbxContent>
                          <w:p w:rsidR="00C47913" w:rsidRDefault="00C47913" w:rsidP="00C47913">
                            <w:pPr>
                              <w:pStyle w:val="Title"/>
                            </w:pPr>
                            <w:r>
                              <w:t>Population Classification</w:t>
                            </w:r>
                          </w:p>
                          <w:p w:rsidR="00C47913" w:rsidRDefault="00C47913" w:rsidP="00C47913"/>
                          <w:p w:rsidR="00C47913" w:rsidRDefault="00C47913" w:rsidP="00C47913">
                            <w:r>
                              <w:t>Matthew Alter</w:t>
                            </w:r>
                          </w:p>
                          <w:p w:rsidR="00C47913" w:rsidRDefault="00C47913" w:rsidP="00C47913">
                            <w:r>
                              <w:t>Christopher Gagen</w:t>
                            </w:r>
                          </w:p>
                          <w:p w:rsidR="00C47913" w:rsidRDefault="00C47913" w:rsidP="00C47913">
                            <w:r>
                              <w:t>George Sirbu</w:t>
                            </w:r>
                          </w:p>
                          <w:p w:rsidR="00C47913" w:rsidRPr="00D06223" w:rsidRDefault="00C47913" w:rsidP="00C47913">
                            <w:r>
                              <w:t>Emerging Analytics, VBC – Analytics Center of Excellence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1CB3D3" id="_x0000_t202" coordsize="21600,21600" o:spt="202" path="m,l,21600r21600,l21600,xe">
                <v:stroke joinstyle="miter"/>
                <v:path gradientshapeok="t" o:connecttype="rect"/>
              </v:shapetype>
              <v:shape id="Text Box 2" o:spid="_x0000_s1026" type="#_x0000_t202" style="position:absolute;margin-left:0;margin-top:.55pt;width:298pt;height:192.5pt;z-index:2516602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" stroked="f">
                <v:textbox>
                  <w:txbxContent>
                    <w:p w:rsidR="00C47913" w:rsidRDefault="00C47913" w:rsidP="00C47913">
                      <w:pPr>
                        <w:pStyle w:val="Title"/>
                      </w:pPr>
                      <w:r>
                        <w:t>Population Classification</w:t>
                      </w:r>
                    </w:p>
                    <w:p w:rsidR="00C47913" w:rsidRDefault="00C47913" w:rsidP="00C47913"/>
                    <w:p w:rsidR="00C47913" w:rsidRDefault="00C47913" w:rsidP="00C47913">
                      <w:r>
                        <w:t>Matthew Alter</w:t>
                      </w:r>
                    </w:p>
                    <w:p w:rsidR="00C47913" w:rsidRDefault="00C47913" w:rsidP="00C47913">
                      <w:r>
                        <w:t>Christopher Gagen</w:t>
                      </w:r>
                    </w:p>
                    <w:p w:rsidR="00C47913" w:rsidRDefault="00C47913" w:rsidP="00C47913">
                      <w:r>
                        <w:t>George Sirbu</w:t>
                      </w:r>
                    </w:p>
                    <w:p w:rsidR="00C47913" w:rsidRPr="00D06223" w:rsidRDefault="00C47913" w:rsidP="00C47913">
                      <w:r>
                        <w:t>Emerging Analytics, VBC – Analytics Center of Excellence</w:t>
                      </w:r>
                    </w:p>
                  </w:txbxContent>
                </v:textbox>
                <w10:wrap type="square" anchorx="margin"/>
              </v:shape>
            </w:pict>
          </mc:Fallback>
        </mc:AlternateContent>
      </w:r>
    </w:p>
    <w:p w:rsidR="00C47913" w:rsidRDefault="00C47913" w:rsidP="00C47913"/>
    <w:p w:rsidR="00C47913" w:rsidRDefault="00C47913" w:rsidP="00C47913"/>
    <w:p w:rsidR="00C47913" w:rsidRDefault="00C47913" w:rsidP="00C47913"/>
    <w:p w:rsidR="00C47913" w:rsidRDefault="00C47913" w:rsidP="00C47913"/>
    <w:p w:rsidR="00C47913" w:rsidRPr="00D06223" w:rsidRDefault="00C47913" w:rsidP="00C47913">
      <w:pPr>
        <w:pStyle w:val="Title"/>
      </w:pPr>
    </w:p>
    <w:p w:rsidR="00C47913" w:rsidRDefault="00C47913" w:rsidP="00C47913"/>
    <w:p w:rsidR="00C47913" w:rsidRDefault="00C47913" w:rsidP="00C47913"/>
    <w:p w:rsidR="00C47913" w:rsidRDefault="00C47913" w:rsidP="00C47913">
      <w:r>
        <w:rPr>
          <w:noProof/>
        </w:rPr>
        <w:drawing>
          <wp:anchor distT="0" distB="0" distL="114300" distR="114300" simplePos="0" relativeHeight="251659264" behindDoc="0" locked="0" layoutInCell="1" allowOverlap="1" wp14:anchorId="38424560" wp14:editId="616C465F">
            <wp:simplePos x="0" y="0"/>
            <wp:positionH relativeFrom="column">
              <wp:posOffset>899160</wp:posOffset>
            </wp:positionH>
            <wp:positionV relativeFrom="page">
              <wp:posOffset>4388485</wp:posOffset>
            </wp:positionV>
            <wp:extent cx="5949315" cy="459930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949315" cy="4599305"/>
                    </a:xfrm>
                    <a:prstGeom prst="rect">
                      <a:avLst/>
                    </a:prstGeom>
                  </pic:spPr>
                </pic:pic>
              </a:graphicData>
            </a:graphic>
            <wp14:sizeRelV relativeFrom="margin">
              <wp14:pctHeight>0</wp14:pctHeight>
            </wp14:sizeRelV>
          </wp:anchor>
        </w:drawing>
      </w:r>
    </w:p>
    <w:p w:rsidR="00C47913" w:rsidRPr="003F686B" w:rsidRDefault="00C47913" w:rsidP="00C47913">
      <w:pPr>
        <w:pStyle w:val="Subtitle"/>
      </w:pPr>
      <w:r w:rsidRPr="003F686B">
        <w:lastRenderedPageBreak/>
        <w:t>Abstract</w:t>
      </w:r>
    </w:p>
    <w:p w:rsidR="00286D77" w:rsidRPr="003F686B" w:rsidRDefault="006A3EF4" w:rsidP="00286D77">
      <w:pPr>
        <w:spacing w:after="0"/>
      </w:pPr>
      <w:r w:rsidRPr="003F686B">
        <w:t xml:space="preserve">The Population Classification model </w:t>
      </w:r>
      <w:r w:rsidR="00286D77" w:rsidRPr="003F686B">
        <w:t xml:space="preserve">(PopClass) </w:t>
      </w:r>
      <w:r w:rsidRPr="003F686B">
        <w:t xml:space="preserve">aims to categorize a population into 10 mutually exclusive groups based on care intervention needs.  </w:t>
      </w:r>
      <w:r w:rsidR="00286D77" w:rsidRPr="003F686B">
        <w:t xml:space="preserve">PopClass intention was to go beyond simply identifying patients by high cost or high risk, but instead by similar care needs from a clinical perspective.  This would make it easier for care providers to segment their populations for resource allocations and care consideration.  Over time a patient could move through multiple buckets depending on how their health changes and that would be reflected in the model. </w:t>
      </w:r>
    </w:p>
    <w:p w:rsidR="00286D77" w:rsidRPr="003F686B" w:rsidRDefault="00286D77" w:rsidP="00286D77">
      <w:pPr>
        <w:spacing w:after="0"/>
      </w:pPr>
    </w:p>
    <w:p w:rsidR="00286D77" w:rsidRPr="003F686B" w:rsidRDefault="00286D77" w:rsidP="00286D77">
      <w:pPr>
        <w:spacing w:after="0"/>
      </w:pPr>
      <w:r w:rsidRPr="003F686B">
        <w:t>PopClass</w:t>
      </w:r>
      <w:r w:rsidR="006A3EF4" w:rsidRPr="003F686B">
        <w:t xml:space="preserve"> was created with a commercial population sample from MarketScan using complete claims data – IP, OP, Rx, and eligibility data.  The claims-based model used a supervised decision tree approach for 7 categories and rule-based logic for the more specific 3 remaining categories.  The supervised training labels were created with </w:t>
      </w:r>
      <w:r w:rsidR="004F0872" w:rsidRPr="003F686B">
        <w:t>Subject Matter Expert (SME)</w:t>
      </w:r>
      <w:r w:rsidR="006A3EF4" w:rsidRPr="003F686B">
        <w:t xml:space="preserve"> clinical review of 345 patients.  There were 59 variables considered for decision tree modelling, of which 10 variables were ultimately considered significant for the classification of the 7 categories.  The claims based model is ready for implementation and use for clients with claims data.  </w:t>
      </w:r>
    </w:p>
    <w:p w:rsidR="005E6D59" w:rsidRPr="003F686B" w:rsidRDefault="005E6D59" w:rsidP="00286D77">
      <w:pPr>
        <w:spacing w:after="0"/>
      </w:pPr>
    </w:p>
    <w:p w:rsidR="001B2947" w:rsidRPr="003F686B" w:rsidRDefault="005E6D59" w:rsidP="00286D77">
      <w:pPr>
        <w:spacing w:after="0"/>
      </w:pPr>
      <w:r w:rsidRPr="003F686B">
        <w:t xml:space="preserve">Ultimately ten variables were used to categorize the </w:t>
      </w:r>
      <w:r w:rsidR="00892261" w:rsidRPr="003F686B">
        <w:t xml:space="preserve">patients.  These variables were calculated from fields that would available in a client’s claims data.  </w:t>
      </w:r>
      <w:r w:rsidR="001B2947" w:rsidRPr="003F686B">
        <w:t>The thresholds for the variables were used in various combinations to separate the patient population into their various buckets.</w:t>
      </w:r>
    </w:p>
    <w:p w:rsidR="001B2947" w:rsidRPr="003F686B" w:rsidRDefault="001B2947" w:rsidP="00286D77">
      <w:pPr>
        <w:spacing w:after="0"/>
      </w:pPr>
    </w:p>
    <w:p w:rsidR="00892261" w:rsidRPr="003F686B" w:rsidRDefault="00892261" w:rsidP="00286D77">
      <w:pPr>
        <w:spacing w:after="0"/>
      </w:pPr>
      <w:r w:rsidRPr="003F686B">
        <w:t>The ten variables are:</w:t>
      </w:r>
    </w:p>
    <w:p w:rsidR="00892261" w:rsidRPr="003F686B" w:rsidRDefault="00892261" w:rsidP="00892261">
      <w:pPr>
        <w:pStyle w:val="ListParagraph"/>
        <w:numPr>
          <w:ilvl w:val="0"/>
          <w:numId w:val="1"/>
        </w:numPr>
        <w:spacing w:after="0"/>
      </w:pPr>
      <w:r w:rsidRPr="003F686B">
        <w:t>Number of days since any prior hospital admission</w:t>
      </w:r>
    </w:p>
    <w:p w:rsidR="00892261" w:rsidRPr="003F686B" w:rsidRDefault="00892261" w:rsidP="00892261">
      <w:pPr>
        <w:pStyle w:val="ListParagraph"/>
        <w:numPr>
          <w:ilvl w:val="0"/>
          <w:numId w:val="1"/>
        </w:numPr>
        <w:spacing w:after="0"/>
      </w:pPr>
      <w:r w:rsidRPr="003F686B">
        <w:t>Number of admissions in the last 3 months</w:t>
      </w:r>
    </w:p>
    <w:p w:rsidR="00892261" w:rsidRPr="003F686B" w:rsidRDefault="00892261" w:rsidP="00892261">
      <w:pPr>
        <w:pStyle w:val="ListParagraph"/>
        <w:numPr>
          <w:ilvl w:val="0"/>
          <w:numId w:val="1"/>
        </w:numPr>
        <w:spacing w:after="0"/>
      </w:pPr>
      <w:r w:rsidRPr="003F686B">
        <w:t>Count of conditions that are both chronic and significant over the last 12 months, utilizes Disease Staging to map ICD-9-CM and ICD-10-CM codes to determine significance</w:t>
      </w:r>
    </w:p>
    <w:p w:rsidR="00892261" w:rsidRPr="003F686B" w:rsidRDefault="00892261" w:rsidP="00892261">
      <w:pPr>
        <w:pStyle w:val="ListParagraph"/>
        <w:numPr>
          <w:ilvl w:val="0"/>
          <w:numId w:val="1"/>
        </w:numPr>
        <w:spacing w:after="0"/>
      </w:pPr>
      <w:r w:rsidRPr="003F686B">
        <w:t>Count6mChronicStage3 – Count of Conditions that are both Chronic and severe in the Past 6 months.</w:t>
      </w:r>
    </w:p>
    <w:p w:rsidR="00892261" w:rsidRPr="003F686B" w:rsidRDefault="00892261" w:rsidP="00892261">
      <w:pPr>
        <w:pStyle w:val="ListParagraph"/>
        <w:numPr>
          <w:ilvl w:val="0"/>
          <w:numId w:val="1"/>
        </w:numPr>
        <w:spacing w:after="0"/>
      </w:pPr>
      <w:r w:rsidRPr="003F686B">
        <w:t>Count of emergency room visits for chronic conditions in the past 6 months.</w:t>
      </w:r>
    </w:p>
    <w:p w:rsidR="00892261" w:rsidRPr="003F686B" w:rsidRDefault="001B2947" w:rsidP="00892261">
      <w:pPr>
        <w:pStyle w:val="ListParagraph"/>
        <w:numPr>
          <w:ilvl w:val="0"/>
          <w:numId w:val="1"/>
        </w:numPr>
        <w:spacing w:after="0"/>
      </w:pPr>
      <w:r w:rsidRPr="003F686B">
        <w:t>Days since last major emergency room visit.</w:t>
      </w:r>
    </w:p>
    <w:p w:rsidR="001B2947" w:rsidRPr="003F686B" w:rsidRDefault="001B2947" w:rsidP="001B2947">
      <w:pPr>
        <w:pStyle w:val="ListParagraph"/>
        <w:numPr>
          <w:ilvl w:val="0"/>
          <w:numId w:val="1"/>
        </w:numPr>
        <w:spacing w:after="0"/>
      </w:pPr>
      <w:r w:rsidRPr="003F686B">
        <w:t>Count of office visits over the past 12 months.</w:t>
      </w:r>
    </w:p>
    <w:p w:rsidR="001B2947" w:rsidRPr="003F686B" w:rsidRDefault="001B2947" w:rsidP="001B2947">
      <w:pPr>
        <w:pStyle w:val="ListParagraph"/>
        <w:numPr>
          <w:ilvl w:val="0"/>
          <w:numId w:val="1"/>
        </w:numPr>
        <w:spacing w:after="0"/>
      </w:pPr>
      <w:r w:rsidRPr="003F686B">
        <w:t>Sum of the days supply of prescription medications over the past 3 months.</w:t>
      </w:r>
    </w:p>
    <w:p w:rsidR="001B2947" w:rsidRPr="003F686B" w:rsidRDefault="001B2947" w:rsidP="001B2947">
      <w:pPr>
        <w:pStyle w:val="ListParagraph"/>
        <w:numPr>
          <w:ilvl w:val="0"/>
          <w:numId w:val="1"/>
        </w:numPr>
        <w:spacing w:after="0"/>
      </w:pPr>
      <w:r w:rsidRPr="003F686B">
        <w:t>Sum of the days supply of opiate prescription drugs medications the past 3 months.</w:t>
      </w:r>
    </w:p>
    <w:p w:rsidR="001B2947" w:rsidRPr="003F686B" w:rsidRDefault="001B2947" w:rsidP="001B2947">
      <w:pPr>
        <w:pStyle w:val="ListParagraph"/>
        <w:numPr>
          <w:ilvl w:val="0"/>
          <w:numId w:val="1"/>
        </w:numPr>
        <w:spacing w:after="0"/>
      </w:pPr>
      <w:r w:rsidRPr="003F686B">
        <w:t>Count of unique intermediate therapeutic drug classes with at least one chronic drug over the past 6 months as defined in REDBOOK®.</w:t>
      </w:r>
    </w:p>
    <w:p w:rsidR="008F0D34" w:rsidRPr="003F686B" w:rsidRDefault="008F0D34" w:rsidP="008F0D34">
      <w:pPr>
        <w:spacing w:after="0"/>
      </w:pPr>
    </w:p>
    <w:p w:rsidR="008F0D34" w:rsidRPr="003F686B" w:rsidRDefault="008F0D34" w:rsidP="008F0D34">
      <w:pPr>
        <w:spacing w:after="0"/>
      </w:pPr>
      <w:r w:rsidRPr="003F686B">
        <w:t xml:space="preserve">The model applies Truven Health Disease Staging® classification system for various variables.  This system helps determine a major event (stage 3 or higher) and if the condition is chronic or acute.  Output from the Disease Staging classification is used by eight of the ten buckets in the model.  </w:t>
      </w:r>
    </w:p>
    <w:p w:rsidR="00286D77" w:rsidRPr="003F686B" w:rsidRDefault="00286D77" w:rsidP="00286D77">
      <w:pPr>
        <w:spacing w:after="0"/>
      </w:pPr>
    </w:p>
    <w:p w:rsidR="00D42444" w:rsidRPr="003F686B" w:rsidRDefault="00D42444" w:rsidP="00286D77">
      <w:pPr>
        <w:spacing w:after="0"/>
      </w:pPr>
    </w:p>
    <w:p w:rsidR="00D50776" w:rsidRPr="003F686B" w:rsidRDefault="00A7129B" w:rsidP="00C47913">
      <w:pPr>
        <w:pStyle w:val="Subtitle"/>
      </w:pPr>
      <w:r w:rsidRPr="003F686B">
        <w:t>Model</w:t>
      </w:r>
    </w:p>
    <w:p w:rsidR="00A7129B" w:rsidRPr="003F686B" w:rsidRDefault="00C47913" w:rsidP="00AA5930">
      <w:pPr>
        <w:spacing w:after="0"/>
      </w:pPr>
      <w:r w:rsidRPr="003F686B">
        <w:t>A Su</w:t>
      </w:r>
      <w:r w:rsidR="004F0872" w:rsidRPr="003F686B">
        <w:t xml:space="preserve">pervised </w:t>
      </w:r>
      <w:r w:rsidR="00787AD2" w:rsidRPr="003F686B">
        <w:t xml:space="preserve">Decision Tree Model was picked for </w:t>
      </w:r>
      <w:r w:rsidRPr="003F686B">
        <w:t xml:space="preserve">accuracy, </w:t>
      </w:r>
      <w:r w:rsidR="00787AD2" w:rsidRPr="003F686B">
        <w:t>interpretability and to allow for expert in</w:t>
      </w:r>
      <w:r w:rsidR="005D50E6" w:rsidRPr="003F686B">
        <w:t xml:space="preserve">put. </w:t>
      </w:r>
      <w:r w:rsidRPr="003F686B">
        <w:t>A sample</w:t>
      </w:r>
      <w:r w:rsidR="005D50E6" w:rsidRPr="003F686B">
        <w:t xml:space="preserve"> </w:t>
      </w:r>
      <w:r w:rsidRPr="003F686B">
        <w:t xml:space="preserve">of </w:t>
      </w:r>
      <w:r w:rsidR="005D50E6" w:rsidRPr="003F686B">
        <w:t xml:space="preserve">345 patient </w:t>
      </w:r>
      <w:r w:rsidRPr="003F686B">
        <w:t xml:space="preserve">and their medical </w:t>
      </w:r>
      <w:r w:rsidR="005D50E6" w:rsidRPr="003F686B">
        <w:t>records</w:t>
      </w:r>
      <w:r w:rsidRPr="003F686B">
        <w:t xml:space="preserve"> over </w:t>
      </w:r>
      <w:r w:rsidR="00D42444" w:rsidRPr="003F686B">
        <w:t>one-year</w:t>
      </w:r>
      <w:r w:rsidRPr="003F686B">
        <w:t xml:space="preserve"> timespan</w:t>
      </w:r>
      <w:r w:rsidR="005D50E6" w:rsidRPr="003F686B">
        <w:t xml:space="preserve"> were analyzed </w:t>
      </w:r>
      <w:r w:rsidR="00823B6F" w:rsidRPr="003F686B">
        <w:t xml:space="preserve">by </w:t>
      </w:r>
      <w:r w:rsidR="004F0872" w:rsidRPr="003F686B">
        <w:t>SMEs</w:t>
      </w:r>
      <w:r w:rsidR="00823B6F" w:rsidRPr="003F686B">
        <w:t xml:space="preserve"> to </w:t>
      </w:r>
      <w:r w:rsidR="00823B6F" w:rsidRPr="003F686B">
        <w:lastRenderedPageBreak/>
        <w:t xml:space="preserve">develop a training set.  The distribution within the training set </w:t>
      </w:r>
      <w:r w:rsidR="00D42444" w:rsidRPr="003F686B">
        <w:t xml:space="preserve">was more balanced than general population </w:t>
      </w:r>
      <w:r w:rsidR="00823B6F" w:rsidRPr="003F686B">
        <w:t>as some buckets</w:t>
      </w:r>
      <w:r w:rsidR="00D42444" w:rsidRPr="003F686B">
        <w:t xml:space="preserve"> with lower prevalence like </w:t>
      </w:r>
      <w:r w:rsidR="00823B6F" w:rsidRPr="003F686B">
        <w:t>Crisis Management were very small</w:t>
      </w:r>
      <w:r w:rsidR="004F0872" w:rsidRPr="003F686B">
        <w:t xml:space="preserve"> and needed </w:t>
      </w:r>
      <w:r w:rsidR="00D42444" w:rsidRPr="003F686B">
        <w:t xml:space="preserve">additional </w:t>
      </w:r>
      <w:r w:rsidR="004F0872" w:rsidRPr="003F686B">
        <w:t>data points</w:t>
      </w:r>
      <w:r w:rsidR="00D42444" w:rsidRPr="003F686B">
        <w:t xml:space="preserve"> for model training</w:t>
      </w:r>
      <w:r w:rsidR="00823B6F" w:rsidRPr="003F686B">
        <w:t xml:space="preserve">.  </w:t>
      </w:r>
      <w:r w:rsidR="00390034" w:rsidRPr="003F686B">
        <w:t>The model considered one year of inpatient, outpatient and drug claims.</w:t>
      </w:r>
      <w:r w:rsidR="004F0872" w:rsidRPr="003F686B">
        <w:t xml:space="preserve">  The </w:t>
      </w:r>
      <w:r w:rsidR="00D42444" w:rsidRPr="003F686B">
        <w:t>Decision Tree M</w:t>
      </w:r>
      <w:r w:rsidR="004F0872" w:rsidRPr="003F686B">
        <w:t>odel placed patients in one of seven buckets</w:t>
      </w:r>
      <w:r w:rsidR="00D42444" w:rsidRPr="003F686B">
        <w:t xml:space="preserve">. Patients are also </w:t>
      </w:r>
      <w:r w:rsidR="004F0872" w:rsidRPr="003F686B">
        <w:t>considered for three different buckets based on a set of rules</w:t>
      </w:r>
      <w:r w:rsidR="00D42444" w:rsidRPr="003F686B">
        <w:t>, as listed in the next paragraph</w:t>
      </w:r>
      <w:r w:rsidR="004F0872" w:rsidRPr="003F686B">
        <w:t xml:space="preserve">.  </w:t>
      </w:r>
      <w:r w:rsidR="00B17BE9" w:rsidRPr="003F686B">
        <w:t xml:space="preserve">The patient would ultimately end up </w:t>
      </w:r>
      <w:r w:rsidR="00145C55" w:rsidRPr="003F686B">
        <w:t xml:space="preserve">in the more severe </w:t>
      </w:r>
      <w:r w:rsidR="00D42444" w:rsidRPr="003F686B">
        <w:t xml:space="preserve">category </w:t>
      </w:r>
      <w:r w:rsidR="00145C55" w:rsidRPr="003F686B">
        <w:t xml:space="preserve">if they qualified for </w:t>
      </w:r>
      <w:r w:rsidR="00D42444" w:rsidRPr="003F686B">
        <w:t>more than one</w:t>
      </w:r>
      <w:r w:rsidR="00145C55" w:rsidRPr="003F686B">
        <w:t xml:space="preserve">. </w:t>
      </w:r>
      <w:r w:rsidR="004F0872" w:rsidRPr="003F686B">
        <w:t>This resulted in ten total buckets which patients could end up in.</w:t>
      </w:r>
      <w:r w:rsidR="00D42444" w:rsidRPr="003F686B">
        <w:t xml:space="preserve"> </w:t>
      </w:r>
      <w:r w:rsidR="00D42444" w:rsidRPr="003F686B">
        <w:t>The ranking of the 10 categories is in the list below, ranging from low to high.</w:t>
      </w:r>
    </w:p>
    <w:p w:rsidR="009A7935" w:rsidRPr="003F686B" w:rsidRDefault="009A7935" w:rsidP="00AA5930">
      <w:pPr>
        <w:spacing w:after="0"/>
      </w:pPr>
    </w:p>
    <w:p w:rsidR="00390034" w:rsidRPr="003F686B" w:rsidRDefault="00390034" w:rsidP="00AA5930">
      <w:pPr>
        <w:spacing w:after="0"/>
      </w:pPr>
      <w:r w:rsidRPr="003F686B">
        <w:t>Engagement – Patients with little medical history and often do not have an established relationship with a care provider.</w:t>
      </w:r>
    </w:p>
    <w:p w:rsidR="00390034" w:rsidRPr="003F686B" w:rsidRDefault="00390034" w:rsidP="00AA5930">
      <w:pPr>
        <w:spacing w:after="0"/>
      </w:pPr>
    </w:p>
    <w:p w:rsidR="008C3799" w:rsidRPr="003F686B" w:rsidRDefault="00390034" w:rsidP="00AA5930">
      <w:pPr>
        <w:spacing w:after="0"/>
      </w:pPr>
      <w:r w:rsidRPr="003F686B">
        <w:t xml:space="preserve">Prevention – </w:t>
      </w:r>
      <w:r w:rsidR="008C3799" w:rsidRPr="003F686B">
        <w:t>Generally healthy individuals with the possibility for a minor but controlled condition such as hypertension or gastric reflux.  Interventions are likely to be along the lines of wellness care tips.</w:t>
      </w:r>
    </w:p>
    <w:p w:rsidR="00390034" w:rsidRPr="003F686B" w:rsidRDefault="00390034" w:rsidP="00AA5930">
      <w:pPr>
        <w:spacing w:after="0"/>
      </w:pPr>
    </w:p>
    <w:p w:rsidR="00390034" w:rsidRPr="003F686B" w:rsidRDefault="00390034" w:rsidP="00AA5930">
      <w:pPr>
        <w:spacing w:after="0"/>
      </w:pPr>
      <w:r w:rsidRPr="003F686B">
        <w:t xml:space="preserve">Support – </w:t>
      </w:r>
      <w:r w:rsidR="008C3799" w:rsidRPr="003F686B">
        <w:t>This bucket mostly comprises patients with chronic conditions like diabetes but seem to be well managed.  Care management with these people will involve tips and information to continue to live with and manage their condition successfully.</w:t>
      </w:r>
    </w:p>
    <w:p w:rsidR="00390034" w:rsidRPr="003F686B" w:rsidRDefault="00390034" w:rsidP="00AA5930">
      <w:pPr>
        <w:spacing w:after="0"/>
      </w:pPr>
    </w:p>
    <w:p w:rsidR="00390034" w:rsidRPr="003F686B" w:rsidRDefault="00390034" w:rsidP="00AA5930">
      <w:pPr>
        <w:spacing w:after="0"/>
      </w:pPr>
      <w:r w:rsidRPr="003F686B">
        <w:t xml:space="preserve">Treatment Navigation </w:t>
      </w:r>
      <w:r w:rsidR="00286D77" w:rsidRPr="003F686B">
        <w:t>(rule)</w:t>
      </w:r>
      <w:r w:rsidRPr="003F686B">
        <w:t xml:space="preserve">– </w:t>
      </w:r>
      <w:r w:rsidR="008C3799" w:rsidRPr="003F686B">
        <w:t>These individuals have been recently diagnosed with a new condition which has multiple potential treatment paths.  The goal is to help patients understand their options and select the most appropriate approach for them.</w:t>
      </w:r>
    </w:p>
    <w:p w:rsidR="00390034" w:rsidRPr="003F686B" w:rsidRDefault="00390034" w:rsidP="00AA5930">
      <w:pPr>
        <w:spacing w:after="0"/>
      </w:pPr>
    </w:p>
    <w:p w:rsidR="00390034" w:rsidRPr="003F686B" w:rsidRDefault="00390034" w:rsidP="00AA5930">
      <w:pPr>
        <w:spacing w:after="0"/>
      </w:pPr>
      <w:r w:rsidRPr="003F686B">
        <w:t xml:space="preserve">Coordination – </w:t>
      </w:r>
      <w:r w:rsidR="004246DF" w:rsidRPr="003F686B">
        <w:t>Patients with multiple chronic conditions who may see multiple providers for care.  Needs help managing medications and coordinating a consistent and cohesive treatment plan.</w:t>
      </w:r>
    </w:p>
    <w:p w:rsidR="00390034" w:rsidRPr="003F686B" w:rsidRDefault="00390034" w:rsidP="00AA5930">
      <w:pPr>
        <w:spacing w:after="0"/>
      </w:pPr>
    </w:p>
    <w:p w:rsidR="00390034" w:rsidRPr="003F686B" w:rsidRDefault="00390034" w:rsidP="00AA5930">
      <w:pPr>
        <w:spacing w:after="0"/>
      </w:pPr>
      <w:r w:rsidRPr="003F686B">
        <w:t xml:space="preserve">Monitoring – </w:t>
      </w:r>
      <w:r w:rsidR="004246DF" w:rsidRPr="003F686B">
        <w:t>Utilization of medical services suggests a need for guidance and education of better approaches.</w:t>
      </w:r>
    </w:p>
    <w:p w:rsidR="00390034" w:rsidRPr="003F686B" w:rsidRDefault="00390034" w:rsidP="00AA5930">
      <w:pPr>
        <w:spacing w:after="0"/>
      </w:pPr>
    </w:p>
    <w:p w:rsidR="00390034" w:rsidRPr="003F686B" w:rsidRDefault="00390034" w:rsidP="00AA5930">
      <w:pPr>
        <w:spacing w:after="0"/>
      </w:pPr>
      <w:r w:rsidRPr="003F686B">
        <w:t xml:space="preserve">Rebalancing </w:t>
      </w:r>
      <w:r w:rsidR="00286D77" w:rsidRPr="003F686B">
        <w:t xml:space="preserve">(rule) </w:t>
      </w:r>
      <w:r w:rsidRPr="003F686B">
        <w:t xml:space="preserve">– </w:t>
      </w:r>
      <w:r w:rsidR="00F921A4" w:rsidRPr="003F686B">
        <w:t xml:space="preserve">Recently experienced a major event, surgery or diagnosis where a new normal need to be established.  Help is needed in finding that new normal in the form of intensive care or coping mechanisms. </w:t>
      </w:r>
    </w:p>
    <w:p w:rsidR="00390034" w:rsidRPr="003F686B" w:rsidRDefault="00390034" w:rsidP="00AA5930">
      <w:pPr>
        <w:spacing w:after="0"/>
      </w:pPr>
    </w:p>
    <w:p w:rsidR="00286D77" w:rsidRPr="003F686B" w:rsidRDefault="00286D77" w:rsidP="00286D77">
      <w:pPr>
        <w:spacing w:after="0"/>
      </w:pPr>
      <w:r w:rsidRPr="003F686B">
        <w:t>Recovery Guidance – Recently experienced a major event or surgery but full recovery is expected.  Needs temporary assistance returning to baseline.</w:t>
      </w:r>
    </w:p>
    <w:p w:rsidR="00286D77" w:rsidRPr="003F686B" w:rsidRDefault="00286D77" w:rsidP="00AA5930">
      <w:pPr>
        <w:spacing w:after="0"/>
      </w:pPr>
    </w:p>
    <w:p w:rsidR="00390034" w:rsidRPr="003F686B" w:rsidRDefault="00390034" w:rsidP="00AA5930">
      <w:pPr>
        <w:spacing w:after="0"/>
      </w:pPr>
      <w:r w:rsidRPr="003F686B">
        <w:t xml:space="preserve">Surveillance </w:t>
      </w:r>
      <w:r w:rsidR="00286D77" w:rsidRPr="003F686B">
        <w:t xml:space="preserve">(rule) </w:t>
      </w:r>
      <w:r w:rsidRPr="003F686B">
        <w:t xml:space="preserve">– </w:t>
      </w:r>
      <w:r w:rsidR="00F921A4" w:rsidRPr="003F686B">
        <w:t>These patients already have an established relationship with a healthcare system due to treatment for a serious condition (chemotherapy, dialysis, organ transplant).  Patients may only need some support and observation along their care path.</w:t>
      </w:r>
    </w:p>
    <w:p w:rsidR="00390034" w:rsidRPr="003F686B" w:rsidRDefault="00390034" w:rsidP="00AA5930">
      <w:pPr>
        <w:spacing w:after="0"/>
      </w:pPr>
    </w:p>
    <w:p w:rsidR="00390034" w:rsidRPr="003F686B" w:rsidRDefault="00390034" w:rsidP="00AA5930">
      <w:pPr>
        <w:spacing w:after="0"/>
      </w:pPr>
      <w:r w:rsidRPr="003F686B">
        <w:t xml:space="preserve">Crisis Management – </w:t>
      </w:r>
      <w:r w:rsidR="00F921A4" w:rsidRPr="003F686B">
        <w:t>Most severe group where patients have extremely serious conditions that are not well controlled.  Interventions may focus on preventing catastrophic events or assisting with end of life arrangements.</w:t>
      </w:r>
    </w:p>
    <w:p w:rsidR="00742335" w:rsidRPr="003F686B" w:rsidRDefault="00742335" w:rsidP="00AA5930">
      <w:pPr>
        <w:spacing w:after="0"/>
      </w:pPr>
    </w:p>
    <w:p w:rsidR="00145C55" w:rsidRPr="003F686B" w:rsidRDefault="00742335" w:rsidP="00AA5930">
      <w:pPr>
        <w:spacing w:after="0"/>
      </w:pPr>
      <w:r w:rsidRPr="003F686B">
        <w:lastRenderedPageBreak/>
        <w:t>In addition to bucketing patients, the model provides which node ultimately categorized the patient.  This information allows for understanding of what combination of factors went into the patient’s placement.  For example, a patient m</w:t>
      </w:r>
      <w:r w:rsidR="00D42444" w:rsidRPr="003F686B">
        <w:t>ust</w:t>
      </w:r>
      <w:r w:rsidRPr="003F686B">
        <w:t xml:space="preserve"> have had</w:t>
      </w:r>
      <w:r w:rsidR="00145C55" w:rsidRPr="003F686B">
        <w:t xml:space="preserve"> </w:t>
      </w:r>
      <w:r w:rsidR="003F686B" w:rsidRPr="003F686B">
        <w:t>all</w:t>
      </w:r>
      <w:r w:rsidR="00D42444" w:rsidRPr="003F686B">
        <w:t xml:space="preserve"> the condition</w:t>
      </w:r>
      <w:r w:rsidR="003F686B" w:rsidRPr="003F686B">
        <w:t>s</w:t>
      </w:r>
      <w:r w:rsidR="00D42444" w:rsidRPr="003F686B">
        <w:t xml:space="preserve"> below </w:t>
      </w:r>
      <w:r w:rsidR="003F686B" w:rsidRPr="003F686B">
        <w:t>to</w:t>
      </w:r>
      <w:r w:rsidR="00D42444" w:rsidRPr="003F686B">
        <w:t xml:space="preserve"> be categorized in Coordination:</w:t>
      </w:r>
    </w:p>
    <w:p w:rsidR="00145C55" w:rsidRPr="003F686B" w:rsidRDefault="00145C55" w:rsidP="00145C55">
      <w:pPr>
        <w:pStyle w:val="ListParagraph"/>
        <w:numPr>
          <w:ilvl w:val="0"/>
          <w:numId w:val="2"/>
        </w:numPr>
        <w:spacing w:after="0"/>
      </w:pPr>
      <w:r w:rsidRPr="003F686B">
        <w:t>Day’s supply of opiates = 30</w:t>
      </w:r>
    </w:p>
    <w:p w:rsidR="00145C55" w:rsidRPr="003F686B" w:rsidRDefault="00145C55" w:rsidP="00145C55">
      <w:pPr>
        <w:pStyle w:val="ListParagraph"/>
        <w:numPr>
          <w:ilvl w:val="0"/>
          <w:numId w:val="2"/>
        </w:numPr>
        <w:spacing w:after="0"/>
      </w:pPr>
      <w:r w:rsidRPr="003F686B">
        <w:t>S</w:t>
      </w:r>
      <w:r w:rsidR="00742335" w:rsidRPr="003F686B">
        <w:t>ignificant chro</w:t>
      </w:r>
      <w:r w:rsidRPr="003F686B">
        <w:t>nic conditions in the past year = 5</w:t>
      </w:r>
    </w:p>
    <w:p w:rsidR="00145C55" w:rsidRPr="003F686B" w:rsidRDefault="00145C55" w:rsidP="00145C55">
      <w:pPr>
        <w:pStyle w:val="ListParagraph"/>
        <w:numPr>
          <w:ilvl w:val="0"/>
          <w:numId w:val="2"/>
        </w:numPr>
        <w:spacing w:after="0"/>
      </w:pPr>
      <w:r w:rsidRPr="003F686B">
        <w:t>Days</w:t>
      </w:r>
      <w:r w:rsidR="00742335" w:rsidRPr="003F686B">
        <w:t xml:space="preserve"> since their last inpatient admittance </w:t>
      </w:r>
      <w:r w:rsidRPr="003F686B">
        <w:t>= 45</w:t>
      </w:r>
      <w:r w:rsidR="00742335" w:rsidRPr="003F686B">
        <w:t xml:space="preserve"> </w:t>
      </w:r>
    </w:p>
    <w:p w:rsidR="00D50776" w:rsidRPr="003F686B" w:rsidRDefault="00D50776" w:rsidP="00AA5930">
      <w:pPr>
        <w:spacing w:after="0"/>
      </w:pPr>
    </w:p>
    <w:p w:rsidR="00D42444" w:rsidRPr="003F686B" w:rsidRDefault="00D42444" w:rsidP="00AA5930">
      <w:pPr>
        <w:spacing w:after="0"/>
      </w:pPr>
    </w:p>
    <w:p w:rsidR="00D42444" w:rsidRPr="003F686B" w:rsidRDefault="00424A57" w:rsidP="003F686B">
      <w:pPr>
        <w:pStyle w:val="Subtitle"/>
      </w:pPr>
      <w:r w:rsidRPr="003F686B">
        <w:t>Model Validation</w:t>
      </w:r>
    </w:p>
    <w:p w:rsidR="002D36B4" w:rsidRPr="003F686B" w:rsidRDefault="005E0AA8" w:rsidP="00AA5930">
      <w:pPr>
        <w:spacing w:after="0"/>
      </w:pPr>
      <w:r w:rsidRPr="003F686B">
        <w:t xml:space="preserve">To validate the model 345 patients that were evaluated by a SME were run through the model and the results were compared.  </w:t>
      </w:r>
      <w:r w:rsidR="00235E74" w:rsidRPr="003F686B">
        <w:t>This group included 305 patients that were used to train the model</w:t>
      </w:r>
      <w:r w:rsidR="00145C55" w:rsidRPr="003F686B">
        <w:t>’</w:t>
      </w:r>
      <w:r w:rsidR="00235E74" w:rsidRPr="003F686B">
        <w:t>s 7 buckets for placement plus 40 more patients for the rules based buckets.  Those 40 patients were kept out of the training</w:t>
      </w:r>
      <w:r w:rsidR="00145C55" w:rsidRPr="003F686B">
        <w:t xml:space="preserve"> set</w:t>
      </w:r>
      <w:r w:rsidR="00235E74" w:rsidRPr="003F686B">
        <w:t xml:space="preserve"> to </w:t>
      </w:r>
      <w:r w:rsidR="00145C55" w:rsidRPr="003F686B">
        <w:t>reduce noise that would result from the</w:t>
      </w:r>
      <w:r w:rsidR="00235E74" w:rsidRPr="003F686B">
        <w:t xml:space="preserve"> model trying to fit data that would never be correct.  </w:t>
      </w:r>
    </w:p>
    <w:p w:rsidR="001A2D3B" w:rsidRPr="003F686B" w:rsidRDefault="001A2D3B" w:rsidP="00AA5930">
      <w:pPr>
        <w:spacing w:after="0"/>
      </w:pPr>
    </w:p>
    <w:p w:rsidR="001A2D3B" w:rsidRPr="003F686B" w:rsidRDefault="001A2D3B" w:rsidP="00AA5930">
      <w:pPr>
        <w:spacing w:after="0"/>
      </w:pPr>
      <w:r w:rsidRPr="003F686B">
        <w:t xml:space="preserve">The results are </w:t>
      </w:r>
      <w:r w:rsidR="00145C55" w:rsidRPr="003F686B">
        <w:t>below</w:t>
      </w:r>
      <w:r w:rsidRPr="003F686B">
        <w:t xml:space="preserve"> with an overall accuracy of 83%.  The diagonal down the center of the table represents accurate predictions.  Predictions that landed to the right of the diagonal are misses in a less critical bucket.  These are of concern because they represent patients that may need a higher level of intervention.</w:t>
      </w:r>
      <w:r w:rsidR="00145C55" w:rsidRPr="003F686B">
        <w:t xml:space="preserve">  There we few critical misses – ones where a patient would receive little to no intervention – but some did happen in Monitoring and Coordination.  </w:t>
      </w:r>
    </w:p>
    <w:p w:rsidR="00145C55" w:rsidRPr="003F686B" w:rsidRDefault="00145C55" w:rsidP="00AA5930">
      <w:pPr>
        <w:spacing w:after="0"/>
      </w:pPr>
    </w:p>
    <w:tbl>
      <w:tblPr>
        <w:tblW w:w="10445" w:type="dxa"/>
        <w:jc w:val="center"/>
        <w:tblLook w:val="04A0" w:firstRow="1" w:lastRow="0" w:firstColumn="1" w:lastColumn="0" w:noHBand="0" w:noVBand="1"/>
      </w:tblPr>
      <w:tblGrid>
        <w:gridCol w:w="520"/>
        <w:gridCol w:w="1418"/>
        <w:gridCol w:w="1418"/>
        <w:gridCol w:w="1040"/>
        <w:gridCol w:w="1223"/>
        <w:gridCol w:w="1385"/>
        <w:gridCol w:w="931"/>
        <w:gridCol w:w="1197"/>
        <w:gridCol w:w="1336"/>
        <w:gridCol w:w="32"/>
        <w:gridCol w:w="637"/>
        <w:gridCol w:w="34"/>
        <w:gridCol w:w="189"/>
      </w:tblGrid>
      <w:tr w:rsidR="00155472" w:rsidRPr="003F686B" w:rsidTr="00155472">
        <w:trPr>
          <w:gridAfter w:val="1"/>
          <w:wAfter w:w="645" w:type="dxa"/>
          <w:trHeight w:val="288"/>
          <w:jc w:val="center"/>
        </w:trPr>
        <w:tc>
          <w:tcPr>
            <w:tcW w:w="466" w:type="dxa"/>
            <w:tcBorders>
              <w:top w:val="nil"/>
              <w:left w:val="nil"/>
              <w:bottom w:val="nil"/>
              <w:right w:val="nil"/>
            </w:tcBorders>
            <w:shd w:val="clear" w:color="auto" w:fill="auto"/>
            <w:noWrap/>
            <w:vAlign w:val="bottom"/>
            <w:hideMark/>
          </w:tcPr>
          <w:p w:rsidR="00155472" w:rsidRPr="003F686B" w:rsidRDefault="00155472" w:rsidP="009A7935">
            <w:pPr>
              <w:spacing w:after="0"/>
            </w:pPr>
          </w:p>
        </w:tc>
        <w:tc>
          <w:tcPr>
            <w:tcW w:w="1200" w:type="dxa"/>
            <w:tcBorders>
              <w:top w:val="nil"/>
              <w:left w:val="nil"/>
              <w:right w:val="nil"/>
            </w:tcBorders>
            <w:shd w:val="clear" w:color="auto" w:fill="auto"/>
            <w:noWrap/>
            <w:vAlign w:val="bottom"/>
            <w:hideMark/>
          </w:tcPr>
          <w:p w:rsidR="00155472" w:rsidRPr="003F686B" w:rsidRDefault="00155472" w:rsidP="009A7935">
            <w:pPr>
              <w:spacing w:after="0"/>
            </w:pPr>
          </w:p>
        </w:tc>
        <w:tc>
          <w:tcPr>
            <w:tcW w:w="7246" w:type="dxa"/>
            <w:gridSpan w:val="8"/>
            <w:tcBorders>
              <w:top w:val="nil"/>
              <w:left w:val="nil"/>
              <w:right w:val="nil"/>
            </w:tcBorders>
          </w:tcPr>
          <w:p w:rsidR="00155472" w:rsidRPr="003F686B" w:rsidRDefault="00155472" w:rsidP="009A7935">
            <w:pPr>
              <w:spacing w:after="0"/>
              <w:jc w:val="center"/>
              <w:rPr>
                <w:rFonts w:ascii="Calibri" w:hAnsi="Calibri"/>
                <w:b/>
                <w:bCs/>
                <w:color w:val="000000"/>
              </w:rPr>
            </w:pPr>
            <w:r w:rsidRPr="003F686B">
              <w:rPr>
                <w:rFonts w:ascii="Calibri" w:hAnsi="Calibri"/>
                <w:b/>
                <w:bCs/>
                <w:color w:val="000000"/>
              </w:rPr>
              <w:t>Prediction</w:t>
            </w:r>
          </w:p>
        </w:tc>
        <w:tc>
          <w:tcPr>
            <w:tcW w:w="888" w:type="dxa"/>
            <w:gridSpan w:val="2"/>
            <w:tcBorders>
              <w:top w:val="nil"/>
              <w:left w:val="nil"/>
              <w:right w:val="nil"/>
            </w:tcBorders>
          </w:tcPr>
          <w:p w:rsidR="00155472" w:rsidRPr="003F686B" w:rsidRDefault="00155472" w:rsidP="009A7935">
            <w:pPr>
              <w:spacing w:after="0"/>
              <w:jc w:val="center"/>
              <w:rPr>
                <w:rFonts w:ascii="Calibri" w:hAnsi="Calibri"/>
                <w:b/>
                <w:bCs/>
                <w:color w:val="000000"/>
              </w:rPr>
            </w:pPr>
          </w:p>
        </w:tc>
      </w:tr>
      <w:tr w:rsidR="00155472" w:rsidRPr="003F686B" w:rsidTr="00155472">
        <w:trPr>
          <w:gridAfter w:val="2"/>
          <w:wAfter w:w="687" w:type="dxa"/>
          <w:trHeight w:val="288"/>
          <w:jc w:val="center"/>
        </w:trPr>
        <w:tc>
          <w:tcPr>
            <w:tcW w:w="466" w:type="dxa"/>
            <w:tcBorders>
              <w:top w:val="nil"/>
              <w:left w:val="nil"/>
              <w:bottom w:val="nil"/>
              <w:right w:val="nil"/>
            </w:tcBorders>
            <w:shd w:val="clear" w:color="auto" w:fill="auto"/>
            <w:vAlign w:val="bottom"/>
            <w:hideMark/>
          </w:tcPr>
          <w:p w:rsidR="00155472" w:rsidRPr="003F686B" w:rsidRDefault="00155472" w:rsidP="009A7935">
            <w:pPr>
              <w:spacing w:after="0"/>
              <w:jc w:val="center"/>
              <w:rPr>
                <w:rFonts w:ascii="Calibri" w:hAnsi="Calibri"/>
                <w:b/>
                <w:bCs/>
                <w:color w:val="000000"/>
              </w:rPr>
            </w:pPr>
          </w:p>
        </w:tc>
        <w:tc>
          <w:tcPr>
            <w:tcW w:w="1200" w:type="dxa"/>
            <w:tcBorders>
              <w:top w:val="nil"/>
              <w:left w:val="nil"/>
              <w:bottom w:val="single" w:sz="4" w:space="0" w:color="auto"/>
              <w:right w:val="single" w:sz="4" w:space="0" w:color="auto"/>
            </w:tcBorders>
            <w:shd w:val="clear" w:color="auto" w:fill="auto"/>
            <w:noWrap/>
            <w:vAlign w:val="bottom"/>
            <w:hideMark/>
          </w:tcPr>
          <w:p w:rsidR="00155472" w:rsidRPr="003F686B" w:rsidRDefault="00155472" w:rsidP="009A7935">
            <w:pPr>
              <w:spacing w:after="0"/>
            </w:pPr>
          </w:p>
        </w:tc>
        <w:tc>
          <w:tcPr>
            <w:tcW w:w="1200" w:type="dxa"/>
            <w:tcBorders>
              <w:top w:val="single" w:sz="4" w:space="0" w:color="auto"/>
              <w:left w:val="single" w:sz="4" w:space="0" w:color="auto"/>
              <w:bottom w:val="single" w:sz="4" w:space="0" w:color="auto"/>
              <w:right w:val="single" w:sz="4" w:space="0" w:color="auto"/>
            </w:tcBorders>
            <w:vAlign w:val="bottom"/>
          </w:tcPr>
          <w:p w:rsidR="00155472" w:rsidRPr="003F686B" w:rsidRDefault="00155472" w:rsidP="009A7935">
            <w:pPr>
              <w:spacing w:after="0"/>
              <w:rPr>
                <w:rFonts w:ascii="Calibri" w:hAnsi="Calibri"/>
                <w:color w:val="000000"/>
              </w:rPr>
            </w:pPr>
            <w:r w:rsidRPr="003F686B">
              <w:rPr>
                <w:rFonts w:ascii="Calibri" w:hAnsi="Calibri"/>
                <w:color w:val="000000"/>
              </w:rPr>
              <w:t>Crisis Management</w:t>
            </w:r>
          </w:p>
        </w:tc>
        <w:tc>
          <w:tcPr>
            <w:tcW w:w="914" w:type="dxa"/>
            <w:tcBorders>
              <w:top w:val="single" w:sz="4" w:space="0" w:color="auto"/>
              <w:left w:val="single" w:sz="4" w:space="0" w:color="auto"/>
              <w:bottom w:val="single" w:sz="4" w:space="0" w:color="auto"/>
              <w:right w:val="single" w:sz="4" w:space="0" w:color="auto"/>
            </w:tcBorders>
            <w:shd w:val="clear" w:color="auto" w:fill="auto"/>
            <w:noWrap/>
            <w:vAlign w:val="bottom"/>
          </w:tcPr>
          <w:p w:rsidR="00155472" w:rsidRPr="003F686B" w:rsidRDefault="00155472" w:rsidP="009A7935">
            <w:pPr>
              <w:spacing w:after="0"/>
              <w:rPr>
                <w:rFonts w:ascii="Calibri" w:hAnsi="Calibri"/>
                <w:color w:val="000000"/>
              </w:rPr>
            </w:pPr>
            <w:r w:rsidRPr="003F686B">
              <w:rPr>
                <w:rFonts w:ascii="Calibri" w:hAnsi="Calibri"/>
                <w:color w:val="000000"/>
              </w:rPr>
              <w:t>Recovery guidance</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155472" w:rsidRPr="003F686B" w:rsidRDefault="00155472" w:rsidP="009A7935">
            <w:pPr>
              <w:spacing w:after="0"/>
              <w:rPr>
                <w:rFonts w:ascii="Calibri" w:hAnsi="Calibri"/>
                <w:color w:val="000000"/>
              </w:rPr>
            </w:pPr>
            <w:r w:rsidRPr="003F686B">
              <w:rPr>
                <w:rFonts w:ascii="Calibri" w:hAnsi="Calibri"/>
                <w:color w:val="000000"/>
              </w:rPr>
              <w:t>Monitoring</w:t>
            </w:r>
          </w:p>
        </w:tc>
        <w:tc>
          <w:tcPr>
            <w:tcW w:w="1173" w:type="dxa"/>
            <w:tcBorders>
              <w:top w:val="single" w:sz="4" w:space="0" w:color="auto"/>
              <w:left w:val="single" w:sz="4" w:space="0" w:color="auto"/>
              <w:bottom w:val="single" w:sz="4" w:space="0" w:color="auto"/>
              <w:right w:val="single" w:sz="4" w:space="0" w:color="auto"/>
            </w:tcBorders>
            <w:shd w:val="clear" w:color="auto" w:fill="auto"/>
            <w:noWrap/>
            <w:vAlign w:val="bottom"/>
          </w:tcPr>
          <w:p w:rsidR="00155472" w:rsidRPr="003F686B" w:rsidRDefault="00155472" w:rsidP="009A7935">
            <w:pPr>
              <w:spacing w:after="0"/>
              <w:rPr>
                <w:rFonts w:ascii="Calibri" w:hAnsi="Calibri"/>
                <w:color w:val="000000"/>
              </w:rPr>
            </w:pPr>
            <w:r w:rsidRPr="003F686B">
              <w:rPr>
                <w:rFonts w:ascii="Calibri" w:hAnsi="Calibri"/>
                <w:color w:val="000000"/>
              </w:rPr>
              <w:t>Coordination</w:t>
            </w:r>
          </w:p>
        </w:tc>
        <w:tc>
          <w:tcPr>
            <w:tcW w:w="801" w:type="dxa"/>
            <w:tcBorders>
              <w:top w:val="single" w:sz="4" w:space="0" w:color="auto"/>
              <w:left w:val="single" w:sz="4" w:space="0" w:color="auto"/>
              <w:bottom w:val="single" w:sz="4" w:space="0" w:color="auto"/>
              <w:right w:val="single" w:sz="4" w:space="0" w:color="auto"/>
            </w:tcBorders>
            <w:shd w:val="clear" w:color="auto" w:fill="auto"/>
            <w:noWrap/>
            <w:vAlign w:val="bottom"/>
          </w:tcPr>
          <w:p w:rsidR="00155472" w:rsidRPr="003F686B" w:rsidRDefault="00155472" w:rsidP="009A7935">
            <w:pPr>
              <w:spacing w:after="0"/>
              <w:rPr>
                <w:rFonts w:ascii="Calibri" w:hAnsi="Calibri"/>
                <w:color w:val="000000"/>
              </w:rPr>
            </w:pPr>
            <w:r w:rsidRPr="003F686B">
              <w:rPr>
                <w:rFonts w:ascii="Calibri" w:hAnsi="Calibri"/>
                <w:color w:val="000000"/>
              </w:rPr>
              <w:t>Support</w:t>
            </w:r>
          </w:p>
        </w:tc>
        <w:tc>
          <w:tcPr>
            <w:tcW w:w="9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155472" w:rsidRPr="003F686B" w:rsidRDefault="00155472" w:rsidP="009A7935">
            <w:pPr>
              <w:spacing w:after="0"/>
              <w:rPr>
                <w:rFonts w:ascii="Calibri" w:hAnsi="Calibri"/>
                <w:color w:val="000000"/>
              </w:rPr>
            </w:pPr>
            <w:r w:rsidRPr="003F686B">
              <w:rPr>
                <w:rFonts w:ascii="Calibri" w:hAnsi="Calibri"/>
                <w:color w:val="000000"/>
              </w:rPr>
              <w:t>Prevention</w:t>
            </w:r>
          </w:p>
        </w:tc>
        <w:tc>
          <w:tcPr>
            <w:tcW w:w="1132" w:type="dxa"/>
            <w:tcBorders>
              <w:top w:val="single" w:sz="4" w:space="0" w:color="auto"/>
              <w:left w:val="single" w:sz="4" w:space="0" w:color="auto"/>
              <w:bottom w:val="single" w:sz="4" w:space="0" w:color="auto"/>
              <w:right w:val="single" w:sz="4" w:space="0" w:color="auto"/>
            </w:tcBorders>
            <w:shd w:val="clear" w:color="auto" w:fill="auto"/>
            <w:noWrap/>
            <w:vAlign w:val="bottom"/>
          </w:tcPr>
          <w:p w:rsidR="00155472" w:rsidRPr="003F686B" w:rsidRDefault="00155472" w:rsidP="009A7935">
            <w:pPr>
              <w:spacing w:after="0"/>
              <w:rPr>
                <w:rFonts w:ascii="Calibri" w:hAnsi="Calibri"/>
                <w:color w:val="000000"/>
              </w:rPr>
            </w:pPr>
            <w:r w:rsidRPr="003F686B">
              <w:rPr>
                <w:rFonts w:ascii="Calibri" w:hAnsi="Calibri"/>
                <w:color w:val="000000"/>
              </w:rPr>
              <w:t>Engagement</w:t>
            </w:r>
          </w:p>
        </w:tc>
        <w:tc>
          <w:tcPr>
            <w:tcW w:w="886" w:type="dxa"/>
            <w:gridSpan w:val="2"/>
            <w:tcBorders>
              <w:top w:val="single" w:sz="4" w:space="0" w:color="auto"/>
              <w:left w:val="single" w:sz="4" w:space="0" w:color="auto"/>
              <w:bottom w:val="single" w:sz="4" w:space="0" w:color="auto"/>
              <w:right w:val="single" w:sz="4" w:space="0" w:color="auto"/>
            </w:tcBorders>
            <w:vAlign w:val="bottom"/>
          </w:tcPr>
          <w:p w:rsidR="00155472" w:rsidRPr="003F686B" w:rsidRDefault="00155472" w:rsidP="00155472">
            <w:pPr>
              <w:spacing w:after="0"/>
              <w:jc w:val="center"/>
              <w:rPr>
                <w:rFonts w:ascii="Calibri" w:hAnsi="Calibri"/>
                <w:color w:val="000000"/>
              </w:rPr>
            </w:pPr>
            <w:r w:rsidRPr="003F686B">
              <w:rPr>
                <w:rFonts w:ascii="Calibri" w:hAnsi="Calibri"/>
                <w:color w:val="000000"/>
              </w:rPr>
              <w:t>Total</w:t>
            </w:r>
          </w:p>
        </w:tc>
      </w:tr>
      <w:tr w:rsidR="00155472" w:rsidRPr="003F686B" w:rsidTr="00155472">
        <w:trPr>
          <w:trHeight w:val="288"/>
          <w:jc w:val="center"/>
        </w:trPr>
        <w:tc>
          <w:tcPr>
            <w:tcW w:w="466" w:type="dxa"/>
            <w:vMerge w:val="restart"/>
            <w:tcBorders>
              <w:top w:val="nil"/>
              <w:left w:val="nil"/>
              <w:bottom w:val="nil"/>
              <w:right w:val="single" w:sz="4" w:space="0" w:color="auto"/>
            </w:tcBorders>
            <w:shd w:val="clear" w:color="auto" w:fill="auto"/>
            <w:noWrap/>
            <w:textDirection w:val="btLr"/>
            <w:vAlign w:val="center"/>
            <w:hideMark/>
          </w:tcPr>
          <w:p w:rsidR="00155472" w:rsidRPr="003F686B" w:rsidRDefault="00155472" w:rsidP="009A7935">
            <w:pPr>
              <w:spacing w:after="0"/>
              <w:jc w:val="center"/>
              <w:rPr>
                <w:rFonts w:ascii="Calibri" w:hAnsi="Calibri"/>
                <w:b/>
                <w:bCs/>
                <w:color w:val="000000"/>
              </w:rPr>
            </w:pPr>
            <w:r w:rsidRPr="003F686B">
              <w:rPr>
                <w:rFonts w:ascii="Calibri" w:hAnsi="Calibri"/>
                <w:b/>
                <w:bCs/>
                <w:color w:val="000000"/>
              </w:rPr>
              <w:t>Actual</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55472" w:rsidRPr="003F686B" w:rsidRDefault="00155472" w:rsidP="009A7935">
            <w:pPr>
              <w:spacing w:after="0"/>
              <w:rPr>
                <w:rFonts w:ascii="Calibri" w:hAnsi="Calibri"/>
                <w:color w:val="000000"/>
              </w:rPr>
            </w:pPr>
            <w:r w:rsidRPr="003F686B">
              <w:rPr>
                <w:rFonts w:ascii="Calibri" w:hAnsi="Calibri"/>
                <w:color w:val="000000"/>
              </w:rPr>
              <w:t>Crisis Management</w:t>
            </w:r>
          </w:p>
        </w:tc>
        <w:tc>
          <w:tcPr>
            <w:tcW w:w="1200" w:type="dxa"/>
            <w:tcBorders>
              <w:top w:val="single" w:sz="4" w:space="0" w:color="auto"/>
              <w:left w:val="single" w:sz="4" w:space="0" w:color="auto"/>
              <w:bottom w:val="single" w:sz="4" w:space="0" w:color="auto"/>
              <w:right w:val="single" w:sz="4" w:space="0" w:color="auto"/>
            </w:tcBorders>
            <w:shd w:val="clear" w:color="auto" w:fill="FFFF00"/>
            <w:vAlign w:val="bottom"/>
          </w:tcPr>
          <w:p w:rsidR="00155472" w:rsidRPr="003F686B" w:rsidRDefault="00155472" w:rsidP="009A7935">
            <w:pPr>
              <w:spacing w:after="0"/>
              <w:jc w:val="center"/>
              <w:rPr>
                <w:rFonts w:ascii="Calibri" w:hAnsi="Calibri"/>
                <w:color w:val="000000"/>
              </w:rPr>
            </w:pPr>
            <w:r w:rsidRPr="003F686B">
              <w:rPr>
                <w:rFonts w:ascii="Calibri" w:hAnsi="Calibri"/>
                <w:color w:val="000000"/>
              </w:rPr>
              <w:t>10</w:t>
            </w:r>
          </w:p>
        </w:tc>
        <w:tc>
          <w:tcPr>
            <w:tcW w:w="914" w:type="dxa"/>
            <w:tcBorders>
              <w:top w:val="single" w:sz="4" w:space="0" w:color="auto"/>
              <w:left w:val="single" w:sz="4" w:space="0" w:color="auto"/>
              <w:bottom w:val="single" w:sz="4" w:space="0" w:color="auto"/>
              <w:right w:val="single" w:sz="4" w:space="0" w:color="auto"/>
            </w:tcBorders>
            <w:shd w:val="clear" w:color="auto" w:fill="auto"/>
            <w:noWrap/>
            <w:vAlign w:val="bottom"/>
          </w:tcPr>
          <w:p w:rsidR="00155472" w:rsidRPr="003F686B" w:rsidRDefault="00155472" w:rsidP="009A7935">
            <w:pPr>
              <w:spacing w:after="0"/>
              <w:jc w:val="center"/>
              <w:rPr>
                <w:rFonts w:ascii="Calibri" w:hAnsi="Calibri"/>
                <w:color w:val="000000"/>
              </w:rPr>
            </w:pPr>
            <w:r w:rsidRPr="003F686B">
              <w:rPr>
                <w:rFonts w:ascii="Calibri" w:hAnsi="Calibri"/>
                <w:color w:val="000000"/>
              </w:rPr>
              <w:t>0</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155472" w:rsidRPr="003F686B" w:rsidRDefault="00155472" w:rsidP="009A7935">
            <w:pPr>
              <w:spacing w:after="0"/>
              <w:jc w:val="center"/>
              <w:rPr>
                <w:rFonts w:ascii="Calibri" w:hAnsi="Calibri"/>
                <w:color w:val="000000"/>
              </w:rPr>
            </w:pPr>
            <w:r w:rsidRPr="003F686B">
              <w:rPr>
                <w:rFonts w:ascii="Calibri" w:hAnsi="Calibri"/>
                <w:color w:val="000000"/>
              </w:rPr>
              <w:t>1</w:t>
            </w:r>
          </w:p>
        </w:tc>
        <w:tc>
          <w:tcPr>
            <w:tcW w:w="1173" w:type="dxa"/>
            <w:tcBorders>
              <w:top w:val="single" w:sz="4" w:space="0" w:color="auto"/>
              <w:left w:val="single" w:sz="4" w:space="0" w:color="auto"/>
              <w:bottom w:val="single" w:sz="4" w:space="0" w:color="auto"/>
              <w:right w:val="single" w:sz="4" w:space="0" w:color="auto"/>
            </w:tcBorders>
            <w:shd w:val="clear" w:color="auto" w:fill="auto"/>
            <w:noWrap/>
            <w:vAlign w:val="bottom"/>
          </w:tcPr>
          <w:p w:rsidR="00155472" w:rsidRPr="003F686B" w:rsidRDefault="00155472" w:rsidP="009A7935">
            <w:pPr>
              <w:spacing w:after="0"/>
              <w:jc w:val="center"/>
              <w:rPr>
                <w:rFonts w:ascii="Calibri" w:hAnsi="Calibri"/>
                <w:color w:val="000000"/>
              </w:rPr>
            </w:pPr>
            <w:r w:rsidRPr="003F686B">
              <w:rPr>
                <w:rFonts w:ascii="Calibri" w:hAnsi="Calibri"/>
                <w:color w:val="000000"/>
              </w:rPr>
              <w:t>1</w:t>
            </w:r>
          </w:p>
        </w:tc>
        <w:tc>
          <w:tcPr>
            <w:tcW w:w="801" w:type="dxa"/>
            <w:tcBorders>
              <w:top w:val="single" w:sz="4" w:space="0" w:color="auto"/>
              <w:left w:val="single" w:sz="4" w:space="0" w:color="auto"/>
              <w:bottom w:val="single" w:sz="4" w:space="0" w:color="auto"/>
              <w:right w:val="single" w:sz="4" w:space="0" w:color="auto"/>
            </w:tcBorders>
            <w:shd w:val="clear" w:color="auto" w:fill="auto"/>
            <w:noWrap/>
            <w:vAlign w:val="bottom"/>
          </w:tcPr>
          <w:p w:rsidR="00155472" w:rsidRPr="003F686B" w:rsidRDefault="00155472" w:rsidP="009A7935">
            <w:pPr>
              <w:spacing w:after="0"/>
              <w:jc w:val="center"/>
              <w:rPr>
                <w:rFonts w:ascii="Calibri" w:hAnsi="Calibri"/>
                <w:color w:val="000000"/>
              </w:rPr>
            </w:pPr>
            <w:r w:rsidRPr="003F686B">
              <w:rPr>
                <w:rFonts w:ascii="Calibri" w:hAnsi="Calibri"/>
                <w:color w:val="000000"/>
              </w:rPr>
              <w:t>0</w:t>
            </w:r>
          </w:p>
        </w:tc>
        <w:tc>
          <w:tcPr>
            <w:tcW w:w="9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155472" w:rsidRPr="003F686B" w:rsidRDefault="00155472" w:rsidP="009A7935">
            <w:pPr>
              <w:spacing w:after="0"/>
              <w:jc w:val="center"/>
              <w:rPr>
                <w:rFonts w:ascii="Calibri" w:hAnsi="Calibri"/>
                <w:color w:val="000000"/>
              </w:rPr>
            </w:pPr>
            <w:r w:rsidRPr="003F686B">
              <w:rPr>
                <w:rFonts w:ascii="Calibri" w:hAnsi="Calibri"/>
                <w:color w:val="000000"/>
              </w:rPr>
              <w:t>0</w:t>
            </w:r>
          </w:p>
        </w:tc>
        <w:tc>
          <w:tcPr>
            <w:tcW w:w="1132" w:type="dxa"/>
            <w:tcBorders>
              <w:top w:val="single" w:sz="4" w:space="0" w:color="auto"/>
              <w:left w:val="single" w:sz="4" w:space="0" w:color="auto"/>
              <w:bottom w:val="single" w:sz="4" w:space="0" w:color="auto"/>
              <w:right w:val="single" w:sz="4" w:space="0" w:color="auto"/>
            </w:tcBorders>
            <w:shd w:val="clear" w:color="auto" w:fill="auto"/>
            <w:noWrap/>
            <w:vAlign w:val="bottom"/>
          </w:tcPr>
          <w:p w:rsidR="00155472" w:rsidRPr="003F686B" w:rsidRDefault="00155472" w:rsidP="009A7935">
            <w:pPr>
              <w:spacing w:after="0"/>
              <w:jc w:val="center"/>
              <w:rPr>
                <w:rFonts w:ascii="Calibri" w:hAnsi="Calibri"/>
                <w:color w:val="000000"/>
              </w:rPr>
            </w:pPr>
            <w:r w:rsidRPr="003F686B">
              <w:rPr>
                <w:rFonts w:ascii="Calibri" w:hAnsi="Calibri"/>
                <w:color w:val="000000"/>
              </w:rPr>
              <w:t>0</w:t>
            </w:r>
          </w:p>
        </w:tc>
        <w:tc>
          <w:tcPr>
            <w:tcW w:w="886" w:type="dxa"/>
            <w:gridSpan w:val="2"/>
            <w:tcBorders>
              <w:top w:val="single" w:sz="4" w:space="0" w:color="auto"/>
              <w:bottom w:val="single" w:sz="4" w:space="0" w:color="auto"/>
              <w:right w:val="single" w:sz="4" w:space="0" w:color="auto"/>
            </w:tcBorders>
            <w:vAlign w:val="bottom"/>
          </w:tcPr>
          <w:p w:rsidR="00155472" w:rsidRPr="003F686B" w:rsidRDefault="00155472" w:rsidP="00155472">
            <w:pPr>
              <w:spacing w:after="0"/>
              <w:jc w:val="center"/>
              <w:rPr>
                <w:rFonts w:ascii="Calibri" w:hAnsi="Calibri"/>
                <w:color w:val="000000"/>
              </w:rPr>
            </w:pPr>
            <w:r w:rsidRPr="003F686B">
              <w:rPr>
                <w:rFonts w:ascii="Calibri" w:hAnsi="Calibri"/>
                <w:color w:val="000000"/>
              </w:rPr>
              <w:t>12</w:t>
            </w:r>
          </w:p>
        </w:tc>
        <w:tc>
          <w:tcPr>
            <w:tcW w:w="687" w:type="dxa"/>
            <w:gridSpan w:val="2"/>
            <w:tcBorders>
              <w:left w:val="single" w:sz="4" w:space="0" w:color="auto"/>
            </w:tcBorders>
            <w:vAlign w:val="bottom"/>
          </w:tcPr>
          <w:p w:rsidR="00155472" w:rsidRPr="003F686B" w:rsidRDefault="00155472" w:rsidP="009A7935">
            <w:pPr>
              <w:spacing w:after="0"/>
              <w:jc w:val="center"/>
              <w:rPr>
                <w:rFonts w:ascii="Calibri" w:hAnsi="Calibri"/>
                <w:color w:val="000000"/>
              </w:rPr>
            </w:pPr>
          </w:p>
        </w:tc>
      </w:tr>
      <w:tr w:rsidR="00155472" w:rsidRPr="003F686B" w:rsidTr="00155472">
        <w:trPr>
          <w:trHeight w:val="288"/>
          <w:jc w:val="center"/>
        </w:trPr>
        <w:tc>
          <w:tcPr>
            <w:tcW w:w="466" w:type="dxa"/>
            <w:vMerge/>
            <w:tcBorders>
              <w:top w:val="nil"/>
              <w:left w:val="nil"/>
              <w:bottom w:val="nil"/>
              <w:right w:val="single" w:sz="4" w:space="0" w:color="auto"/>
            </w:tcBorders>
            <w:vAlign w:val="center"/>
            <w:hideMark/>
          </w:tcPr>
          <w:p w:rsidR="00155472" w:rsidRPr="003F686B" w:rsidRDefault="00155472" w:rsidP="009A7935">
            <w:pPr>
              <w:spacing w:after="0"/>
              <w:rPr>
                <w:rFonts w:ascii="Calibri" w:hAnsi="Calibri"/>
                <w:b/>
                <w:bCs/>
                <w:color w:val="000000"/>
              </w:rPr>
            </w:pP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55472" w:rsidRPr="003F686B" w:rsidRDefault="00155472" w:rsidP="009A7935">
            <w:pPr>
              <w:spacing w:after="0"/>
              <w:rPr>
                <w:rFonts w:ascii="Calibri" w:hAnsi="Calibri"/>
                <w:color w:val="000000"/>
              </w:rPr>
            </w:pPr>
            <w:r w:rsidRPr="003F686B">
              <w:rPr>
                <w:rFonts w:ascii="Calibri" w:hAnsi="Calibri"/>
                <w:color w:val="000000"/>
              </w:rPr>
              <w:t>Recovery guidance</w:t>
            </w:r>
          </w:p>
        </w:tc>
        <w:tc>
          <w:tcPr>
            <w:tcW w:w="1200" w:type="dxa"/>
            <w:tcBorders>
              <w:top w:val="single" w:sz="4" w:space="0" w:color="auto"/>
              <w:left w:val="single" w:sz="4" w:space="0" w:color="auto"/>
              <w:bottom w:val="single" w:sz="4" w:space="0" w:color="auto"/>
              <w:right w:val="single" w:sz="4" w:space="0" w:color="auto"/>
            </w:tcBorders>
            <w:vAlign w:val="bottom"/>
          </w:tcPr>
          <w:p w:rsidR="00155472" w:rsidRPr="003F686B" w:rsidRDefault="00155472" w:rsidP="009A7935">
            <w:pPr>
              <w:spacing w:after="0"/>
              <w:jc w:val="center"/>
              <w:rPr>
                <w:rFonts w:ascii="Calibri" w:hAnsi="Calibri"/>
                <w:color w:val="000000"/>
              </w:rPr>
            </w:pPr>
            <w:r w:rsidRPr="003F686B">
              <w:rPr>
                <w:rFonts w:ascii="Calibri" w:hAnsi="Calibri"/>
                <w:color w:val="000000"/>
              </w:rPr>
              <w:t>1</w:t>
            </w:r>
          </w:p>
        </w:tc>
        <w:tc>
          <w:tcPr>
            <w:tcW w:w="914" w:type="dxa"/>
            <w:tcBorders>
              <w:top w:val="single" w:sz="4" w:space="0" w:color="auto"/>
              <w:left w:val="single" w:sz="4" w:space="0" w:color="auto"/>
              <w:bottom w:val="single" w:sz="4" w:space="0" w:color="auto"/>
              <w:right w:val="single" w:sz="4" w:space="0" w:color="auto"/>
            </w:tcBorders>
            <w:shd w:val="clear" w:color="auto" w:fill="FFFF00"/>
            <w:noWrap/>
            <w:vAlign w:val="bottom"/>
          </w:tcPr>
          <w:p w:rsidR="00155472" w:rsidRPr="003F686B" w:rsidRDefault="00155472" w:rsidP="009A7935">
            <w:pPr>
              <w:spacing w:after="0"/>
              <w:jc w:val="center"/>
              <w:rPr>
                <w:rFonts w:ascii="Calibri" w:hAnsi="Calibri"/>
                <w:color w:val="000000"/>
              </w:rPr>
            </w:pPr>
            <w:r w:rsidRPr="003F686B">
              <w:rPr>
                <w:rFonts w:ascii="Calibri" w:hAnsi="Calibri"/>
                <w:color w:val="000000"/>
              </w:rPr>
              <w:t>6</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155472" w:rsidRPr="003F686B" w:rsidRDefault="00155472" w:rsidP="009A7935">
            <w:pPr>
              <w:spacing w:after="0"/>
              <w:jc w:val="center"/>
              <w:rPr>
                <w:rFonts w:ascii="Calibri" w:hAnsi="Calibri"/>
                <w:color w:val="000000"/>
              </w:rPr>
            </w:pPr>
            <w:r w:rsidRPr="003F686B">
              <w:rPr>
                <w:rFonts w:ascii="Calibri" w:hAnsi="Calibri"/>
                <w:color w:val="000000"/>
              </w:rPr>
              <w:t>1</w:t>
            </w:r>
          </w:p>
        </w:tc>
        <w:tc>
          <w:tcPr>
            <w:tcW w:w="1173" w:type="dxa"/>
            <w:tcBorders>
              <w:top w:val="single" w:sz="4" w:space="0" w:color="auto"/>
              <w:left w:val="single" w:sz="4" w:space="0" w:color="auto"/>
              <w:bottom w:val="single" w:sz="4" w:space="0" w:color="auto"/>
              <w:right w:val="single" w:sz="4" w:space="0" w:color="auto"/>
            </w:tcBorders>
            <w:shd w:val="clear" w:color="auto" w:fill="auto"/>
            <w:noWrap/>
            <w:vAlign w:val="bottom"/>
          </w:tcPr>
          <w:p w:rsidR="00155472" w:rsidRPr="003F686B" w:rsidRDefault="00155472" w:rsidP="009A7935">
            <w:pPr>
              <w:spacing w:after="0"/>
              <w:jc w:val="center"/>
              <w:rPr>
                <w:rFonts w:ascii="Calibri" w:hAnsi="Calibri"/>
                <w:color w:val="000000"/>
              </w:rPr>
            </w:pPr>
            <w:r w:rsidRPr="003F686B">
              <w:rPr>
                <w:rFonts w:ascii="Calibri" w:hAnsi="Calibri"/>
                <w:color w:val="000000"/>
              </w:rPr>
              <w:t>0</w:t>
            </w:r>
          </w:p>
        </w:tc>
        <w:tc>
          <w:tcPr>
            <w:tcW w:w="801" w:type="dxa"/>
            <w:tcBorders>
              <w:top w:val="single" w:sz="4" w:space="0" w:color="auto"/>
              <w:left w:val="single" w:sz="4" w:space="0" w:color="auto"/>
              <w:bottom w:val="single" w:sz="4" w:space="0" w:color="auto"/>
              <w:right w:val="single" w:sz="4" w:space="0" w:color="auto"/>
            </w:tcBorders>
            <w:shd w:val="clear" w:color="auto" w:fill="auto"/>
            <w:noWrap/>
            <w:vAlign w:val="bottom"/>
          </w:tcPr>
          <w:p w:rsidR="00155472" w:rsidRPr="003F686B" w:rsidRDefault="00155472" w:rsidP="009A7935">
            <w:pPr>
              <w:spacing w:after="0"/>
              <w:jc w:val="center"/>
              <w:rPr>
                <w:rFonts w:ascii="Calibri" w:hAnsi="Calibri"/>
                <w:color w:val="000000"/>
              </w:rPr>
            </w:pPr>
            <w:r w:rsidRPr="003F686B">
              <w:rPr>
                <w:rFonts w:ascii="Calibri" w:hAnsi="Calibri"/>
                <w:color w:val="000000"/>
              </w:rPr>
              <w:t>0</w:t>
            </w:r>
          </w:p>
        </w:tc>
        <w:tc>
          <w:tcPr>
            <w:tcW w:w="9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155472" w:rsidRPr="003F686B" w:rsidRDefault="00155472" w:rsidP="009A7935">
            <w:pPr>
              <w:spacing w:after="0"/>
              <w:jc w:val="center"/>
              <w:rPr>
                <w:rFonts w:ascii="Calibri" w:hAnsi="Calibri"/>
                <w:color w:val="000000"/>
              </w:rPr>
            </w:pPr>
            <w:r w:rsidRPr="003F686B">
              <w:rPr>
                <w:rFonts w:ascii="Calibri" w:hAnsi="Calibri"/>
                <w:color w:val="000000"/>
              </w:rPr>
              <w:t>0</w:t>
            </w:r>
          </w:p>
        </w:tc>
        <w:tc>
          <w:tcPr>
            <w:tcW w:w="1132" w:type="dxa"/>
            <w:tcBorders>
              <w:top w:val="single" w:sz="4" w:space="0" w:color="auto"/>
              <w:left w:val="single" w:sz="4" w:space="0" w:color="auto"/>
              <w:bottom w:val="single" w:sz="4" w:space="0" w:color="auto"/>
              <w:right w:val="single" w:sz="4" w:space="0" w:color="auto"/>
            </w:tcBorders>
            <w:shd w:val="clear" w:color="auto" w:fill="auto"/>
            <w:noWrap/>
            <w:vAlign w:val="bottom"/>
          </w:tcPr>
          <w:p w:rsidR="00155472" w:rsidRPr="003F686B" w:rsidRDefault="00155472" w:rsidP="009A7935">
            <w:pPr>
              <w:spacing w:after="0"/>
              <w:jc w:val="center"/>
              <w:rPr>
                <w:rFonts w:ascii="Calibri" w:hAnsi="Calibri"/>
                <w:color w:val="000000"/>
              </w:rPr>
            </w:pPr>
            <w:r w:rsidRPr="003F686B">
              <w:rPr>
                <w:rFonts w:ascii="Calibri" w:hAnsi="Calibri"/>
                <w:color w:val="000000"/>
              </w:rPr>
              <w:t>0</w:t>
            </w:r>
          </w:p>
        </w:tc>
        <w:tc>
          <w:tcPr>
            <w:tcW w:w="886" w:type="dxa"/>
            <w:gridSpan w:val="2"/>
            <w:tcBorders>
              <w:top w:val="single" w:sz="4" w:space="0" w:color="auto"/>
              <w:bottom w:val="single" w:sz="4" w:space="0" w:color="auto"/>
              <w:right w:val="single" w:sz="4" w:space="0" w:color="auto"/>
            </w:tcBorders>
            <w:vAlign w:val="bottom"/>
          </w:tcPr>
          <w:p w:rsidR="00155472" w:rsidRPr="003F686B" w:rsidRDefault="00155472" w:rsidP="009A7935">
            <w:pPr>
              <w:spacing w:after="0"/>
              <w:jc w:val="center"/>
              <w:rPr>
                <w:rFonts w:ascii="Calibri" w:hAnsi="Calibri"/>
                <w:color w:val="000000"/>
              </w:rPr>
            </w:pPr>
            <w:r w:rsidRPr="003F686B">
              <w:rPr>
                <w:rFonts w:ascii="Calibri" w:hAnsi="Calibri"/>
                <w:color w:val="000000"/>
              </w:rPr>
              <w:t>8</w:t>
            </w:r>
          </w:p>
        </w:tc>
        <w:tc>
          <w:tcPr>
            <w:tcW w:w="687" w:type="dxa"/>
            <w:gridSpan w:val="2"/>
            <w:tcBorders>
              <w:left w:val="single" w:sz="4" w:space="0" w:color="auto"/>
            </w:tcBorders>
            <w:vAlign w:val="bottom"/>
          </w:tcPr>
          <w:p w:rsidR="00155472" w:rsidRPr="003F686B" w:rsidRDefault="00155472" w:rsidP="009A7935">
            <w:pPr>
              <w:spacing w:after="0"/>
              <w:jc w:val="center"/>
              <w:rPr>
                <w:rFonts w:ascii="Calibri" w:hAnsi="Calibri"/>
                <w:color w:val="000000"/>
              </w:rPr>
            </w:pPr>
          </w:p>
        </w:tc>
      </w:tr>
      <w:tr w:rsidR="00155472" w:rsidRPr="003F686B" w:rsidTr="00155472">
        <w:trPr>
          <w:trHeight w:val="288"/>
          <w:jc w:val="center"/>
        </w:trPr>
        <w:tc>
          <w:tcPr>
            <w:tcW w:w="466" w:type="dxa"/>
            <w:vMerge/>
            <w:tcBorders>
              <w:top w:val="nil"/>
              <w:left w:val="nil"/>
              <w:bottom w:val="nil"/>
              <w:right w:val="single" w:sz="4" w:space="0" w:color="auto"/>
            </w:tcBorders>
            <w:vAlign w:val="center"/>
            <w:hideMark/>
          </w:tcPr>
          <w:p w:rsidR="00155472" w:rsidRPr="003F686B" w:rsidRDefault="00155472" w:rsidP="009A7935">
            <w:pPr>
              <w:spacing w:after="0"/>
              <w:rPr>
                <w:rFonts w:ascii="Calibri" w:hAnsi="Calibri"/>
                <w:b/>
                <w:bCs/>
                <w:color w:val="000000"/>
              </w:rPr>
            </w:pP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55472" w:rsidRPr="003F686B" w:rsidRDefault="00155472" w:rsidP="009A7935">
            <w:pPr>
              <w:spacing w:after="0"/>
              <w:rPr>
                <w:rFonts w:ascii="Calibri" w:hAnsi="Calibri"/>
                <w:color w:val="000000"/>
              </w:rPr>
            </w:pPr>
            <w:r w:rsidRPr="003F686B">
              <w:rPr>
                <w:rFonts w:ascii="Calibri" w:hAnsi="Calibri"/>
                <w:color w:val="000000"/>
              </w:rPr>
              <w:t>Monitoring</w:t>
            </w:r>
          </w:p>
        </w:tc>
        <w:tc>
          <w:tcPr>
            <w:tcW w:w="1200" w:type="dxa"/>
            <w:tcBorders>
              <w:top w:val="single" w:sz="4" w:space="0" w:color="auto"/>
              <w:left w:val="single" w:sz="4" w:space="0" w:color="auto"/>
              <w:bottom w:val="single" w:sz="4" w:space="0" w:color="auto"/>
              <w:right w:val="single" w:sz="4" w:space="0" w:color="auto"/>
            </w:tcBorders>
            <w:vAlign w:val="bottom"/>
          </w:tcPr>
          <w:p w:rsidR="00155472" w:rsidRPr="003F686B" w:rsidRDefault="00155472" w:rsidP="009A7935">
            <w:pPr>
              <w:spacing w:after="0"/>
              <w:jc w:val="center"/>
              <w:rPr>
                <w:rFonts w:ascii="Calibri" w:hAnsi="Calibri"/>
                <w:color w:val="000000"/>
              </w:rPr>
            </w:pPr>
            <w:r w:rsidRPr="003F686B">
              <w:rPr>
                <w:rFonts w:ascii="Calibri" w:hAnsi="Calibri"/>
                <w:color w:val="000000"/>
              </w:rPr>
              <w:t>0</w:t>
            </w:r>
          </w:p>
        </w:tc>
        <w:tc>
          <w:tcPr>
            <w:tcW w:w="914" w:type="dxa"/>
            <w:tcBorders>
              <w:top w:val="single" w:sz="4" w:space="0" w:color="auto"/>
              <w:left w:val="single" w:sz="4" w:space="0" w:color="auto"/>
              <w:bottom w:val="single" w:sz="4" w:space="0" w:color="auto"/>
              <w:right w:val="single" w:sz="4" w:space="0" w:color="auto"/>
            </w:tcBorders>
            <w:shd w:val="clear" w:color="auto" w:fill="auto"/>
            <w:noWrap/>
            <w:vAlign w:val="bottom"/>
          </w:tcPr>
          <w:p w:rsidR="00155472" w:rsidRPr="003F686B" w:rsidRDefault="00155472" w:rsidP="009A7935">
            <w:pPr>
              <w:spacing w:after="0"/>
              <w:jc w:val="center"/>
              <w:rPr>
                <w:rFonts w:ascii="Calibri" w:hAnsi="Calibri"/>
                <w:color w:val="000000"/>
              </w:rPr>
            </w:pPr>
            <w:r w:rsidRPr="003F686B">
              <w:rPr>
                <w:rFonts w:ascii="Calibri" w:hAnsi="Calibri"/>
                <w:color w:val="000000"/>
              </w:rPr>
              <w:t>3</w:t>
            </w:r>
          </w:p>
        </w:tc>
        <w:tc>
          <w:tcPr>
            <w:tcW w:w="1040" w:type="dxa"/>
            <w:tcBorders>
              <w:top w:val="single" w:sz="4" w:space="0" w:color="auto"/>
              <w:left w:val="single" w:sz="4" w:space="0" w:color="auto"/>
              <w:bottom w:val="single" w:sz="4" w:space="0" w:color="auto"/>
              <w:right w:val="single" w:sz="4" w:space="0" w:color="auto"/>
            </w:tcBorders>
            <w:shd w:val="clear" w:color="000000" w:fill="FFFF00"/>
            <w:noWrap/>
            <w:vAlign w:val="bottom"/>
          </w:tcPr>
          <w:p w:rsidR="00155472" w:rsidRPr="003F686B" w:rsidRDefault="00155472" w:rsidP="009A7935">
            <w:pPr>
              <w:spacing w:after="0"/>
              <w:jc w:val="center"/>
              <w:rPr>
                <w:rFonts w:ascii="Calibri" w:hAnsi="Calibri"/>
                <w:color w:val="000000"/>
              </w:rPr>
            </w:pPr>
            <w:r w:rsidRPr="003F686B">
              <w:rPr>
                <w:rFonts w:ascii="Calibri" w:hAnsi="Calibri"/>
                <w:color w:val="000000"/>
              </w:rPr>
              <w:t>17</w:t>
            </w:r>
          </w:p>
        </w:tc>
        <w:tc>
          <w:tcPr>
            <w:tcW w:w="1173" w:type="dxa"/>
            <w:tcBorders>
              <w:top w:val="single" w:sz="4" w:space="0" w:color="auto"/>
              <w:left w:val="single" w:sz="4" w:space="0" w:color="auto"/>
              <w:bottom w:val="single" w:sz="4" w:space="0" w:color="auto"/>
              <w:right w:val="single" w:sz="4" w:space="0" w:color="auto"/>
            </w:tcBorders>
            <w:shd w:val="clear" w:color="auto" w:fill="auto"/>
            <w:noWrap/>
            <w:vAlign w:val="bottom"/>
          </w:tcPr>
          <w:p w:rsidR="00155472" w:rsidRPr="003F686B" w:rsidRDefault="00155472" w:rsidP="009A7935">
            <w:pPr>
              <w:spacing w:after="0"/>
              <w:jc w:val="center"/>
              <w:rPr>
                <w:rFonts w:ascii="Calibri" w:hAnsi="Calibri"/>
                <w:color w:val="000000"/>
              </w:rPr>
            </w:pPr>
            <w:r w:rsidRPr="003F686B">
              <w:rPr>
                <w:rFonts w:ascii="Calibri" w:hAnsi="Calibri"/>
                <w:color w:val="000000"/>
              </w:rPr>
              <w:t>1</w:t>
            </w:r>
          </w:p>
        </w:tc>
        <w:tc>
          <w:tcPr>
            <w:tcW w:w="801" w:type="dxa"/>
            <w:tcBorders>
              <w:top w:val="single" w:sz="4" w:space="0" w:color="auto"/>
              <w:left w:val="single" w:sz="4" w:space="0" w:color="auto"/>
              <w:bottom w:val="single" w:sz="4" w:space="0" w:color="auto"/>
              <w:right w:val="single" w:sz="4" w:space="0" w:color="auto"/>
            </w:tcBorders>
            <w:shd w:val="clear" w:color="auto" w:fill="auto"/>
            <w:noWrap/>
            <w:vAlign w:val="bottom"/>
          </w:tcPr>
          <w:p w:rsidR="00155472" w:rsidRPr="003F686B" w:rsidRDefault="00155472" w:rsidP="009A7935">
            <w:pPr>
              <w:spacing w:after="0"/>
              <w:jc w:val="center"/>
              <w:rPr>
                <w:rFonts w:ascii="Calibri" w:hAnsi="Calibri"/>
                <w:color w:val="000000"/>
              </w:rPr>
            </w:pPr>
            <w:r w:rsidRPr="003F686B">
              <w:rPr>
                <w:rFonts w:ascii="Calibri" w:hAnsi="Calibri"/>
                <w:color w:val="000000"/>
              </w:rPr>
              <w:t>1</w:t>
            </w:r>
          </w:p>
        </w:tc>
        <w:tc>
          <w:tcPr>
            <w:tcW w:w="9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155472" w:rsidRPr="003F686B" w:rsidRDefault="00155472" w:rsidP="009A7935">
            <w:pPr>
              <w:spacing w:after="0"/>
              <w:jc w:val="center"/>
              <w:rPr>
                <w:rFonts w:ascii="Calibri" w:hAnsi="Calibri"/>
                <w:color w:val="000000"/>
              </w:rPr>
            </w:pPr>
            <w:r w:rsidRPr="003F686B">
              <w:rPr>
                <w:rFonts w:ascii="Calibri" w:hAnsi="Calibri"/>
                <w:color w:val="000000"/>
              </w:rPr>
              <w:t>3</w:t>
            </w:r>
          </w:p>
        </w:tc>
        <w:tc>
          <w:tcPr>
            <w:tcW w:w="1132" w:type="dxa"/>
            <w:tcBorders>
              <w:top w:val="single" w:sz="4" w:space="0" w:color="auto"/>
              <w:left w:val="single" w:sz="4" w:space="0" w:color="auto"/>
              <w:bottom w:val="single" w:sz="4" w:space="0" w:color="auto"/>
              <w:right w:val="single" w:sz="4" w:space="0" w:color="auto"/>
            </w:tcBorders>
            <w:shd w:val="clear" w:color="auto" w:fill="auto"/>
            <w:noWrap/>
            <w:vAlign w:val="bottom"/>
          </w:tcPr>
          <w:p w:rsidR="00155472" w:rsidRPr="003F686B" w:rsidRDefault="00155472" w:rsidP="009A7935">
            <w:pPr>
              <w:spacing w:after="0"/>
              <w:jc w:val="center"/>
              <w:rPr>
                <w:rFonts w:ascii="Calibri" w:hAnsi="Calibri"/>
                <w:color w:val="000000"/>
              </w:rPr>
            </w:pPr>
            <w:r w:rsidRPr="003F686B">
              <w:rPr>
                <w:rFonts w:ascii="Calibri" w:hAnsi="Calibri"/>
                <w:color w:val="000000"/>
              </w:rPr>
              <w:t>0</w:t>
            </w:r>
          </w:p>
        </w:tc>
        <w:tc>
          <w:tcPr>
            <w:tcW w:w="886" w:type="dxa"/>
            <w:gridSpan w:val="2"/>
            <w:tcBorders>
              <w:top w:val="single" w:sz="4" w:space="0" w:color="auto"/>
              <w:bottom w:val="single" w:sz="4" w:space="0" w:color="auto"/>
              <w:right w:val="single" w:sz="4" w:space="0" w:color="auto"/>
            </w:tcBorders>
            <w:vAlign w:val="bottom"/>
          </w:tcPr>
          <w:p w:rsidR="00155472" w:rsidRPr="003F686B" w:rsidRDefault="00155472" w:rsidP="009A7935">
            <w:pPr>
              <w:spacing w:after="0"/>
              <w:jc w:val="center"/>
              <w:rPr>
                <w:rFonts w:ascii="Calibri" w:hAnsi="Calibri"/>
                <w:color w:val="000000"/>
              </w:rPr>
            </w:pPr>
            <w:r w:rsidRPr="003F686B">
              <w:rPr>
                <w:rFonts w:ascii="Calibri" w:hAnsi="Calibri"/>
                <w:color w:val="000000"/>
              </w:rPr>
              <w:t>25</w:t>
            </w:r>
          </w:p>
        </w:tc>
        <w:tc>
          <w:tcPr>
            <w:tcW w:w="687" w:type="dxa"/>
            <w:gridSpan w:val="2"/>
            <w:tcBorders>
              <w:left w:val="single" w:sz="4" w:space="0" w:color="auto"/>
            </w:tcBorders>
            <w:vAlign w:val="bottom"/>
          </w:tcPr>
          <w:p w:rsidR="00155472" w:rsidRPr="003F686B" w:rsidRDefault="00155472" w:rsidP="009A7935">
            <w:pPr>
              <w:spacing w:after="0"/>
              <w:jc w:val="center"/>
              <w:rPr>
                <w:rFonts w:ascii="Calibri" w:hAnsi="Calibri"/>
                <w:color w:val="000000"/>
              </w:rPr>
            </w:pPr>
          </w:p>
        </w:tc>
      </w:tr>
      <w:tr w:rsidR="00155472" w:rsidRPr="003F686B" w:rsidTr="00155472">
        <w:trPr>
          <w:trHeight w:val="288"/>
          <w:jc w:val="center"/>
        </w:trPr>
        <w:tc>
          <w:tcPr>
            <w:tcW w:w="466" w:type="dxa"/>
            <w:vMerge/>
            <w:tcBorders>
              <w:top w:val="nil"/>
              <w:left w:val="nil"/>
              <w:bottom w:val="nil"/>
              <w:right w:val="single" w:sz="4" w:space="0" w:color="auto"/>
            </w:tcBorders>
            <w:vAlign w:val="center"/>
            <w:hideMark/>
          </w:tcPr>
          <w:p w:rsidR="00155472" w:rsidRPr="003F686B" w:rsidRDefault="00155472" w:rsidP="009A7935">
            <w:pPr>
              <w:spacing w:after="0"/>
              <w:rPr>
                <w:rFonts w:ascii="Calibri" w:hAnsi="Calibri"/>
                <w:b/>
                <w:bCs/>
                <w:color w:val="000000"/>
              </w:rPr>
            </w:pP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55472" w:rsidRPr="003F686B" w:rsidRDefault="00155472" w:rsidP="009A7935">
            <w:pPr>
              <w:spacing w:after="0"/>
              <w:rPr>
                <w:rFonts w:ascii="Calibri" w:hAnsi="Calibri"/>
                <w:color w:val="000000"/>
              </w:rPr>
            </w:pPr>
            <w:r w:rsidRPr="003F686B">
              <w:rPr>
                <w:rFonts w:ascii="Calibri" w:hAnsi="Calibri"/>
                <w:color w:val="000000"/>
              </w:rPr>
              <w:t>Coordination</w:t>
            </w:r>
          </w:p>
        </w:tc>
        <w:tc>
          <w:tcPr>
            <w:tcW w:w="1200" w:type="dxa"/>
            <w:tcBorders>
              <w:top w:val="single" w:sz="4" w:space="0" w:color="auto"/>
              <w:left w:val="single" w:sz="4" w:space="0" w:color="auto"/>
              <w:bottom w:val="single" w:sz="4" w:space="0" w:color="auto"/>
              <w:right w:val="single" w:sz="4" w:space="0" w:color="auto"/>
            </w:tcBorders>
            <w:vAlign w:val="bottom"/>
          </w:tcPr>
          <w:p w:rsidR="00155472" w:rsidRPr="003F686B" w:rsidRDefault="00155472" w:rsidP="009A7935">
            <w:pPr>
              <w:spacing w:after="0"/>
              <w:jc w:val="center"/>
              <w:rPr>
                <w:rFonts w:ascii="Calibri" w:hAnsi="Calibri"/>
                <w:color w:val="000000"/>
              </w:rPr>
            </w:pPr>
            <w:r w:rsidRPr="003F686B">
              <w:rPr>
                <w:rFonts w:ascii="Calibri" w:hAnsi="Calibri"/>
                <w:color w:val="000000"/>
              </w:rPr>
              <w:t>0</w:t>
            </w:r>
          </w:p>
        </w:tc>
        <w:tc>
          <w:tcPr>
            <w:tcW w:w="914" w:type="dxa"/>
            <w:tcBorders>
              <w:top w:val="single" w:sz="4" w:space="0" w:color="auto"/>
              <w:left w:val="single" w:sz="4" w:space="0" w:color="auto"/>
              <w:bottom w:val="single" w:sz="4" w:space="0" w:color="auto"/>
              <w:right w:val="single" w:sz="4" w:space="0" w:color="auto"/>
            </w:tcBorders>
            <w:shd w:val="clear" w:color="auto" w:fill="auto"/>
            <w:noWrap/>
            <w:vAlign w:val="bottom"/>
          </w:tcPr>
          <w:p w:rsidR="00155472" w:rsidRPr="003F686B" w:rsidRDefault="00155472" w:rsidP="009A7935">
            <w:pPr>
              <w:spacing w:after="0"/>
              <w:jc w:val="center"/>
              <w:rPr>
                <w:rFonts w:ascii="Calibri" w:hAnsi="Calibri"/>
                <w:color w:val="000000"/>
              </w:rPr>
            </w:pPr>
            <w:r w:rsidRPr="003F686B">
              <w:rPr>
                <w:rFonts w:ascii="Calibri" w:hAnsi="Calibri"/>
                <w:color w:val="000000"/>
              </w:rPr>
              <w:t>0</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155472" w:rsidRPr="003F686B" w:rsidRDefault="00155472" w:rsidP="009A7935">
            <w:pPr>
              <w:spacing w:after="0"/>
              <w:jc w:val="center"/>
              <w:rPr>
                <w:rFonts w:ascii="Calibri" w:hAnsi="Calibri"/>
                <w:color w:val="000000"/>
              </w:rPr>
            </w:pPr>
            <w:r w:rsidRPr="003F686B">
              <w:rPr>
                <w:rFonts w:ascii="Calibri" w:hAnsi="Calibri"/>
                <w:color w:val="000000"/>
              </w:rPr>
              <w:t>4</w:t>
            </w:r>
          </w:p>
        </w:tc>
        <w:tc>
          <w:tcPr>
            <w:tcW w:w="1173" w:type="dxa"/>
            <w:tcBorders>
              <w:top w:val="single" w:sz="4" w:space="0" w:color="auto"/>
              <w:left w:val="single" w:sz="4" w:space="0" w:color="auto"/>
              <w:bottom w:val="single" w:sz="4" w:space="0" w:color="auto"/>
              <w:right w:val="single" w:sz="4" w:space="0" w:color="auto"/>
            </w:tcBorders>
            <w:shd w:val="clear" w:color="000000" w:fill="FFFF00"/>
            <w:noWrap/>
            <w:vAlign w:val="bottom"/>
          </w:tcPr>
          <w:p w:rsidR="00155472" w:rsidRPr="003F686B" w:rsidRDefault="00155472" w:rsidP="009A7935">
            <w:pPr>
              <w:spacing w:after="0"/>
              <w:jc w:val="center"/>
              <w:rPr>
                <w:rFonts w:ascii="Calibri" w:hAnsi="Calibri"/>
                <w:color w:val="000000"/>
              </w:rPr>
            </w:pPr>
            <w:r w:rsidRPr="003F686B">
              <w:rPr>
                <w:rFonts w:ascii="Calibri" w:hAnsi="Calibri"/>
                <w:color w:val="000000"/>
              </w:rPr>
              <w:t>11</w:t>
            </w:r>
          </w:p>
        </w:tc>
        <w:tc>
          <w:tcPr>
            <w:tcW w:w="801" w:type="dxa"/>
            <w:tcBorders>
              <w:top w:val="single" w:sz="4" w:space="0" w:color="auto"/>
              <w:left w:val="single" w:sz="4" w:space="0" w:color="auto"/>
              <w:bottom w:val="single" w:sz="4" w:space="0" w:color="auto"/>
              <w:right w:val="single" w:sz="4" w:space="0" w:color="auto"/>
            </w:tcBorders>
            <w:shd w:val="clear" w:color="auto" w:fill="auto"/>
            <w:noWrap/>
            <w:vAlign w:val="bottom"/>
          </w:tcPr>
          <w:p w:rsidR="00155472" w:rsidRPr="003F686B" w:rsidRDefault="00155472" w:rsidP="009A7935">
            <w:pPr>
              <w:spacing w:after="0"/>
              <w:jc w:val="center"/>
              <w:rPr>
                <w:rFonts w:ascii="Calibri" w:hAnsi="Calibri"/>
                <w:color w:val="000000"/>
              </w:rPr>
            </w:pPr>
            <w:r w:rsidRPr="003F686B">
              <w:rPr>
                <w:rFonts w:ascii="Calibri" w:hAnsi="Calibri"/>
                <w:color w:val="000000"/>
              </w:rPr>
              <w:t>4</w:t>
            </w:r>
          </w:p>
        </w:tc>
        <w:tc>
          <w:tcPr>
            <w:tcW w:w="9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155472" w:rsidRPr="003F686B" w:rsidRDefault="00155472" w:rsidP="009A7935">
            <w:pPr>
              <w:spacing w:after="0"/>
              <w:jc w:val="center"/>
              <w:rPr>
                <w:rFonts w:ascii="Calibri" w:hAnsi="Calibri"/>
                <w:color w:val="000000"/>
              </w:rPr>
            </w:pPr>
            <w:r w:rsidRPr="003F686B">
              <w:rPr>
                <w:rFonts w:ascii="Calibri" w:hAnsi="Calibri"/>
                <w:color w:val="000000"/>
              </w:rPr>
              <w:t>4</w:t>
            </w:r>
          </w:p>
        </w:tc>
        <w:tc>
          <w:tcPr>
            <w:tcW w:w="1132" w:type="dxa"/>
            <w:tcBorders>
              <w:top w:val="single" w:sz="4" w:space="0" w:color="auto"/>
              <w:left w:val="single" w:sz="4" w:space="0" w:color="auto"/>
              <w:bottom w:val="single" w:sz="4" w:space="0" w:color="auto"/>
              <w:right w:val="single" w:sz="4" w:space="0" w:color="auto"/>
            </w:tcBorders>
            <w:shd w:val="clear" w:color="auto" w:fill="auto"/>
            <w:noWrap/>
            <w:vAlign w:val="bottom"/>
          </w:tcPr>
          <w:p w:rsidR="00155472" w:rsidRPr="003F686B" w:rsidRDefault="00155472" w:rsidP="009A7935">
            <w:pPr>
              <w:spacing w:after="0"/>
              <w:jc w:val="center"/>
              <w:rPr>
                <w:rFonts w:ascii="Calibri" w:hAnsi="Calibri"/>
                <w:color w:val="000000"/>
              </w:rPr>
            </w:pPr>
            <w:r w:rsidRPr="003F686B">
              <w:rPr>
                <w:rFonts w:ascii="Calibri" w:hAnsi="Calibri"/>
                <w:color w:val="000000"/>
              </w:rPr>
              <w:t>0</w:t>
            </w:r>
          </w:p>
        </w:tc>
        <w:tc>
          <w:tcPr>
            <w:tcW w:w="886" w:type="dxa"/>
            <w:gridSpan w:val="2"/>
            <w:tcBorders>
              <w:top w:val="single" w:sz="4" w:space="0" w:color="auto"/>
              <w:bottom w:val="single" w:sz="4" w:space="0" w:color="auto"/>
              <w:right w:val="single" w:sz="4" w:space="0" w:color="auto"/>
            </w:tcBorders>
            <w:vAlign w:val="bottom"/>
          </w:tcPr>
          <w:p w:rsidR="00155472" w:rsidRPr="003F686B" w:rsidRDefault="00155472" w:rsidP="009A7935">
            <w:pPr>
              <w:spacing w:after="0"/>
              <w:jc w:val="center"/>
              <w:rPr>
                <w:rFonts w:ascii="Calibri" w:hAnsi="Calibri"/>
                <w:color w:val="000000"/>
              </w:rPr>
            </w:pPr>
            <w:r w:rsidRPr="003F686B">
              <w:rPr>
                <w:rFonts w:ascii="Calibri" w:hAnsi="Calibri"/>
                <w:color w:val="000000"/>
              </w:rPr>
              <w:t>23</w:t>
            </w:r>
          </w:p>
        </w:tc>
        <w:tc>
          <w:tcPr>
            <w:tcW w:w="687" w:type="dxa"/>
            <w:gridSpan w:val="2"/>
            <w:tcBorders>
              <w:left w:val="single" w:sz="4" w:space="0" w:color="auto"/>
            </w:tcBorders>
            <w:vAlign w:val="bottom"/>
          </w:tcPr>
          <w:p w:rsidR="00155472" w:rsidRPr="003F686B" w:rsidRDefault="00155472" w:rsidP="009A7935">
            <w:pPr>
              <w:spacing w:after="0"/>
              <w:jc w:val="center"/>
              <w:rPr>
                <w:rFonts w:ascii="Calibri" w:hAnsi="Calibri"/>
                <w:color w:val="000000"/>
              </w:rPr>
            </w:pPr>
          </w:p>
        </w:tc>
      </w:tr>
      <w:tr w:rsidR="00155472" w:rsidRPr="003F686B" w:rsidTr="008929F6">
        <w:trPr>
          <w:trHeight w:val="287"/>
          <w:jc w:val="center"/>
        </w:trPr>
        <w:tc>
          <w:tcPr>
            <w:tcW w:w="466" w:type="dxa"/>
            <w:vMerge/>
            <w:tcBorders>
              <w:top w:val="nil"/>
              <w:left w:val="nil"/>
              <w:bottom w:val="nil"/>
              <w:right w:val="single" w:sz="4" w:space="0" w:color="auto"/>
            </w:tcBorders>
            <w:vAlign w:val="center"/>
            <w:hideMark/>
          </w:tcPr>
          <w:p w:rsidR="00155472" w:rsidRPr="003F686B" w:rsidRDefault="00155472" w:rsidP="009A7935">
            <w:pPr>
              <w:spacing w:after="0"/>
              <w:rPr>
                <w:rFonts w:ascii="Calibri" w:hAnsi="Calibri"/>
                <w:b/>
                <w:bCs/>
                <w:color w:val="000000"/>
              </w:rPr>
            </w:pP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55472" w:rsidRPr="003F686B" w:rsidRDefault="00155472" w:rsidP="009A7935">
            <w:pPr>
              <w:spacing w:after="0"/>
              <w:rPr>
                <w:rFonts w:ascii="Calibri" w:hAnsi="Calibri"/>
                <w:color w:val="000000"/>
              </w:rPr>
            </w:pPr>
            <w:r w:rsidRPr="003F686B">
              <w:rPr>
                <w:rFonts w:ascii="Calibri" w:hAnsi="Calibri"/>
                <w:color w:val="000000"/>
              </w:rPr>
              <w:t>Support</w:t>
            </w:r>
          </w:p>
        </w:tc>
        <w:tc>
          <w:tcPr>
            <w:tcW w:w="1200" w:type="dxa"/>
            <w:tcBorders>
              <w:top w:val="single" w:sz="4" w:space="0" w:color="auto"/>
              <w:left w:val="single" w:sz="4" w:space="0" w:color="auto"/>
              <w:bottom w:val="single" w:sz="4" w:space="0" w:color="auto"/>
              <w:right w:val="single" w:sz="4" w:space="0" w:color="auto"/>
            </w:tcBorders>
            <w:vAlign w:val="bottom"/>
          </w:tcPr>
          <w:p w:rsidR="00155472" w:rsidRPr="003F686B" w:rsidRDefault="00155472" w:rsidP="009A7935">
            <w:pPr>
              <w:spacing w:after="0"/>
              <w:jc w:val="center"/>
              <w:rPr>
                <w:rFonts w:ascii="Calibri" w:hAnsi="Calibri"/>
                <w:color w:val="000000"/>
              </w:rPr>
            </w:pPr>
            <w:r w:rsidRPr="003F686B">
              <w:rPr>
                <w:rFonts w:ascii="Calibri" w:hAnsi="Calibri"/>
                <w:color w:val="000000"/>
              </w:rPr>
              <w:t>0</w:t>
            </w:r>
          </w:p>
        </w:tc>
        <w:tc>
          <w:tcPr>
            <w:tcW w:w="914" w:type="dxa"/>
            <w:tcBorders>
              <w:top w:val="single" w:sz="4" w:space="0" w:color="auto"/>
              <w:left w:val="single" w:sz="4" w:space="0" w:color="auto"/>
              <w:bottom w:val="single" w:sz="4" w:space="0" w:color="auto"/>
              <w:right w:val="single" w:sz="4" w:space="0" w:color="auto"/>
            </w:tcBorders>
            <w:shd w:val="clear" w:color="auto" w:fill="auto"/>
            <w:noWrap/>
            <w:vAlign w:val="bottom"/>
          </w:tcPr>
          <w:p w:rsidR="00155472" w:rsidRPr="003F686B" w:rsidRDefault="00155472" w:rsidP="009A7935">
            <w:pPr>
              <w:spacing w:after="0"/>
              <w:jc w:val="center"/>
              <w:rPr>
                <w:rFonts w:ascii="Calibri" w:hAnsi="Calibri"/>
                <w:color w:val="000000"/>
              </w:rPr>
            </w:pPr>
            <w:r w:rsidRPr="003F686B">
              <w:rPr>
                <w:rFonts w:ascii="Calibri" w:hAnsi="Calibri"/>
                <w:color w:val="000000"/>
              </w:rPr>
              <w:t>0</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155472" w:rsidRPr="003F686B" w:rsidRDefault="00155472" w:rsidP="009A7935">
            <w:pPr>
              <w:spacing w:after="0"/>
              <w:jc w:val="center"/>
              <w:rPr>
                <w:rFonts w:ascii="Calibri" w:hAnsi="Calibri"/>
                <w:color w:val="000000"/>
              </w:rPr>
            </w:pPr>
            <w:r w:rsidRPr="003F686B">
              <w:rPr>
                <w:rFonts w:ascii="Calibri" w:hAnsi="Calibri"/>
                <w:color w:val="000000"/>
              </w:rPr>
              <w:t>0</w:t>
            </w:r>
          </w:p>
        </w:tc>
        <w:tc>
          <w:tcPr>
            <w:tcW w:w="1173" w:type="dxa"/>
            <w:tcBorders>
              <w:top w:val="single" w:sz="4" w:space="0" w:color="auto"/>
              <w:left w:val="single" w:sz="4" w:space="0" w:color="auto"/>
              <w:bottom w:val="single" w:sz="4" w:space="0" w:color="auto"/>
              <w:right w:val="single" w:sz="4" w:space="0" w:color="auto"/>
            </w:tcBorders>
            <w:shd w:val="clear" w:color="auto" w:fill="auto"/>
            <w:noWrap/>
            <w:vAlign w:val="bottom"/>
          </w:tcPr>
          <w:p w:rsidR="00155472" w:rsidRPr="003F686B" w:rsidRDefault="00155472" w:rsidP="009A7935">
            <w:pPr>
              <w:spacing w:after="0"/>
              <w:jc w:val="center"/>
              <w:rPr>
                <w:rFonts w:ascii="Calibri" w:hAnsi="Calibri"/>
                <w:color w:val="000000"/>
              </w:rPr>
            </w:pPr>
            <w:r w:rsidRPr="003F686B">
              <w:rPr>
                <w:rFonts w:ascii="Calibri" w:hAnsi="Calibri"/>
                <w:color w:val="000000"/>
              </w:rPr>
              <w:t>1</w:t>
            </w:r>
          </w:p>
        </w:tc>
        <w:tc>
          <w:tcPr>
            <w:tcW w:w="801" w:type="dxa"/>
            <w:tcBorders>
              <w:top w:val="single" w:sz="4" w:space="0" w:color="auto"/>
              <w:left w:val="single" w:sz="4" w:space="0" w:color="auto"/>
              <w:bottom w:val="single" w:sz="4" w:space="0" w:color="auto"/>
              <w:right w:val="single" w:sz="4" w:space="0" w:color="auto"/>
            </w:tcBorders>
            <w:shd w:val="clear" w:color="000000" w:fill="FFFF00"/>
            <w:noWrap/>
            <w:vAlign w:val="bottom"/>
          </w:tcPr>
          <w:p w:rsidR="00155472" w:rsidRPr="003F686B" w:rsidRDefault="00155472" w:rsidP="009A7935">
            <w:pPr>
              <w:spacing w:after="0"/>
              <w:jc w:val="center"/>
              <w:rPr>
                <w:rFonts w:ascii="Calibri" w:hAnsi="Calibri"/>
                <w:color w:val="000000"/>
              </w:rPr>
            </w:pPr>
            <w:r w:rsidRPr="003F686B">
              <w:rPr>
                <w:rFonts w:ascii="Calibri" w:hAnsi="Calibri"/>
                <w:color w:val="000000"/>
              </w:rPr>
              <w:t>57</w:t>
            </w:r>
          </w:p>
        </w:tc>
        <w:tc>
          <w:tcPr>
            <w:tcW w:w="9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155472" w:rsidRPr="003F686B" w:rsidRDefault="00155472" w:rsidP="009A7935">
            <w:pPr>
              <w:spacing w:after="0"/>
              <w:jc w:val="center"/>
              <w:rPr>
                <w:rFonts w:ascii="Calibri" w:hAnsi="Calibri"/>
                <w:color w:val="000000"/>
              </w:rPr>
            </w:pPr>
            <w:r w:rsidRPr="003F686B">
              <w:rPr>
                <w:rFonts w:ascii="Calibri" w:hAnsi="Calibri"/>
                <w:color w:val="000000"/>
              </w:rPr>
              <w:t>14</w:t>
            </w:r>
          </w:p>
        </w:tc>
        <w:tc>
          <w:tcPr>
            <w:tcW w:w="1132" w:type="dxa"/>
            <w:tcBorders>
              <w:top w:val="single" w:sz="4" w:space="0" w:color="auto"/>
              <w:left w:val="single" w:sz="4" w:space="0" w:color="auto"/>
              <w:bottom w:val="single" w:sz="4" w:space="0" w:color="auto"/>
              <w:right w:val="single" w:sz="4" w:space="0" w:color="auto"/>
            </w:tcBorders>
            <w:shd w:val="clear" w:color="auto" w:fill="auto"/>
            <w:noWrap/>
            <w:vAlign w:val="bottom"/>
          </w:tcPr>
          <w:p w:rsidR="00155472" w:rsidRPr="003F686B" w:rsidRDefault="00155472" w:rsidP="009A7935">
            <w:pPr>
              <w:spacing w:after="0"/>
              <w:jc w:val="center"/>
              <w:rPr>
                <w:rFonts w:ascii="Calibri" w:hAnsi="Calibri"/>
                <w:color w:val="000000"/>
              </w:rPr>
            </w:pPr>
            <w:r w:rsidRPr="003F686B">
              <w:rPr>
                <w:rFonts w:ascii="Calibri" w:hAnsi="Calibri"/>
                <w:color w:val="000000"/>
              </w:rPr>
              <w:t>0</w:t>
            </w:r>
          </w:p>
        </w:tc>
        <w:tc>
          <w:tcPr>
            <w:tcW w:w="886" w:type="dxa"/>
            <w:gridSpan w:val="2"/>
            <w:tcBorders>
              <w:top w:val="single" w:sz="4" w:space="0" w:color="auto"/>
              <w:bottom w:val="single" w:sz="4" w:space="0" w:color="auto"/>
              <w:right w:val="single" w:sz="4" w:space="0" w:color="auto"/>
            </w:tcBorders>
            <w:vAlign w:val="bottom"/>
          </w:tcPr>
          <w:p w:rsidR="00155472" w:rsidRPr="003F686B" w:rsidRDefault="00155472" w:rsidP="009A7935">
            <w:pPr>
              <w:spacing w:after="0"/>
              <w:jc w:val="center"/>
              <w:rPr>
                <w:rFonts w:ascii="Calibri" w:hAnsi="Calibri"/>
                <w:color w:val="000000"/>
              </w:rPr>
            </w:pPr>
            <w:r w:rsidRPr="003F686B">
              <w:rPr>
                <w:rFonts w:ascii="Calibri" w:hAnsi="Calibri"/>
                <w:color w:val="000000"/>
              </w:rPr>
              <w:t>72</w:t>
            </w:r>
          </w:p>
        </w:tc>
        <w:tc>
          <w:tcPr>
            <w:tcW w:w="687" w:type="dxa"/>
            <w:gridSpan w:val="2"/>
            <w:tcBorders>
              <w:left w:val="single" w:sz="4" w:space="0" w:color="auto"/>
            </w:tcBorders>
            <w:vAlign w:val="bottom"/>
          </w:tcPr>
          <w:p w:rsidR="00155472" w:rsidRPr="003F686B" w:rsidRDefault="00155472" w:rsidP="009A7935">
            <w:pPr>
              <w:spacing w:after="0"/>
              <w:jc w:val="center"/>
              <w:rPr>
                <w:rFonts w:ascii="Calibri" w:hAnsi="Calibri"/>
                <w:color w:val="000000"/>
              </w:rPr>
            </w:pPr>
          </w:p>
        </w:tc>
      </w:tr>
      <w:tr w:rsidR="00155472" w:rsidRPr="003F686B" w:rsidTr="004A1ED9">
        <w:trPr>
          <w:trHeight w:val="305"/>
          <w:jc w:val="center"/>
        </w:trPr>
        <w:tc>
          <w:tcPr>
            <w:tcW w:w="466" w:type="dxa"/>
            <w:vMerge/>
            <w:tcBorders>
              <w:top w:val="nil"/>
              <w:left w:val="nil"/>
              <w:bottom w:val="nil"/>
              <w:right w:val="single" w:sz="4" w:space="0" w:color="auto"/>
            </w:tcBorders>
            <w:vAlign w:val="center"/>
            <w:hideMark/>
          </w:tcPr>
          <w:p w:rsidR="00155472" w:rsidRPr="003F686B" w:rsidRDefault="00155472" w:rsidP="009A7935">
            <w:pPr>
              <w:spacing w:after="0"/>
              <w:rPr>
                <w:rFonts w:ascii="Calibri" w:hAnsi="Calibri"/>
                <w:b/>
                <w:bCs/>
                <w:color w:val="000000"/>
              </w:rPr>
            </w:pP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55472" w:rsidRPr="003F686B" w:rsidRDefault="00155472" w:rsidP="009A7935">
            <w:pPr>
              <w:spacing w:after="0"/>
              <w:rPr>
                <w:rFonts w:ascii="Calibri" w:hAnsi="Calibri"/>
                <w:color w:val="000000"/>
              </w:rPr>
            </w:pPr>
            <w:r w:rsidRPr="003F686B">
              <w:rPr>
                <w:rFonts w:ascii="Calibri" w:hAnsi="Calibri"/>
                <w:color w:val="000000"/>
              </w:rPr>
              <w:t>Prevention</w:t>
            </w:r>
          </w:p>
        </w:tc>
        <w:tc>
          <w:tcPr>
            <w:tcW w:w="1200" w:type="dxa"/>
            <w:tcBorders>
              <w:top w:val="single" w:sz="4" w:space="0" w:color="auto"/>
              <w:left w:val="single" w:sz="4" w:space="0" w:color="auto"/>
              <w:bottom w:val="single" w:sz="4" w:space="0" w:color="auto"/>
              <w:right w:val="single" w:sz="4" w:space="0" w:color="auto"/>
            </w:tcBorders>
            <w:vAlign w:val="bottom"/>
          </w:tcPr>
          <w:p w:rsidR="00155472" w:rsidRPr="003F686B" w:rsidRDefault="00155472" w:rsidP="009A7935">
            <w:pPr>
              <w:spacing w:after="0"/>
              <w:jc w:val="center"/>
              <w:rPr>
                <w:rFonts w:ascii="Calibri" w:hAnsi="Calibri"/>
                <w:color w:val="000000"/>
              </w:rPr>
            </w:pPr>
            <w:r w:rsidRPr="003F686B">
              <w:rPr>
                <w:rFonts w:ascii="Calibri" w:hAnsi="Calibri"/>
                <w:color w:val="000000"/>
              </w:rPr>
              <w:t>0</w:t>
            </w:r>
          </w:p>
        </w:tc>
        <w:tc>
          <w:tcPr>
            <w:tcW w:w="914" w:type="dxa"/>
            <w:tcBorders>
              <w:top w:val="single" w:sz="4" w:space="0" w:color="auto"/>
              <w:left w:val="single" w:sz="4" w:space="0" w:color="auto"/>
              <w:bottom w:val="single" w:sz="4" w:space="0" w:color="auto"/>
              <w:right w:val="single" w:sz="4" w:space="0" w:color="auto"/>
            </w:tcBorders>
            <w:shd w:val="clear" w:color="auto" w:fill="auto"/>
            <w:noWrap/>
            <w:vAlign w:val="bottom"/>
          </w:tcPr>
          <w:p w:rsidR="00155472" w:rsidRPr="003F686B" w:rsidRDefault="00155472" w:rsidP="009A7935">
            <w:pPr>
              <w:spacing w:after="0"/>
              <w:jc w:val="center"/>
              <w:rPr>
                <w:rFonts w:ascii="Calibri" w:hAnsi="Calibri"/>
                <w:color w:val="000000"/>
              </w:rPr>
            </w:pPr>
            <w:r w:rsidRPr="003F686B">
              <w:rPr>
                <w:rFonts w:ascii="Calibri" w:hAnsi="Calibri"/>
                <w:color w:val="000000"/>
              </w:rPr>
              <w:t>0</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155472" w:rsidRPr="003F686B" w:rsidRDefault="00155472" w:rsidP="009A7935">
            <w:pPr>
              <w:spacing w:after="0"/>
              <w:jc w:val="center"/>
              <w:rPr>
                <w:rFonts w:ascii="Calibri" w:hAnsi="Calibri"/>
                <w:color w:val="000000"/>
              </w:rPr>
            </w:pPr>
            <w:r w:rsidRPr="003F686B">
              <w:rPr>
                <w:rFonts w:ascii="Calibri" w:hAnsi="Calibri"/>
                <w:color w:val="000000"/>
              </w:rPr>
              <w:t>0</w:t>
            </w:r>
          </w:p>
        </w:tc>
        <w:tc>
          <w:tcPr>
            <w:tcW w:w="1173" w:type="dxa"/>
            <w:tcBorders>
              <w:top w:val="single" w:sz="4" w:space="0" w:color="auto"/>
              <w:left w:val="single" w:sz="4" w:space="0" w:color="auto"/>
              <w:bottom w:val="single" w:sz="4" w:space="0" w:color="auto"/>
              <w:right w:val="single" w:sz="4" w:space="0" w:color="auto"/>
            </w:tcBorders>
            <w:shd w:val="clear" w:color="auto" w:fill="auto"/>
            <w:noWrap/>
            <w:vAlign w:val="bottom"/>
          </w:tcPr>
          <w:p w:rsidR="00155472" w:rsidRPr="003F686B" w:rsidRDefault="00155472" w:rsidP="009A7935">
            <w:pPr>
              <w:spacing w:after="0"/>
              <w:jc w:val="center"/>
              <w:rPr>
                <w:rFonts w:ascii="Calibri" w:hAnsi="Calibri"/>
                <w:color w:val="000000"/>
              </w:rPr>
            </w:pPr>
            <w:r w:rsidRPr="003F686B">
              <w:rPr>
                <w:rFonts w:ascii="Calibri" w:hAnsi="Calibri"/>
                <w:color w:val="000000"/>
              </w:rPr>
              <w:t>1</w:t>
            </w:r>
          </w:p>
        </w:tc>
        <w:tc>
          <w:tcPr>
            <w:tcW w:w="801" w:type="dxa"/>
            <w:tcBorders>
              <w:top w:val="single" w:sz="4" w:space="0" w:color="auto"/>
              <w:left w:val="single" w:sz="4" w:space="0" w:color="auto"/>
              <w:bottom w:val="single" w:sz="4" w:space="0" w:color="auto"/>
              <w:right w:val="single" w:sz="4" w:space="0" w:color="auto"/>
            </w:tcBorders>
            <w:shd w:val="clear" w:color="auto" w:fill="auto"/>
            <w:noWrap/>
            <w:vAlign w:val="bottom"/>
          </w:tcPr>
          <w:p w:rsidR="00155472" w:rsidRPr="003F686B" w:rsidRDefault="00155472" w:rsidP="009A7935">
            <w:pPr>
              <w:spacing w:after="0"/>
              <w:jc w:val="center"/>
              <w:rPr>
                <w:rFonts w:ascii="Calibri" w:hAnsi="Calibri"/>
                <w:color w:val="000000"/>
              </w:rPr>
            </w:pPr>
            <w:r w:rsidRPr="003F686B">
              <w:rPr>
                <w:rFonts w:ascii="Calibri" w:hAnsi="Calibri"/>
                <w:color w:val="000000"/>
              </w:rPr>
              <w:t>5</w:t>
            </w:r>
          </w:p>
        </w:tc>
        <w:tc>
          <w:tcPr>
            <w:tcW w:w="946" w:type="dxa"/>
            <w:tcBorders>
              <w:top w:val="single" w:sz="4" w:space="0" w:color="auto"/>
              <w:left w:val="single" w:sz="4" w:space="0" w:color="auto"/>
              <w:bottom w:val="single" w:sz="4" w:space="0" w:color="auto"/>
              <w:right w:val="single" w:sz="4" w:space="0" w:color="auto"/>
            </w:tcBorders>
            <w:shd w:val="clear" w:color="000000" w:fill="FFFF00"/>
            <w:noWrap/>
            <w:vAlign w:val="bottom"/>
          </w:tcPr>
          <w:p w:rsidR="00155472" w:rsidRPr="003F686B" w:rsidRDefault="00155472" w:rsidP="009A7935">
            <w:pPr>
              <w:spacing w:after="0"/>
              <w:jc w:val="center"/>
              <w:rPr>
                <w:rFonts w:ascii="Calibri" w:hAnsi="Calibri"/>
                <w:color w:val="000000"/>
              </w:rPr>
            </w:pPr>
            <w:r w:rsidRPr="003F686B">
              <w:rPr>
                <w:rFonts w:ascii="Calibri" w:hAnsi="Calibri"/>
                <w:color w:val="000000"/>
              </w:rPr>
              <w:t>140</w:t>
            </w:r>
          </w:p>
        </w:tc>
        <w:tc>
          <w:tcPr>
            <w:tcW w:w="1132" w:type="dxa"/>
            <w:tcBorders>
              <w:top w:val="single" w:sz="4" w:space="0" w:color="auto"/>
              <w:left w:val="single" w:sz="4" w:space="0" w:color="auto"/>
              <w:bottom w:val="single" w:sz="4" w:space="0" w:color="auto"/>
              <w:right w:val="single" w:sz="4" w:space="0" w:color="auto"/>
            </w:tcBorders>
            <w:shd w:val="clear" w:color="auto" w:fill="auto"/>
            <w:noWrap/>
            <w:vAlign w:val="bottom"/>
          </w:tcPr>
          <w:p w:rsidR="00155472" w:rsidRPr="003F686B" w:rsidRDefault="00155472" w:rsidP="009A7935">
            <w:pPr>
              <w:spacing w:after="0"/>
              <w:jc w:val="center"/>
              <w:rPr>
                <w:rFonts w:ascii="Calibri" w:hAnsi="Calibri"/>
                <w:color w:val="000000"/>
              </w:rPr>
            </w:pPr>
            <w:r w:rsidRPr="003F686B">
              <w:rPr>
                <w:rFonts w:ascii="Calibri" w:hAnsi="Calibri"/>
                <w:color w:val="000000"/>
              </w:rPr>
              <w:t>1</w:t>
            </w:r>
          </w:p>
        </w:tc>
        <w:tc>
          <w:tcPr>
            <w:tcW w:w="886" w:type="dxa"/>
            <w:gridSpan w:val="2"/>
            <w:tcBorders>
              <w:top w:val="single" w:sz="4" w:space="0" w:color="auto"/>
              <w:bottom w:val="single" w:sz="4" w:space="0" w:color="auto"/>
              <w:right w:val="single" w:sz="4" w:space="0" w:color="auto"/>
            </w:tcBorders>
            <w:vAlign w:val="bottom"/>
          </w:tcPr>
          <w:p w:rsidR="00155472" w:rsidRPr="003F686B" w:rsidRDefault="00155472" w:rsidP="009A7935">
            <w:pPr>
              <w:spacing w:after="0"/>
              <w:jc w:val="center"/>
              <w:rPr>
                <w:rFonts w:ascii="Calibri" w:hAnsi="Calibri"/>
                <w:color w:val="000000"/>
              </w:rPr>
            </w:pPr>
            <w:r w:rsidRPr="003F686B">
              <w:rPr>
                <w:rFonts w:ascii="Calibri" w:hAnsi="Calibri"/>
                <w:color w:val="000000"/>
              </w:rPr>
              <w:t>147</w:t>
            </w:r>
          </w:p>
        </w:tc>
        <w:tc>
          <w:tcPr>
            <w:tcW w:w="687" w:type="dxa"/>
            <w:gridSpan w:val="2"/>
            <w:tcBorders>
              <w:left w:val="single" w:sz="4" w:space="0" w:color="auto"/>
            </w:tcBorders>
            <w:vAlign w:val="bottom"/>
          </w:tcPr>
          <w:p w:rsidR="00155472" w:rsidRPr="003F686B" w:rsidRDefault="00155472" w:rsidP="009A7935">
            <w:pPr>
              <w:spacing w:after="0"/>
              <w:jc w:val="center"/>
              <w:rPr>
                <w:rFonts w:ascii="Calibri" w:hAnsi="Calibri"/>
                <w:color w:val="000000"/>
              </w:rPr>
            </w:pPr>
          </w:p>
        </w:tc>
      </w:tr>
      <w:tr w:rsidR="00155472" w:rsidRPr="003F686B" w:rsidTr="00155472">
        <w:trPr>
          <w:trHeight w:val="288"/>
          <w:jc w:val="center"/>
        </w:trPr>
        <w:tc>
          <w:tcPr>
            <w:tcW w:w="466" w:type="dxa"/>
            <w:vMerge/>
            <w:tcBorders>
              <w:top w:val="nil"/>
              <w:left w:val="nil"/>
              <w:bottom w:val="nil"/>
              <w:right w:val="single" w:sz="4" w:space="0" w:color="auto"/>
            </w:tcBorders>
            <w:vAlign w:val="center"/>
            <w:hideMark/>
          </w:tcPr>
          <w:p w:rsidR="00155472" w:rsidRPr="003F686B" w:rsidRDefault="00155472" w:rsidP="009A7935">
            <w:pPr>
              <w:spacing w:after="0"/>
              <w:rPr>
                <w:rFonts w:ascii="Calibri" w:hAnsi="Calibri"/>
                <w:b/>
                <w:bCs/>
                <w:color w:val="000000"/>
              </w:rPr>
            </w:pP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55472" w:rsidRPr="003F686B" w:rsidRDefault="00155472" w:rsidP="009A7935">
            <w:pPr>
              <w:spacing w:after="0"/>
              <w:rPr>
                <w:rFonts w:ascii="Calibri" w:hAnsi="Calibri"/>
                <w:color w:val="000000"/>
              </w:rPr>
            </w:pPr>
            <w:r w:rsidRPr="003F686B">
              <w:rPr>
                <w:rFonts w:ascii="Calibri" w:hAnsi="Calibri"/>
                <w:color w:val="000000"/>
              </w:rPr>
              <w:t>Engagement</w:t>
            </w:r>
          </w:p>
        </w:tc>
        <w:tc>
          <w:tcPr>
            <w:tcW w:w="1200" w:type="dxa"/>
            <w:tcBorders>
              <w:top w:val="single" w:sz="4" w:space="0" w:color="auto"/>
              <w:left w:val="single" w:sz="4" w:space="0" w:color="auto"/>
              <w:bottom w:val="single" w:sz="4" w:space="0" w:color="auto"/>
              <w:right w:val="single" w:sz="4" w:space="0" w:color="auto"/>
            </w:tcBorders>
            <w:vAlign w:val="bottom"/>
          </w:tcPr>
          <w:p w:rsidR="00155472" w:rsidRPr="003F686B" w:rsidRDefault="00155472" w:rsidP="009A7935">
            <w:pPr>
              <w:spacing w:after="0"/>
              <w:jc w:val="center"/>
              <w:rPr>
                <w:rFonts w:ascii="Calibri" w:hAnsi="Calibri"/>
                <w:color w:val="000000"/>
              </w:rPr>
            </w:pPr>
            <w:r w:rsidRPr="003F686B">
              <w:rPr>
                <w:rFonts w:ascii="Calibri" w:hAnsi="Calibri"/>
                <w:color w:val="000000"/>
              </w:rPr>
              <w:t>0</w:t>
            </w:r>
          </w:p>
        </w:tc>
        <w:tc>
          <w:tcPr>
            <w:tcW w:w="914" w:type="dxa"/>
            <w:tcBorders>
              <w:top w:val="single" w:sz="4" w:space="0" w:color="auto"/>
              <w:left w:val="single" w:sz="4" w:space="0" w:color="auto"/>
              <w:bottom w:val="single" w:sz="4" w:space="0" w:color="auto"/>
              <w:right w:val="single" w:sz="4" w:space="0" w:color="auto"/>
            </w:tcBorders>
            <w:shd w:val="clear" w:color="auto" w:fill="auto"/>
            <w:noWrap/>
            <w:vAlign w:val="bottom"/>
          </w:tcPr>
          <w:p w:rsidR="00155472" w:rsidRPr="003F686B" w:rsidRDefault="00155472" w:rsidP="009A7935">
            <w:pPr>
              <w:spacing w:after="0"/>
              <w:jc w:val="center"/>
              <w:rPr>
                <w:rFonts w:ascii="Calibri" w:hAnsi="Calibri"/>
                <w:color w:val="000000"/>
              </w:rPr>
            </w:pPr>
            <w:r w:rsidRPr="003F686B">
              <w:rPr>
                <w:rFonts w:ascii="Calibri" w:hAnsi="Calibri"/>
                <w:color w:val="000000"/>
              </w:rPr>
              <w:t>0</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155472" w:rsidRPr="003F686B" w:rsidRDefault="00155472" w:rsidP="009A7935">
            <w:pPr>
              <w:spacing w:after="0"/>
              <w:jc w:val="center"/>
              <w:rPr>
                <w:rFonts w:ascii="Calibri" w:hAnsi="Calibri"/>
                <w:color w:val="000000"/>
              </w:rPr>
            </w:pPr>
            <w:r w:rsidRPr="003F686B">
              <w:rPr>
                <w:rFonts w:ascii="Calibri" w:hAnsi="Calibri"/>
                <w:color w:val="000000"/>
              </w:rPr>
              <w:t>0</w:t>
            </w:r>
          </w:p>
        </w:tc>
        <w:tc>
          <w:tcPr>
            <w:tcW w:w="1173" w:type="dxa"/>
            <w:tcBorders>
              <w:top w:val="single" w:sz="4" w:space="0" w:color="auto"/>
              <w:left w:val="single" w:sz="4" w:space="0" w:color="auto"/>
              <w:bottom w:val="single" w:sz="4" w:space="0" w:color="auto"/>
              <w:right w:val="single" w:sz="4" w:space="0" w:color="auto"/>
            </w:tcBorders>
            <w:shd w:val="clear" w:color="auto" w:fill="auto"/>
            <w:noWrap/>
            <w:vAlign w:val="bottom"/>
          </w:tcPr>
          <w:p w:rsidR="00155472" w:rsidRPr="003F686B" w:rsidRDefault="00155472" w:rsidP="009A7935">
            <w:pPr>
              <w:spacing w:after="0"/>
              <w:jc w:val="center"/>
              <w:rPr>
                <w:rFonts w:ascii="Calibri" w:hAnsi="Calibri"/>
                <w:color w:val="000000"/>
              </w:rPr>
            </w:pPr>
            <w:r w:rsidRPr="003F686B">
              <w:rPr>
                <w:rFonts w:ascii="Calibri" w:hAnsi="Calibri"/>
                <w:color w:val="000000"/>
              </w:rPr>
              <w:t>0</w:t>
            </w:r>
          </w:p>
        </w:tc>
        <w:tc>
          <w:tcPr>
            <w:tcW w:w="801" w:type="dxa"/>
            <w:tcBorders>
              <w:top w:val="single" w:sz="4" w:space="0" w:color="auto"/>
              <w:left w:val="single" w:sz="4" w:space="0" w:color="auto"/>
              <w:bottom w:val="single" w:sz="4" w:space="0" w:color="auto"/>
              <w:right w:val="single" w:sz="4" w:space="0" w:color="auto"/>
            </w:tcBorders>
            <w:shd w:val="clear" w:color="auto" w:fill="auto"/>
            <w:noWrap/>
            <w:vAlign w:val="bottom"/>
          </w:tcPr>
          <w:p w:rsidR="00155472" w:rsidRPr="003F686B" w:rsidRDefault="00155472" w:rsidP="009A7935">
            <w:pPr>
              <w:spacing w:after="0"/>
              <w:jc w:val="center"/>
              <w:rPr>
                <w:rFonts w:ascii="Calibri" w:hAnsi="Calibri"/>
                <w:color w:val="000000"/>
              </w:rPr>
            </w:pPr>
            <w:r w:rsidRPr="003F686B">
              <w:rPr>
                <w:rFonts w:ascii="Calibri" w:hAnsi="Calibri"/>
                <w:color w:val="000000"/>
              </w:rPr>
              <w:t>0</w:t>
            </w:r>
          </w:p>
        </w:tc>
        <w:tc>
          <w:tcPr>
            <w:tcW w:w="9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155472" w:rsidRPr="003F686B" w:rsidRDefault="00155472" w:rsidP="009A7935">
            <w:pPr>
              <w:spacing w:after="0"/>
              <w:jc w:val="center"/>
              <w:rPr>
                <w:rFonts w:ascii="Calibri" w:hAnsi="Calibri"/>
                <w:color w:val="000000"/>
              </w:rPr>
            </w:pPr>
            <w:r w:rsidRPr="003F686B">
              <w:rPr>
                <w:rFonts w:ascii="Calibri" w:hAnsi="Calibri"/>
                <w:color w:val="000000"/>
              </w:rPr>
              <w:t>4</w:t>
            </w:r>
          </w:p>
        </w:tc>
        <w:tc>
          <w:tcPr>
            <w:tcW w:w="1132" w:type="dxa"/>
            <w:tcBorders>
              <w:top w:val="single" w:sz="4" w:space="0" w:color="auto"/>
              <w:left w:val="single" w:sz="4" w:space="0" w:color="auto"/>
              <w:bottom w:val="single" w:sz="4" w:space="0" w:color="auto"/>
              <w:right w:val="single" w:sz="4" w:space="0" w:color="auto"/>
            </w:tcBorders>
            <w:shd w:val="clear" w:color="000000" w:fill="FFFF00"/>
            <w:noWrap/>
            <w:vAlign w:val="bottom"/>
          </w:tcPr>
          <w:p w:rsidR="00155472" w:rsidRPr="003F686B" w:rsidRDefault="00155472" w:rsidP="009A7935">
            <w:pPr>
              <w:spacing w:after="0"/>
              <w:jc w:val="center"/>
              <w:rPr>
                <w:rFonts w:ascii="Calibri" w:hAnsi="Calibri"/>
                <w:color w:val="000000"/>
              </w:rPr>
            </w:pPr>
            <w:r w:rsidRPr="003F686B">
              <w:rPr>
                <w:rFonts w:ascii="Calibri" w:hAnsi="Calibri"/>
                <w:color w:val="000000"/>
              </w:rPr>
              <w:t>14</w:t>
            </w:r>
          </w:p>
        </w:tc>
        <w:tc>
          <w:tcPr>
            <w:tcW w:w="886" w:type="dxa"/>
            <w:gridSpan w:val="2"/>
            <w:tcBorders>
              <w:top w:val="single" w:sz="4" w:space="0" w:color="auto"/>
              <w:bottom w:val="single" w:sz="4" w:space="0" w:color="auto"/>
              <w:right w:val="single" w:sz="4" w:space="0" w:color="auto"/>
            </w:tcBorders>
            <w:vAlign w:val="bottom"/>
          </w:tcPr>
          <w:p w:rsidR="00155472" w:rsidRPr="003F686B" w:rsidRDefault="00155472" w:rsidP="009A7935">
            <w:pPr>
              <w:spacing w:after="0"/>
              <w:jc w:val="center"/>
              <w:rPr>
                <w:rFonts w:ascii="Calibri" w:hAnsi="Calibri"/>
                <w:color w:val="000000"/>
              </w:rPr>
            </w:pPr>
            <w:r w:rsidRPr="003F686B">
              <w:rPr>
                <w:rFonts w:ascii="Calibri" w:hAnsi="Calibri"/>
                <w:color w:val="000000"/>
              </w:rPr>
              <w:t>18</w:t>
            </w:r>
          </w:p>
        </w:tc>
        <w:tc>
          <w:tcPr>
            <w:tcW w:w="687" w:type="dxa"/>
            <w:gridSpan w:val="2"/>
            <w:tcBorders>
              <w:left w:val="single" w:sz="4" w:space="0" w:color="auto"/>
            </w:tcBorders>
            <w:vAlign w:val="bottom"/>
          </w:tcPr>
          <w:p w:rsidR="00155472" w:rsidRPr="003F686B" w:rsidRDefault="00155472" w:rsidP="009A7935">
            <w:pPr>
              <w:spacing w:after="0"/>
              <w:jc w:val="center"/>
              <w:rPr>
                <w:rFonts w:ascii="Calibri" w:hAnsi="Calibri"/>
                <w:color w:val="000000"/>
              </w:rPr>
            </w:pPr>
          </w:p>
        </w:tc>
      </w:tr>
      <w:tr w:rsidR="00155472" w:rsidRPr="003F686B" w:rsidTr="00155472">
        <w:trPr>
          <w:gridAfter w:val="2"/>
          <w:wAfter w:w="687" w:type="dxa"/>
          <w:trHeight w:val="288"/>
          <w:jc w:val="center"/>
        </w:trPr>
        <w:tc>
          <w:tcPr>
            <w:tcW w:w="466" w:type="dxa"/>
            <w:tcBorders>
              <w:top w:val="nil"/>
              <w:left w:val="nil"/>
              <w:bottom w:val="nil"/>
              <w:right w:val="single" w:sz="4" w:space="0" w:color="auto"/>
            </w:tcBorders>
            <w:shd w:val="clear" w:color="auto" w:fill="auto"/>
            <w:vAlign w:val="bottom"/>
          </w:tcPr>
          <w:p w:rsidR="00155472" w:rsidRPr="003F686B" w:rsidRDefault="00155472" w:rsidP="006B2846">
            <w:pPr>
              <w:spacing w:after="0"/>
              <w:jc w:val="center"/>
              <w:rPr>
                <w:rFonts w:ascii="Calibri" w:hAnsi="Calibri"/>
                <w:b/>
                <w:bCs/>
                <w:color w:val="000000"/>
              </w:rPr>
            </w:pP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tcPr>
          <w:p w:rsidR="00155472" w:rsidRPr="003F686B" w:rsidRDefault="00155472" w:rsidP="00155472">
            <w:pPr>
              <w:spacing w:after="0"/>
            </w:pPr>
            <w:r w:rsidRPr="003F686B">
              <w:t>Total</w:t>
            </w:r>
          </w:p>
        </w:tc>
        <w:tc>
          <w:tcPr>
            <w:tcW w:w="1200" w:type="dxa"/>
            <w:tcBorders>
              <w:top w:val="single" w:sz="4" w:space="0" w:color="auto"/>
              <w:left w:val="single" w:sz="4" w:space="0" w:color="auto"/>
              <w:bottom w:val="single" w:sz="4" w:space="0" w:color="auto"/>
              <w:right w:val="single" w:sz="4" w:space="0" w:color="auto"/>
            </w:tcBorders>
            <w:vAlign w:val="bottom"/>
          </w:tcPr>
          <w:p w:rsidR="00155472" w:rsidRPr="003F686B" w:rsidRDefault="00155472" w:rsidP="00155472">
            <w:pPr>
              <w:spacing w:after="0"/>
              <w:jc w:val="center"/>
              <w:rPr>
                <w:rFonts w:ascii="Calibri" w:hAnsi="Calibri"/>
                <w:color w:val="000000"/>
              </w:rPr>
            </w:pPr>
            <w:r w:rsidRPr="003F686B">
              <w:rPr>
                <w:rFonts w:ascii="Calibri" w:hAnsi="Calibri"/>
                <w:color w:val="000000"/>
              </w:rPr>
              <w:t>11</w:t>
            </w:r>
          </w:p>
        </w:tc>
        <w:tc>
          <w:tcPr>
            <w:tcW w:w="914" w:type="dxa"/>
            <w:tcBorders>
              <w:top w:val="single" w:sz="4" w:space="0" w:color="auto"/>
              <w:left w:val="single" w:sz="4" w:space="0" w:color="auto"/>
              <w:bottom w:val="single" w:sz="4" w:space="0" w:color="auto"/>
              <w:right w:val="single" w:sz="4" w:space="0" w:color="auto"/>
            </w:tcBorders>
            <w:shd w:val="clear" w:color="auto" w:fill="auto"/>
            <w:noWrap/>
            <w:vAlign w:val="bottom"/>
          </w:tcPr>
          <w:p w:rsidR="00155472" w:rsidRPr="003F686B" w:rsidRDefault="00155472" w:rsidP="00155472">
            <w:pPr>
              <w:spacing w:after="0"/>
              <w:jc w:val="center"/>
              <w:rPr>
                <w:rFonts w:ascii="Calibri" w:hAnsi="Calibri"/>
                <w:color w:val="000000"/>
              </w:rPr>
            </w:pPr>
            <w:r w:rsidRPr="003F686B">
              <w:rPr>
                <w:rFonts w:ascii="Calibri" w:hAnsi="Calibri"/>
                <w:color w:val="000000"/>
              </w:rPr>
              <w:t>9</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155472" w:rsidRPr="003F686B" w:rsidRDefault="00155472" w:rsidP="00155472">
            <w:pPr>
              <w:spacing w:after="0"/>
              <w:jc w:val="center"/>
              <w:rPr>
                <w:rFonts w:ascii="Calibri" w:hAnsi="Calibri"/>
                <w:color w:val="000000"/>
              </w:rPr>
            </w:pPr>
            <w:r w:rsidRPr="003F686B">
              <w:rPr>
                <w:rFonts w:ascii="Calibri" w:hAnsi="Calibri"/>
                <w:color w:val="000000"/>
              </w:rPr>
              <w:t>23</w:t>
            </w:r>
          </w:p>
        </w:tc>
        <w:tc>
          <w:tcPr>
            <w:tcW w:w="1173" w:type="dxa"/>
            <w:tcBorders>
              <w:top w:val="single" w:sz="4" w:space="0" w:color="auto"/>
              <w:left w:val="single" w:sz="4" w:space="0" w:color="auto"/>
              <w:bottom w:val="single" w:sz="4" w:space="0" w:color="auto"/>
              <w:right w:val="single" w:sz="4" w:space="0" w:color="auto"/>
            </w:tcBorders>
            <w:shd w:val="clear" w:color="auto" w:fill="auto"/>
            <w:noWrap/>
            <w:vAlign w:val="bottom"/>
          </w:tcPr>
          <w:p w:rsidR="00155472" w:rsidRPr="003F686B" w:rsidRDefault="00155472" w:rsidP="00155472">
            <w:pPr>
              <w:spacing w:after="0"/>
              <w:jc w:val="center"/>
              <w:rPr>
                <w:rFonts w:ascii="Calibri" w:hAnsi="Calibri"/>
                <w:color w:val="000000"/>
              </w:rPr>
            </w:pPr>
            <w:r w:rsidRPr="003F686B">
              <w:rPr>
                <w:rFonts w:ascii="Calibri" w:hAnsi="Calibri"/>
                <w:color w:val="000000"/>
              </w:rPr>
              <w:t>15</w:t>
            </w:r>
          </w:p>
        </w:tc>
        <w:tc>
          <w:tcPr>
            <w:tcW w:w="801" w:type="dxa"/>
            <w:tcBorders>
              <w:top w:val="single" w:sz="4" w:space="0" w:color="auto"/>
              <w:left w:val="single" w:sz="4" w:space="0" w:color="auto"/>
              <w:bottom w:val="single" w:sz="4" w:space="0" w:color="auto"/>
              <w:right w:val="single" w:sz="4" w:space="0" w:color="auto"/>
            </w:tcBorders>
            <w:shd w:val="clear" w:color="auto" w:fill="auto"/>
            <w:noWrap/>
            <w:vAlign w:val="bottom"/>
          </w:tcPr>
          <w:p w:rsidR="00155472" w:rsidRPr="003F686B" w:rsidRDefault="00155472" w:rsidP="00155472">
            <w:pPr>
              <w:spacing w:after="0"/>
              <w:jc w:val="center"/>
              <w:rPr>
                <w:rFonts w:ascii="Calibri" w:hAnsi="Calibri"/>
                <w:color w:val="000000"/>
              </w:rPr>
            </w:pPr>
            <w:r w:rsidRPr="003F686B">
              <w:rPr>
                <w:rFonts w:ascii="Calibri" w:hAnsi="Calibri"/>
                <w:color w:val="000000"/>
              </w:rPr>
              <w:t>67</w:t>
            </w:r>
          </w:p>
        </w:tc>
        <w:tc>
          <w:tcPr>
            <w:tcW w:w="9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155472" w:rsidRPr="003F686B" w:rsidRDefault="00155472" w:rsidP="00155472">
            <w:pPr>
              <w:spacing w:after="0"/>
              <w:jc w:val="center"/>
              <w:rPr>
                <w:rFonts w:ascii="Calibri" w:hAnsi="Calibri"/>
                <w:color w:val="000000"/>
              </w:rPr>
            </w:pPr>
            <w:r w:rsidRPr="003F686B">
              <w:rPr>
                <w:rFonts w:ascii="Calibri" w:hAnsi="Calibri"/>
                <w:color w:val="000000"/>
              </w:rPr>
              <w:t>165</w:t>
            </w:r>
          </w:p>
        </w:tc>
        <w:tc>
          <w:tcPr>
            <w:tcW w:w="1132" w:type="dxa"/>
            <w:tcBorders>
              <w:top w:val="single" w:sz="4" w:space="0" w:color="auto"/>
              <w:left w:val="single" w:sz="4" w:space="0" w:color="auto"/>
              <w:bottom w:val="single" w:sz="4" w:space="0" w:color="auto"/>
              <w:right w:val="single" w:sz="4" w:space="0" w:color="auto"/>
            </w:tcBorders>
            <w:shd w:val="clear" w:color="auto" w:fill="auto"/>
            <w:noWrap/>
            <w:vAlign w:val="bottom"/>
          </w:tcPr>
          <w:p w:rsidR="00155472" w:rsidRPr="003F686B" w:rsidRDefault="00155472" w:rsidP="00155472">
            <w:pPr>
              <w:spacing w:after="0"/>
              <w:jc w:val="center"/>
              <w:rPr>
                <w:rFonts w:ascii="Calibri" w:hAnsi="Calibri"/>
                <w:color w:val="000000"/>
              </w:rPr>
            </w:pPr>
            <w:r w:rsidRPr="003F686B">
              <w:rPr>
                <w:rFonts w:ascii="Calibri" w:hAnsi="Calibri"/>
                <w:color w:val="000000"/>
              </w:rPr>
              <w:t>15</w:t>
            </w:r>
          </w:p>
        </w:tc>
        <w:tc>
          <w:tcPr>
            <w:tcW w:w="886" w:type="dxa"/>
            <w:gridSpan w:val="2"/>
            <w:tcBorders>
              <w:top w:val="single" w:sz="4" w:space="0" w:color="auto"/>
              <w:left w:val="single" w:sz="4" w:space="0" w:color="auto"/>
              <w:bottom w:val="single" w:sz="4" w:space="0" w:color="auto"/>
              <w:right w:val="single" w:sz="4" w:space="0" w:color="auto"/>
            </w:tcBorders>
            <w:vAlign w:val="bottom"/>
          </w:tcPr>
          <w:p w:rsidR="00155472" w:rsidRPr="003F686B" w:rsidRDefault="00155472" w:rsidP="00155472">
            <w:pPr>
              <w:spacing w:after="0"/>
              <w:jc w:val="center"/>
              <w:rPr>
                <w:rFonts w:ascii="Calibri" w:hAnsi="Calibri"/>
                <w:color w:val="000000"/>
              </w:rPr>
            </w:pPr>
            <w:r w:rsidRPr="003F686B">
              <w:rPr>
                <w:rFonts w:ascii="Calibri" w:hAnsi="Calibri"/>
                <w:color w:val="000000"/>
              </w:rPr>
              <w:t>305</w:t>
            </w:r>
          </w:p>
        </w:tc>
      </w:tr>
    </w:tbl>
    <w:p w:rsidR="00235E74" w:rsidRPr="003F686B" w:rsidRDefault="00235E74" w:rsidP="00AA5930">
      <w:pPr>
        <w:spacing w:after="0"/>
      </w:pPr>
    </w:p>
    <w:p w:rsidR="001A2D3B" w:rsidRPr="003F686B" w:rsidRDefault="001A2D3B" w:rsidP="00AA5930">
      <w:pPr>
        <w:spacing w:after="0"/>
      </w:pPr>
    </w:p>
    <w:p w:rsidR="001A2D3B" w:rsidRPr="003F686B" w:rsidRDefault="001A2D3B" w:rsidP="004E4C2F">
      <w:pPr>
        <w:pStyle w:val="Subtitle"/>
      </w:pPr>
      <w:r w:rsidRPr="003F686B">
        <w:t>Market Scan Analysis</w:t>
      </w:r>
    </w:p>
    <w:p w:rsidR="004E4C2F" w:rsidRPr="003F686B" w:rsidRDefault="004E4C2F" w:rsidP="004E4C2F">
      <w:pPr>
        <w:spacing w:after="0"/>
      </w:pPr>
      <w:r w:rsidRPr="003F686B">
        <w:t>After training the model was run on two populations.  Five consecutive quarters were modeled form Dec 2013 to Dec 2014 of one specific client’s (CLIENT) patient population and two quarters of a 10% random sample of MarketScan (MS) was run on Dec 2013 and Dec 2014.  This data was used to evaluate and validate the model.</w:t>
      </w:r>
    </w:p>
    <w:p w:rsidR="004E4C2F" w:rsidRPr="003F686B" w:rsidRDefault="004E4C2F" w:rsidP="00AA5930">
      <w:pPr>
        <w:spacing w:after="0"/>
      </w:pPr>
    </w:p>
    <w:p w:rsidR="00933418" w:rsidRPr="003F686B" w:rsidRDefault="009A7935" w:rsidP="00AA5930">
      <w:pPr>
        <w:spacing w:after="0"/>
      </w:pPr>
      <w:r w:rsidRPr="003F686B">
        <w:lastRenderedPageBreak/>
        <w:t>With a reasonabl</w:t>
      </w:r>
      <w:r w:rsidR="00235E74" w:rsidRPr="003F686B">
        <w:t>y</w:t>
      </w:r>
      <w:r w:rsidRPr="003F686B">
        <w:t xml:space="preserve"> accurate model, the next step was to see how stable </w:t>
      </w:r>
      <w:r w:rsidR="00145C55" w:rsidRPr="003F686B">
        <w:t>CLIENT’s population was</w:t>
      </w:r>
      <w:r w:rsidRPr="003F686B">
        <w:t xml:space="preserve"> across multiple years and compared to a </w:t>
      </w:r>
      <w:r w:rsidR="00145C55" w:rsidRPr="003F686B">
        <w:t xml:space="preserve">much </w:t>
      </w:r>
      <w:r w:rsidRPr="003F686B">
        <w:t>large</w:t>
      </w:r>
      <w:r w:rsidR="00145C55" w:rsidRPr="003F686B">
        <w:t>r</w:t>
      </w:r>
      <w:r w:rsidRPr="003F686B">
        <w:t xml:space="preserve"> </w:t>
      </w:r>
      <w:r w:rsidR="00145C55" w:rsidRPr="003F686B">
        <w:t xml:space="preserve">MS </w:t>
      </w:r>
      <w:r w:rsidRPr="003F686B">
        <w:t xml:space="preserve">sample.  </w:t>
      </w:r>
      <w:r w:rsidR="00933418" w:rsidRPr="003F686B">
        <w:t xml:space="preserve">While any individual patient may move from one bucket to the next as their health status changes, an entire population </w:t>
      </w:r>
      <w:r w:rsidR="00194F8B" w:rsidRPr="003F686B">
        <w:t>is likely to</w:t>
      </w:r>
      <w:r w:rsidR="00933418" w:rsidRPr="003F686B">
        <w:t xml:space="preserve"> remain rather stable</w:t>
      </w:r>
      <w:r w:rsidR="001A2D3B" w:rsidRPr="003F686B">
        <w:t xml:space="preserve"> over time</w:t>
      </w:r>
      <w:r w:rsidR="00933418" w:rsidRPr="003F686B">
        <w:t xml:space="preserve">.  As a result, </w:t>
      </w:r>
      <w:r w:rsidR="00235E74" w:rsidRPr="003F686B">
        <w:t>CLIENT’s</w:t>
      </w:r>
      <w:r w:rsidR="00E6128F" w:rsidRPr="003F686B">
        <w:t xml:space="preserve"> 2013 and 2014 enrollment was compared to the 10% </w:t>
      </w:r>
      <w:r w:rsidR="00145C55" w:rsidRPr="003F686B">
        <w:t>MS</w:t>
      </w:r>
      <w:r w:rsidR="00E6128F" w:rsidRPr="003F686B">
        <w:t xml:space="preserve"> sample to see how they </w:t>
      </w:r>
      <w:r w:rsidR="001A2D3B" w:rsidRPr="003F686B">
        <w:t>compare</w:t>
      </w:r>
      <w:r w:rsidR="00E6128F" w:rsidRPr="003F686B">
        <w:t xml:space="preserve">.  </w:t>
      </w:r>
    </w:p>
    <w:p w:rsidR="00A93129" w:rsidRPr="003F686B" w:rsidRDefault="00A93129" w:rsidP="00AA5930">
      <w:pPr>
        <w:spacing w:after="0"/>
      </w:pPr>
    </w:p>
    <w:p w:rsidR="00E6128F" w:rsidRPr="003F686B" w:rsidRDefault="00E6128F" w:rsidP="00AA5930">
      <w:pPr>
        <w:spacing w:after="0"/>
      </w:pPr>
      <w:r w:rsidRPr="003F686B">
        <w:rPr>
          <w:noProof/>
        </w:rPr>
        <w:drawing>
          <wp:inline distT="0" distB="0" distL="0" distR="0" wp14:anchorId="61A7AEC7" wp14:editId="170534D1">
            <wp:extent cx="5875020" cy="3611880"/>
            <wp:effectExtent l="0" t="0" r="11430" b="7620"/>
            <wp:docPr id="1" name="Chart 1">
              <a:extLst xmlns:a="http://schemas.openxmlformats.org/drawingml/2006/main">
                <a:ext uri="{FF2B5EF4-FFF2-40B4-BE49-F238E27FC236}">
                  <a16:creationId xmlns:a16="http://schemas.microsoft.com/office/drawing/2014/main" id="{0A0019BB-B51C-4DF0-A60E-9ABEC1CF52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rsidR="006432F0" w:rsidRPr="003F686B" w:rsidRDefault="006432F0" w:rsidP="00AA5930">
      <w:pPr>
        <w:spacing w:after="0"/>
      </w:pPr>
    </w:p>
    <w:p w:rsidR="001A2D3B" w:rsidRPr="003F686B" w:rsidRDefault="001A2D3B" w:rsidP="001A2D3B">
      <w:pPr>
        <w:spacing w:after="0"/>
      </w:pPr>
      <w:r w:rsidRPr="003F686B">
        <w:t xml:space="preserve">As the figure above shows, there is reasonable agreement </w:t>
      </w:r>
      <w:r w:rsidR="00747899" w:rsidRPr="003F686B">
        <w:t xml:space="preserve">in the bucket distribution </w:t>
      </w:r>
      <w:r w:rsidRPr="003F686B">
        <w:t xml:space="preserve">between all the samples with a couple notable exceptions (Treatment Navigation and Rebalancing).  Differences between the populations can be expected for multiple reasons (i.e. presence of an engagement program, make up of workforce, nature of work, other employee health programs) and explain why CLIENT’s distribution doesn’t </w:t>
      </w:r>
      <w:r w:rsidR="00145C55" w:rsidRPr="003F686B">
        <w:t>match up directly with the MS</w:t>
      </w:r>
      <w:r w:rsidRPr="003F686B">
        <w:t xml:space="preserve"> sample.  However, it is more difficult to explain the nearly doubling of patients in Treatment Navigation and almost 50% increase in Rebalancing within </w:t>
      </w:r>
      <w:r w:rsidR="00747899" w:rsidRPr="003F686B">
        <w:t>CLIENT’s</w:t>
      </w:r>
      <w:r w:rsidRPr="003F686B">
        <w:t xml:space="preserve"> patient population.  </w:t>
      </w:r>
    </w:p>
    <w:p w:rsidR="00564BD2" w:rsidRPr="003F686B" w:rsidRDefault="00564BD2" w:rsidP="00564BD2">
      <w:pPr>
        <w:spacing w:after="0"/>
      </w:pPr>
    </w:p>
    <w:p w:rsidR="00564BD2" w:rsidRPr="003F686B" w:rsidRDefault="00564BD2" w:rsidP="00564BD2">
      <w:pPr>
        <w:spacing w:after="0"/>
      </w:pPr>
      <w:r w:rsidRPr="003F686B">
        <w:t xml:space="preserve">Per member per month (PMPM) is a broad way to look at resource consumption within each bucket.  The figure below shows PMPM for each bucket for years 2013 and 2014.  Three main buckets stand out from the rest when it comes to cost:  Crisis Management, Recovery Guidance and Surveillance.  The spikes in PMPM for Crisis Management and Recovery Guidance is not surprising given that many of these patients have experienced an acute event such </w:t>
      </w:r>
      <w:r w:rsidR="00747899" w:rsidRPr="003F686B">
        <w:t xml:space="preserve">as a surgery or something </w:t>
      </w:r>
      <w:r w:rsidRPr="003F686B">
        <w:t xml:space="preserve">catastrophic resulting in expensive care.  Surveillance patients have multiple expensive conditions that they are trying to balance and manage.  </w:t>
      </w:r>
    </w:p>
    <w:p w:rsidR="00106257" w:rsidRPr="003F686B" w:rsidRDefault="00106257" w:rsidP="00AA5930">
      <w:pPr>
        <w:spacing w:after="0"/>
      </w:pPr>
    </w:p>
    <w:p w:rsidR="00464EFC" w:rsidRPr="003F686B" w:rsidRDefault="00C1600D" w:rsidP="00AA5930">
      <w:pPr>
        <w:spacing w:after="0"/>
      </w:pPr>
      <w:r w:rsidRPr="003F686B">
        <w:rPr>
          <w:noProof/>
        </w:rPr>
        <w:lastRenderedPageBreak/>
        <w:drawing>
          <wp:inline distT="0" distB="0" distL="0" distR="0" wp14:anchorId="25ACA454" wp14:editId="22CB170B">
            <wp:extent cx="5943600" cy="4451350"/>
            <wp:effectExtent l="0" t="0" r="0" b="6350"/>
            <wp:docPr id="5" name="Chart 5">
              <a:extLst xmlns:a="http://schemas.openxmlformats.org/drawingml/2006/main">
                <a:ext uri="{FF2B5EF4-FFF2-40B4-BE49-F238E27FC236}">
                  <a16:creationId xmlns:a16="http://schemas.microsoft.com/office/drawing/2014/main" id="{C9E0B2A6-BD24-4371-A962-BBD9FBC365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rsidR="0049124A" w:rsidRPr="003F686B" w:rsidRDefault="0049124A" w:rsidP="0049124A">
      <w:pPr>
        <w:spacing w:after="0"/>
      </w:pPr>
    </w:p>
    <w:p w:rsidR="0049124A" w:rsidRPr="003F686B" w:rsidRDefault="00747899" w:rsidP="0049124A">
      <w:pPr>
        <w:spacing w:after="0"/>
      </w:pPr>
      <w:r w:rsidRPr="003F686B">
        <w:t>Below is</w:t>
      </w:r>
      <w:r w:rsidR="0049124A" w:rsidRPr="003F686B">
        <w:t xml:space="preserve"> another look at the PMPM figure above without the three most expens</w:t>
      </w:r>
      <w:r w:rsidR="00564BD2" w:rsidRPr="003F686B">
        <w:t>ive buckets dwarfing the rest.  Three of the four buckets here show a similar patter</w:t>
      </w:r>
      <w:r w:rsidRPr="003F686B">
        <w:t>n</w:t>
      </w:r>
      <w:r w:rsidR="00564BD2" w:rsidRPr="003F686B">
        <w:t xml:space="preserve"> and scale – Engagement, Prevention and Support.  For the most part these are relatively low touch populations that need gentle nudges to keep them on track, provide a little information or get them moving in the right direction.  </w:t>
      </w:r>
    </w:p>
    <w:p w:rsidR="00564BD2" w:rsidRPr="003F686B" w:rsidRDefault="00564BD2" w:rsidP="0049124A">
      <w:pPr>
        <w:spacing w:after="0"/>
      </w:pPr>
    </w:p>
    <w:p w:rsidR="00564BD2" w:rsidRPr="003F686B" w:rsidRDefault="00564BD2" w:rsidP="0049124A">
      <w:pPr>
        <w:spacing w:after="0"/>
      </w:pPr>
      <w:r w:rsidRPr="003F686B">
        <w:t xml:space="preserve">Rebalancing and Treatment Navigation both show a somewhat similar pattern of a spike followed by costs settling at an elevated rate.  Both these buckets focus on patients that have experienced some event (spike) and need to find a “new normal” and </w:t>
      </w:r>
      <w:r w:rsidR="003F686B" w:rsidRPr="003F686B">
        <w:t>must</w:t>
      </w:r>
      <w:r w:rsidRPr="003F686B">
        <w:t xml:space="preserve"> negotiate several options for treatment (elevated rate).   </w:t>
      </w:r>
    </w:p>
    <w:p w:rsidR="0049124A" w:rsidRPr="003F686B" w:rsidRDefault="0049124A" w:rsidP="0049124A">
      <w:pPr>
        <w:spacing w:after="0"/>
      </w:pPr>
    </w:p>
    <w:p w:rsidR="00564BD2" w:rsidRPr="003F686B" w:rsidRDefault="00564BD2" w:rsidP="0049124A">
      <w:pPr>
        <w:spacing w:after="0"/>
      </w:pPr>
      <w:r w:rsidRPr="003F686B">
        <w:t xml:space="preserve">The last two buckets are Coordination and Monitoring.  Monitoring patients </w:t>
      </w:r>
      <w:r w:rsidR="00EB7686" w:rsidRPr="003F686B">
        <w:t>show a pattern of inappropriately utilizing services and show need for some guidance.  Some potential misuses may be relying too heavily on the ER for care and not seeing a care provider with chronic conditions.  Like Monitoring, Coordination patients need help navigating the web or patient care and utilizing services in an efficient and productive manner.  except that the patients have multiple chronic conditions and are seeing care providers for them.  However, unlike Monitoring, these patients have multiple chronic conditions and may already be seeing providers for care.</w:t>
      </w:r>
    </w:p>
    <w:p w:rsidR="00A32205" w:rsidRPr="003F686B" w:rsidRDefault="00A32205" w:rsidP="0049124A">
      <w:pPr>
        <w:spacing w:after="0"/>
      </w:pPr>
    </w:p>
    <w:p w:rsidR="003B6D0B" w:rsidRPr="003F686B" w:rsidRDefault="0049124A" w:rsidP="00AA5930">
      <w:pPr>
        <w:spacing w:after="0"/>
      </w:pPr>
      <w:r w:rsidRPr="003F686B">
        <w:rPr>
          <w:noProof/>
        </w:rPr>
        <w:lastRenderedPageBreak/>
        <w:drawing>
          <wp:inline distT="0" distB="0" distL="0" distR="0" wp14:anchorId="1063B380" wp14:editId="5BEA00BA">
            <wp:extent cx="5943600" cy="4451350"/>
            <wp:effectExtent l="0" t="0" r="0" b="6350"/>
            <wp:docPr id="15" name="Chart 15">
              <a:extLst xmlns:a="http://schemas.openxmlformats.org/drawingml/2006/main">
                <a:ext uri="{FF2B5EF4-FFF2-40B4-BE49-F238E27FC236}">
                  <a16:creationId xmlns:a16="http://schemas.microsoft.com/office/drawing/2014/main" id="{C9E0B2A6-BD24-4371-A962-BBD9FBC365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3B6D0B" w:rsidRPr="003F686B" w:rsidRDefault="003B6D0B" w:rsidP="00AA5930">
      <w:pPr>
        <w:spacing w:after="0"/>
      </w:pPr>
    </w:p>
    <w:p w:rsidR="004E4C2F" w:rsidRPr="003F686B" w:rsidRDefault="004E4C2F" w:rsidP="004E4C2F">
      <w:pPr>
        <w:pStyle w:val="Subtitle"/>
      </w:pPr>
    </w:p>
    <w:p w:rsidR="00ED3159" w:rsidRPr="003F686B" w:rsidRDefault="004E4C2F" w:rsidP="004E4C2F">
      <w:pPr>
        <w:pStyle w:val="Subtitle"/>
      </w:pPr>
      <w:r w:rsidRPr="003F686B">
        <w:t>Model Consistency</w:t>
      </w:r>
    </w:p>
    <w:p w:rsidR="00CC416C" w:rsidRPr="003F686B" w:rsidRDefault="00CC416C" w:rsidP="00CC416C">
      <w:pPr>
        <w:spacing w:after="0"/>
      </w:pPr>
      <w:r w:rsidRPr="003F686B">
        <w:t xml:space="preserve">To better understand how patients flowed through buckets the PopClass model was run on 5 quarters worth of </w:t>
      </w:r>
      <w:r w:rsidR="00235E74" w:rsidRPr="003F686B">
        <w:t>CLIENT</w:t>
      </w:r>
      <w:r w:rsidRPr="003F686B">
        <w:t xml:space="preserve"> data (2013Q4-2014Q4).  It is important to see and understand the pathways which patients took as they progressed from more serious to less serious buckets and vice versa.  One nice tool for this are Sankey diagrams which visually depict the flow from one state (node) to the next.  This diagram shows how entire groups move, but does not lend insight to the activities of any individual.  </w:t>
      </w:r>
    </w:p>
    <w:p w:rsidR="00CC416C" w:rsidRPr="003F686B" w:rsidRDefault="00CC416C" w:rsidP="00CC416C">
      <w:pPr>
        <w:spacing w:after="0"/>
      </w:pPr>
    </w:p>
    <w:p w:rsidR="00CC416C" w:rsidRPr="003F686B" w:rsidRDefault="00CC416C" w:rsidP="00CC416C">
      <w:pPr>
        <w:spacing w:after="0"/>
      </w:pPr>
      <w:r w:rsidRPr="003F686B">
        <w:rPr>
          <w:noProof/>
        </w:rPr>
        <w:lastRenderedPageBreak/>
        <w:drawing>
          <wp:inline distT="0" distB="0" distL="0" distR="0" wp14:anchorId="20D0F771" wp14:editId="0BB17EF3">
            <wp:extent cx="5943600" cy="2926080"/>
            <wp:effectExtent l="0" t="0" r="0" b="762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9"/>
                    <a:srcRect t="9241" b="-451"/>
                    <a:stretch/>
                  </pic:blipFill>
                  <pic:spPr bwMode="auto">
                    <a:xfrm>
                      <a:off x="0" y="0"/>
                      <a:ext cx="5943600" cy="2926080"/>
                    </a:xfrm>
                    <a:prstGeom prst="rect">
                      <a:avLst/>
                    </a:prstGeom>
                    <a:ln>
                      <a:noFill/>
                    </a:ln>
                    <a:extLst>
                      <a:ext uri="{53640926-AAD7-44D8-BBD7-CCE9431645EC}">
                        <a14:shadowObscured xmlns:a14="http://schemas.microsoft.com/office/drawing/2010/main"/>
                      </a:ext>
                    </a:extLst>
                  </pic:spPr>
                </pic:pic>
              </a:graphicData>
            </a:graphic>
          </wp:inline>
        </w:drawing>
      </w:r>
    </w:p>
    <w:p w:rsidR="00CC416C" w:rsidRPr="003F686B" w:rsidRDefault="00CC416C" w:rsidP="00CC416C">
      <w:pPr>
        <w:spacing w:after="0"/>
      </w:pPr>
    </w:p>
    <w:p w:rsidR="00CC416C" w:rsidRPr="003F686B" w:rsidRDefault="00CC416C" w:rsidP="00CC416C">
      <w:pPr>
        <w:spacing w:after="0"/>
      </w:pPr>
      <w:r w:rsidRPr="003F686B">
        <w:t>The diagram above shows all the patients that started in Crisis Management</w:t>
      </w:r>
      <w:r w:rsidR="00A32205" w:rsidRPr="003F686B">
        <w:t xml:space="preserve"> (the highest bucket)</w:t>
      </w:r>
      <w:r w:rsidRPr="003F686B">
        <w:t xml:space="preserve"> in 2013Q4 (far left) and how they moved through the buckets over time.  Every patient represented in the diagram started in Crisis Management and no new patients enter the system at any time.  Very few patients remained in Cri</w:t>
      </w:r>
      <w:r w:rsidR="00A32205" w:rsidRPr="003F686B">
        <w:t xml:space="preserve">sis Management after the 2013Q4 (as expected) </w:t>
      </w:r>
      <w:r w:rsidRPr="003F686B">
        <w:t xml:space="preserve">with most moving to Monitoring.  After that the buckets began to level off in size and </w:t>
      </w:r>
      <w:r w:rsidR="00A32205" w:rsidRPr="003F686B">
        <w:t xml:space="preserve">their distribution </w:t>
      </w:r>
      <w:r w:rsidRPr="003F686B">
        <w:t>become more stable.  Some patients do move back into Crisis Management (some from Rebalan</w:t>
      </w:r>
      <w:r w:rsidR="004E4C2F" w:rsidRPr="003F686B">
        <w:t>cing, some from Monitoring, etc.</w:t>
      </w:r>
      <w:r w:rsidRPr="003F686B">
        <w:t xml:space="preserve">), so these might be of </w:t>
      </w:r>
      <w:r w:rsidR="00A32205" w:rsidRPr="003F686B">
        <w:t>extra</w:t>
      </w:r>
      <w:r w:rsidRPr="003F686B">
        <w:t xml:space="preserve"> interest as they have suffered multiple major problems in the same year.  This sample was relatively small with about 150 patients total.  Larger patient populations show greater stability right from the beginning.  </w:t>
      </w:r>
    </w:p>
    <w:p w:rsidR="00CC416C" w:rsidRPr="003F686B" w:rsidRDefault="00CC416C" w:rsidP="00CC416C">
      <w:pPr>
        <w:spacing w:after="0"/>
      </w:pPr>
    </w:p>
    <w:p w:rsidR="00CC416C" w:rsidRPr="003F686B" w:rsidRDefault="00CC416C" w:rsidP="00CC416C">
      <w:pPr>
        <w:spacing w:after="0"/>
      </w:pPr>
    </w:p>
    <w:p w:rsidR="00CC416C" w:rsidRPr="003F686B" w:rsidRDefault="00CC416C" w:rsidP="00CC416C">
      <w:pPr>
        <w:spacing w:after="0"/>
      </w:pPr>
      <w:r w:rsidRPr="003F686B">
        <w:rPr>
          <w:noProof/>
        </w:rPr>
        <w:drawing>
          <wp:inline distT="0" distB="0" distL="0" distR="0" wp14:anchorId="335FDC09" wp14:editId="7F89221A">
            <wp:extent cx="6027420" cy="29451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even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35961" cy="2949303"/>
                    </a:xfrm>
                    <a:prstGeom prst="rect">
                      <a:avLst/>
                    </a:prstGeom>
                  </pic:spPr>
                </pic:pic>
              </a:graphicData>
            </a:graphic>
          </wp:inline>
        </w:drawing>
      </w:r>
    </w:p>
    <w:p w:rsidR="00A32205" w:rsidRPr="003F686B" w:rsidRDefault="00A32205" w:rsidP="00A32205">
      <w:pPr>
        <w:spacing w:after="0"/>
      </w:pPr>
    </w:p>
    <w:p w:rsidR="00A32205" w:rsidRPr="003F686B" w:rsidRDefault="00A32205" w:rsidP="00A32205">
      <w:pPr>
        <w:spacing w:after="0"/>
      </w:pPr>
      <w:r w:rsidRPr="003F686B">
        <w:t>Consider the Sankey diagram Above.  All patients (42k) began in the Prevention category.  Each quarter some moved to other buckets but many stayed within Prevention.  The two largest recipients of patients were the null bucket (patients who left the system) and the Engagement bucket (patients with little to no activity).  The movement from Prevention to any one specific bucket is relatively stable throughout the year.  For example, movement from Prevention to Support totaled 700, 669, 603, and the outlier of 1455.  It could be hypothesized that the outlier occurs because patients look to maximize their deductibles at the end of the year and thus more falling under support.  Movement from Prevention to Null was 1957, 1192, 1221, and 965.  It could be hypothesized that the first quarter’s movement is the largest because patients have chosen different coverage for the new year.</w:t>
      </w:r>
    </w:p>
    <w:p w:rsidR="003B6D0B" w:rsidRPr="003F686B" w:rsidRDefault="003B6D0B" w:rsidP="00A32205">
      <w:pPr>
        <w:spacing w:after="0" w:line="240" w:lineRule="auto"/>
      </w:pPr>
    </w:p>
    <w:p w:rsidR="003B6D0B" w:rsidRPr="003F686B" w:rsidRDefault="00A32205" w:rsidP="00A32205">
      <w:pPr>
        <w:spacing w:after="0" w:line="240" w:lineRule="auto"/>
      </w:pPr>
      <w:r w:rsidRPr="003F686B">
        <w:t xml:space="preserve">More examples of these Sankey diagrams are available </w:t>
      </w:r>
      <w:r w:rsidR="004E4C2F" w:rsidRPr="003F686B">
        <w:t>on request</w:t>
      </w:r>
      <w:r w:rsidRPr="003F686B">
        <w:t>.  These diagrams are rendered in a browser and</w:t>
      </w:r>
      <w:r w:rsidR="005863DF" w:rsidRPr="003F686B">
        <w:t xml:space="preserve"> allow</w:t>
      </w:r>
      <w:r w:rsidRPr="003F686B">
        <w:t xml:space="preserve"> the user to interact with them and see the number of patients that pass between each node.  </w:t>
      </w:r>
    </w:p>
    <w:p w:rsidR="003B6D0B" w:rsidRPr="003F686B" w:rsidRDefault="003B6D0B" w:rsidP="00AA5930">
      <w:pPr>
        <w:spacing w:after="0"/>
      </w:pPr>
    </w:p>
    <w:p w:rsidR="003F686B" w:rsidRPr="003F686B" w:rsidRDefault="003F686B" w:rsidP="00AA5930">
      <w:pPr>
        <w:spacing w:after="0"/>
      </w:pPr>
    </w:p>
    <w:p w:rsidR="00A32205" w:rsidRPr="003F686B" w:rsidRDefault="00A32205" w:rsidP="004E4C2F">
      <w:pPr>
        <w:pStyle w:val="Subtitle"/>
      </w:pPr>
      <w:r w:rsidRPr="003F686B">
        <w:t>Cost (PMPM)</w:t>
      </w:r>
      <w:r w:rsidR="004E4C2F" w:rsidRPr="003F686B">
        <w:t xml:space="preserve"> Trends</w:t>
      </w:r>
    </w:p>
    <w:p w:rsidR="00A32205" w:rsidRPr="003F686B" w:rsidRDefault="004E4C2F" w:rsidP="00A32205">
      <w:pPr>
        <w:spacing w:after="0"/>
      </w:pPr>
      <w:r w:rsidRPr="003F686B">
        <w:t xml:space="preserve">In the Appendix there </w:t>
      </w:r>
      <w:r w:rsidR="00A32205" w:rsidRPr="003F686B">
        <w:t xml:space="preserve">are multiple graphs comparing the </w:t>
      </w:r>
      <w:r w:rsidR="00145C55" w:rsidRPr="003F686B">
        <w:t xml:space="preserve">mean </w:t>
      </w:r>
      <w:r w:rsidR="00A32205" w:rsidRPr="003F686B">
        <w:t>PMPM cost of each bucket across three populations:  CLI</w:t>
      </w:r>
      <w:r w:rsidR="00145C55" w:rsidRPr="003F686B">
        <w:t>ENT 2013, CLIENT 2014, and MS with MS</w:t>
      </w:r>
      <w:r w:rsidR="00A32205" w:rsidRPr="003F686B">
        <w:t xml:space="preserve"> median value in for comparison.  For the most part the PMPM average is significantly higher than the median value.  This means that relatively few very high cost patients are pushing the overall average much higher than the median.  The only places that this doesn’t happen is with Recovery Guidance, and like Prevention and Engagement (need to get median values).  In most cases the median PMPM has a similar curve to that of the means.  Future work may consider looking at the behavior of the most expensive actors and see if they vary from the rest.</w:t>
      </w:r>
    </w:p>
    <w:p w:rsidR="00A32205" w:rsidRPr="003F686B" w:rsidRDefault="00A32205" w:rsidP="00A32205">
      <w:pPr>
        <w:spacing w:after="0"/>
      </w:pPr>
    </w:p>
    <w:p w:rsidR="00A32205" w:rsidRPr="003F686B" w:rsidRDefault="00A32205" w:rsidP="00A32205">
      <w:pPr>
        <w:spacing w:after="0"/>
      </w:pPr>
      <w:r w:rsidRPr="003F686B">
        <w:t xml:space="preserve">Another interesting characteristic is that some buckets return to roughly the same PMPM level while other buckets settle at a significantly higher value.  Many of the patients settling at a higher level are finding that “new normal” and level of care to manage their conditions.  </w:t>
      </w:r>
    </w:p>
    <w:p w:rsidR="00A32205" w:rsidRPr="003F686B" w:rsidRDefault="00A32205" w:rsidP="00AA5930">
      <w:pPr>
        <w:spacing w:after="0"/>
      </w:pPr>
    </w:p>
    <w:p w:rsidR="003F686B" w:rsidRPr="003F686B" w:rsidRDefault="003F686B" w:rsidP="00AA5930">
      <w:pPr>
        <w:spacing w:after="0"/>
      </w:pPr>
    </w:p>
    <w:p w:rsidR="003F686B" w:rsidRPr="003F686B" w:rsidRDefault="003F686B" w:rsidP="003F686B">
      <w:pPr>
        <w:pStyle w:val="Subtitle"/>
      </w:pPr>
      <w:r w:rsidRPr="003F686B">
        <w:t>C</w:t>
      </w:r>
      <w:r w:rsidRPr="003F686B">
        <w:t>onclusions</w:t>
      </w:r>
      <w:r w:rsidR="006A1292">
        <w:t xml:space="preserve"> and Future Considerations</w:t>
      </w:r>
    </w:p>
    <w:p w:rsidR="006A1292" w:rsidRDefault="003F686B" w:rsidP="003F686B">
      <w:r w:rsidRPr="003F686B">
        <w:t xml:space="preserve">The </w:t>
      </w:r>
      <w:r>
        <w:t>P</w:t>
      </w:r>
      <w:r w:rsidRPr="003F686B">
        <w:t xml:space="preserve">opulation Classification addresses the market needs of </w:t>
      </w:r>
      <w:r>
        <w:t xml:space="preserve">having a model for stratifying a cohort based on care management’s needs. While the evaluation at the individual level it is hard to assess given the subjectivity in such endeavor, the analysis in larger population are more significant and interesting to address. </w:t>
      </w:r>
      <w:r w:rsidR="006A1292">
        <w:t xml:space="preserve"> </w:t>
      </w:r>
    </w:p>
    <w:p w:rsidR="003F686B" w:rsidRDefault="006A1292" w:rsidP="003F686B">
      <w:r>
        <w:t xml:space="preserve">Two large samples from MarketScan was used to investigate the PopClass and the general trends and population distributions show results that are consistent with our expectations for the model behavior. Given the large sample that was used for the analysis, we can also recommend that the results can be used as benchmarks for further studies. </w:t>
      </w:r>
    </w:p>
    <w:p w:rsidR="004E4C2F" w:rsidRDefault="006A1292">
      <w:r>
        <w:t>For future work, it will be interesting to study the PopClass model results as applied to specific diagnosis cohorts or how it correlates with other models based on cost or resource’s utilizations.</w:t>
      </w:r>
      <w:r w:rsidR="004E4C2F">
        <w:br w:type="page"/>
      </w:r>
    </w:p>
    <w:p w:rsidR="004E4C2F" w:rsidRDefault="004E4C2F" w:rsidP="004E4C2F">
      <w:pPr>
        <w:pStyle w:val="Heading1"/>
      </w:pPr>
      <w:r>
        <w:lastRenderedPageBreak/>
        <w:t>Appendix</w:t>
      </w:r>
    </w:p>
    <w:p w:rsidR="004E4C2F" w:rsidRDefault="004E4C2F" w:rsidP="00AA5930">
      <w:pPr>
        <w:spacing w:after="0"/>
      </w:pPr>
    </w:p>
    <w:p w:rsidR="00106257" w:rsidRDefault="00106257" w:rsidP="00AA5930">
      <w:pPr>
        <w:spacing w:after="0"/>
      </w:pPr>
      <w:r w:rsidRPr="00106257">
        <w:rPr>
          <w:noProof/>
        </w:rPr>
        <w:drawing>
          <wp:inline distT="0" distB="0" distL="0" distR="0" wp14:anchorId="4FAF1001" wp14:editId="71368EE5">
            <wp:extent cx="5882640" cy="3810000"/>
            <wp:effectExtent l="0" t="0" r="3810" b="0"/>
            <wp:docPr id="4" name="Chart 4">
              <a:extLst xmlns:a="http://schemas.openxmlformats.org/drawingml/2006/main">
                <a:ext uri="{FF2B5EF4-FFF2-40B4-BE49-F238E27FC236}">
                  <a16:creationId xmlns:a16="http://schemas.microsoft.com/office/drawing/2014/main" id="{18D3050E-2311-4056-A67C-16BC9AAE38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3B6D0B" w:rsidRDefault="003B6D0B" w:rsidP="00AA5930">
      <w:pPr>
        <w:spacing w:after="0"/>
      </w:pPr>
    </w:p>
    <w:p w:rsidR="00106257" w:rsidRDefault="00106257" w:rsidP="00AA5930">
      <w:pPr>
        <w:spacing w:after="0"/>
      </w:pPr>
      <w:r w:rsidRPr="00106257">
        <w:rPr>
          <w:noProof/>
        </w:rPr>
        <w:drawing>
          <wp:inline distT="0" distB="0" distL="0" distR="0" wp14:anchorId="295C2DB2" wp14:editId="14DBD1D8">
            <wp:extent cx="5920740" cy="3627120"/>
            <wp:effectExtent l="0" t="0" r="3810" b="11430"/>
            <wp:docPr id="6" name="Chart 6">
              <a:extLst xmlns:a="http://schemas.openxmlformats.org/drawingml/2006/main">
                <a:ext uri="{FF2B5EF4-FFF2-40B4-BE49-F238E27FC236}">
                  <a16:creationId xmlns:a16="http://schemas.microsoft.com/office/drawing/2014/main" id="{0A86A9ED-DF7E-4640-A2AC-029337750E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BA6CF2" w:rsidRDefault="00BA6CF2" w:rsidP="00AA5930">
      <w:pPr>
        <w:spacing w:after="0"/>
      </w:pPr>
    </w:p>
    <w:p w:rsidR="00BA6CF2" w:rsidRDefault="00BA6CF2" w:rsidP="00AA5930">
      <w:pPr>
        <w:spacing w:after="0"/>
      </w:pPr>
    </w:p>
    <w:p w:rsidR="00106257" w:rsidRDefault="00106257" w:rsidP="00AA5930">
      <w:pPr>
        <w:spacing w:after="0"/>
      </w:pPr>
      <w:r w:rsidRPr="00106257">
        <w:rPr>
          <w:noProof/>
        </w:rPr>
        <w:drawing>
          <wp:inline distT="0" distB="0" distL="0" distR="0" wp14:anchorId="6C788B0A" wp14:editId="0A8C1CCA">
            <wp:extent cx="5943600" cy="3485515"/>
            <wp:effectExtent l="0" t="0" r="0" b="635"/>
            <wp:docPr id="7" name="Chart 7">
              <a:extLst xmlns:a="http://schemas.openxmlformats.org/drawingml/2006/main">
                <a:ext uri="{FF2B5EF4-FFF2-40B4-BE49-F238E27FC236}">
                  <a16:creationId xmlns:a16="http://schemas.microsoft.com/office/drawing/2014/main" id="{C43E0F8A-BAEF-4A97-A1BC-42525C32CA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106257" w:rsidRDefault="00106257" w:rsidP="00AA5930">
      <w:pPr>
        <w:spacing w:after="0"/>
      </w:pPr>
    </w:p>
    <w:p w:rsidR="00106257" w:rsidRDefault="00106257" w:rsidP="00AA5930">
      <w:pPr>
        <w:spacing w:after="0"/>
      </w:pPr>
      <w:r w:rsidRPr="00106257">
        <w:rPr>
          <w:noProof/>
        </w:rPr>
        <w:drawing>
          <wp:inline distT="0" distB="0" distL="0" distR="0" wp14:anchorId="205A0D56" wp14:editId="271BEE4C">
            <wp:extent cx="5958840" cy="3512820"/>
            <wp:effectExtent l="0" t="0" r="3810" b="11430"/>
            <wp:docPr id="8" name="Chart 8">
              <a:extLst xmlns:a="http://schemas.openxmlformats.org/drawingml/2006/main">
                <a:ext uri="{FF2B5EF4-FFF2-40B4-BE49-F238E27FC236}">
                  <a16:creationId xmlns:a16="http://schemas.microsoft.com/office/drawing/2014/main" id="{14B9D14A-DBC4-486B-A07E-49215F664B4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106257" w:rsidRDefault="00106257" w:rsidP="00AA5930">
      <w:pPr>
        <w:spacing w:after="0"/>
      </w:pPr>
    </w:p>
    <w:p w:rsidR="00106257" w:rsidRDefault="00106257" w:rsidP="00AA5930">
      <w:pPr>
        <w:spacing w:after="0"/>
      </w:pPr>
    </w:p>
    <w:p w:rsidR="00106257" w:rsidRDefault="00106257" w:rsidP="00AA5930">
      <w:pPr>
        <w:spacing w:after="0"/>
      </w:pPr>
      <w:r w:rsidRPr="00106257">
        <w:rPr>
          <w:noProof/>
        </w:rPr>
        <w:lastRenderedPageBreak/>
        <w:drawing>
          <wp:inline distT="0" distB="0" distL="0" distR="0" wp14:anchorId="3C182445" wp14:editId="724C6249">
            <wp:extent cx="5875020" cy="3642360"/>
            <wp:effectExtent l="0" t="0" r="11430" b="15240"/>
            <wp:docPr id="9" name="Chart 9">
              <a:extLst xmlns:a="http://schemas.openxmlformats.org/drawingml/2006/main">
                <a:ext uri="{FF2B5EF4-FFF2-40B4-BE49-F238E27FC236}">
                  <a16:creationId xmlns:a16="http://schemas.microsoft.com/office/drawing/2014/main" id="{248901A7-9CBA-4D22-8D2A-B9CC025A1A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106257" w:rsidRDefault="00106257" w:rsidP="00AA5930">
      <w:pPr>
        <w:spacing w:after="0"/>
      </w:pPr>
    </w:p>
    <w:p w:rsidR="00106257" w:rsidRDefault="00106257" w:rsidP="00AA5930">
      <w:pPr>
        <w:spacing w:after="0"/>
      </w:pPr>
    </w:p>
    <w:p w:rsidR="00106257" w:rsidRDefault="00106257" w:rsidP="00AA5930">
      <w:pPr>
        <w:spacing w:after="0"/>
      </w:pPr>
      <w:r w:rsidRPr="00106257">
        <w:rPr>
          <w:noProof/>
        </w:rPr>
        <w:drawing>
          <wp:inline distT="0" distB="0" distL="0" distR="0" wp14:anchorId="6FB2BFAB" wp14:editId="5A6B2D01">
            <wp:extent cx="5875020" cy="3733800"/>
            <wp:effectExtent l="0" t="0" r="11430" b="0"/>
            <wp:docPr id="10" name="Chart 10">
              <a:extLst xmlns:a="http://schemas.openxmlformats.org/drawingml/2006/main">
                <a:ext uri="{FF2B5EF4-FFF2-40B4-BE49-F238E27FC236}">
                  <a16:creationId xmlns:a16="http://schemas.microsoft.com/office/drawing/2014/main" id="{FCD6BA8B-CEDF-443D-8290-0BEAA53D977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106257" w:rsidRDefault="00106257" w:rsidP="00AA5930">
      <w:pPr>
        <w:spacing w:after="0"/>
      </w:pPr>
    </w:p>
    <w:p w:rsidR="00106257" w:rsidRDefault="00106257" w:rsidP="00AA5930">
      <w:pPr>
        <w:spacing w:after="0"/>
      </w:pPr>
    </w:p>
    <w:p w:rsidR="00106257" w:rsidRDefault="00106257" w:rsidP="00AA5930">
      <w:pPr>
        <w:spacing w:after="0"/>
      </w:pPr>
    </w:p>
    <w:p w:rsidR="00106257" w:rsidRDefault="00106257" w:rsidP="00AA5930">
      <w:pPr>
        <w:spacing w:after="0"/>
      </w:pPr>
      <w:r w:rsidRPr="00106257">
        <w:rPr>
          <w:noProof/>
        </w:rPr>
        <w:drawing>
          <wp:inline distT="0" distB="0" distL="0" distR="0" wp14:anchorId="438D2EA5" wp14:editId="04DEC703">
            <wp:extent cx="5829300" cy="3596640"/>
            <wp:effectExtent l="0" t="0" r="0" b="3810"/>
            <wp:docPr id="11" name="Chart 11">
              <a:extLst xmlns:a="http://schemas.openxmlformats.org/drawingml/2006/main">
                <a:ext uri="{FF2B5EF4-FFF2-40B4-BE49-F238E27FC236}">
                  <a16:creationId xmlns:a16="http://schemas.microsoft.com/office/drawing/2014/main" id="{0DCC96D0-CCEA-4F07-AA30-4519AFE3C3B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106257" w:rsidRDefault="00106257" w:rsidP="00AA5930">
      <w:pPr>
        <w:spacing w:after="0"/>
      </w:pPr>
    </w:p>
    <w:p w:rsidR="00106257" w:rsidRDefault="00106257" w:rsidP="00AA5930">
      <w:pPr>
        <w:spacing w:after="0"/>
      </w:pPr>
    </w:p>
    <w:p w:rsidR="00106257" w:rsidRDefault="00106257" w:rsidP="00AA5930">
      <w:pPr>
        <w:spacing w:after="0"/>
      </w:pPr>
      <w:r w:rsidRPr="00106257">
        <w:rPr>
          <w:noProof/>
        </w:rPr>
        <w:drawing>
          <wp:inline distT="0" distB="0" distL="0" distR="0" wp14:anchorId="238D38C0" wp14:editId="4E108854">
            <wp:extent cx="5844540" cy="3733800"/>
            <wp:effectExtent l="0" t="0" r="3810" b="0"/>
            <wp:docPr id="12" name="Chart 12">
              <a:extLst xmlns:a="http://schemas.openxmlformats.org/drawingml/2006/main">
                <a:ext uri="{FF2B5EF4-FFF2-40B4-BE49-F238E27FC236}">
                  <a16:creationId xmlns:a16="http://schemas.microsoft.com/office/drawing/2014/main" id="{6BA609FD-81C8-439C-81B7-9CFA9BBA811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3B6D0B" w:rsidRDefault="003B6D0B" w:rsidP="00AA5930">
      <w:pPr>
        <w:spacing w:after="0"/>
      </w:pPr>
    </w:p>
    <w:p w:rsidR="003B6D0B" w:rsidRDefault="003B6D0B" w:rsidP="00AA5930">
      <w:pPr>
        <w:spacing w:after="0"/>
      </w:pPr>
    </w:p>
    <w:p w:rsidR="003B6D0B" w:rsidRDefault="003B6D0B" w:rsidP="00AA5930">
      <w:pPr>
        <w:spacing w:after="0"/>
      </w:pPr>
      <w:r w:rsidRPr="003B6D0B">
        <w:rPr>
          <w:noProof/>
        </w:rPr>
        <w:drawing>
          <wp:inline distT="0" distB="0" distL="0" distR="0" wp14:anchorId="0D6A7633" wp14:editId="6F1C1CE3">
            <wp:extent cx="5943600" cy="3485515"/>
            <wp:effectExtent l="0" t="0" r="0" b="635"/>
            <wp:docPr id="17" name="Chart 17">
              <a:extLst xmlns:a="http://schemas.openxmlformats.org/drawingml/2006/main">
                <a:ext uri="{FF2B5EF4-FFF2-40B4-BE49-F238E27FC236}">
                  <a16:creationId xmlns:a16="http://schemas.microsoft.com/office/drawing/2014/main" id="{4BB3C9F4-3C3F-4A6C-9ACE-8BFAFE2DCA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3B6D0B" w:rsidRDefault="003B6D0B" w:rsidP="00AA5930">
      <w:pPr>
        <w:spacing w:after="0"/>
      </w:pPr>
    </w:p>
    <w:p w:rsidR="003B6D0B" w:rsidRDefault="003B6D0B" w:rsidP="00AA5930">
      <w:pPr>
        <w:spacing w:after="0"/>
      </w:pPr>
    </w:p>
    <w:p w:rsidR="003B6D0B" w:rsidRDefault="003B6D0B" w:rsidP="00AA5930">
      <w:pPr>
        <w:spacing w:after="0"/>
      </w:pPr>
      <w:r w:rsidRPr="003B6D0B">
        <w:rPr>
          <w:noProof/>
        </w:rPr>
        <w:drawing>
          <wp:inline distT="0" distB="0" distL="0" distR="0" wp14:anchorId="2BD1B39B" wp14:editId="48D5614F">
            <wp:extent cx="5943600" cy="3485515"/>
            <wp:effectExtent l="0" t="0" r="0" b="635"/>
            <wp:docPr id="16" name="Chart 16">
              <a:extLst xmlns:a="http://schemas.openxmlformats.org/drawingml/2006/main">
                <a:ext uri="{FF2B5EF4-FFF2-40B4-BE49-F238E27FC236}">
                  <a16:creationId xmlns:a16="http://schemas.microsoft.com/office/drawing/2014/main" id="{FB6AC443-AD30-4154-B79B-5A150647F3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106257" w:rsidRDefault="00106257" w:rsidP="00AA5930">
      <w:pPr>
        <w:spacing w:after="0"/>
      </w:pPr>
    </w:p>
    <w:p w:rsidR="00106257" w:rsidRDefault="00106257" w:rsidP="00AA5930">
      <w:pPr>
        <w:spacing w:after="0"/>
      </w:pPr>
    </w:p>
    <w:sectPr w:rsidR="001062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1C28D5"/>
    <w:multiLevelType w:val="hybridMultilevel"/>
    <w:tmpl w:val="6E24E1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CC02572"/>
    <w:multiLevelType w:val="hybridMultilevel"/>
    <w:tmpl w:val="4FDE57A4"/>
    <w:lvl w:ilvl="0" w:tplc="921A82B2">
      <w:numFmt w:val="bullet"/>
      <w:lvlText w:val="-"/>
      <w:lvlJc w:val="left"/>
      <w:pPr>
        <w:ind w:left="408" w:hanging="360"/>
      </w:pPr>
      <w:rPr>
        <w:rFonts w:ascii="Calibri" w:eastAsiaTheme="minorHAnsi" w:hAnsi="Calibri" w:cstheme="minorBidi"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5930"/>
    <w:rsid w:val="00086EE7"/>
    <w:rsid w:val="00106257"/>
    <w:rsid w:val="001372BE"/>
    <w:rsid w:val="00144B8C"/>
    <w:rsid w:val="00145C55"/>
    <w:rsid w:val="00151731"/>
    <w:rsid w:val="00155472"/>
    <w:rsid w:val="00194F8B"/>
    <w:rsid w:val="001A2D3B"/>
    <w:rsid w:val="001B2947"/>
    <w:rsid w:val="001F1D41"/>
    <w:rsid w:val="002127A7"/>
    <w:rsid w:val="00235E74"/>
    <w:rsid w:val="00242D59"/>
    <w:rsid w:val="00272FB2"/>
    <w:rsid w:val="00286D77"/>
    <w:rsid w:val="002D36B4"/>
    <w:rsid w:val="002F722A"/>
    <w:rsid w:val="0034743E"/>
    <w:rsid w:val="0038496E"/>
    <w:rsid w:val="00390034"/>
    <w:rsid w:val="0039394E"/>
    <w:rsid w:val="003B6D0B"/>
    <w:rsid w:val="003F686B"/>
    <w:rsid w:val="004246DF"/>
    <w:rsid w:val="00424A57"/>
    <w:rsid w:val="00447A3C"/>
    <w:rsid w:val="00457D7A"/>
    <w:rsid w:val="00464EFC"/>
    <w:rsid w:val="0049124A"/>
    <w:rsid w:val="004A1ED9"/>
    <w:rsid w:val="004E4C2F"/>
    <w:rsid w:val="004F0872"/>
    <w:rsid w:val="00534EA9"/>
    <w:rsid w:val="0056206C"/>
    <w:rsid w:val="00564BD2"/>
    <w:rsid w:val="005863DF"/>
    <w:rsid w:val="005B534A"/>
    <w:rsid w:val="005C599C"/>
    <w:rsid w:val="005C6C10"/>
    <w:rsid w:val="005D50E6"/>
    <w:rsid w:val="005E0AA8"/>
    <w:rsid w:val="005E6D59"/>
    <w:rsid w:val="006134EE"/>
    <w:rsid w:val="006137EE"/>
    <w:rsid w:val="00615BDA"/>
    <w:rsid w:val="00632914"/>
    <w:rsid w:val="006432F0"/>
    <w:rsid w:val="00661586"/>
    <w:rsid w:val="006A1292"/>
    <w:rsid w:val="006A3EF4"/>
    <w:rsid w:val="006F20AC"/>
    <w:rsid w:val="006F2D1D"/>
    <w:rsid w:val="0072755C"/>
    <w:rsid w:val="00742335"/>
    <w:rsid w:val="00747899"/>
    <w:rsid w:val="00787AD2"/>
    <w:rsid w:val="007E7AE9"/>
    <w:rsid w:val="007F3C92"/>
    <w:rsid w:val="00823B6F"/>
    <w:rsid w:val="00827702"/>
    <w:rsid w:val="00892261"/>
    <w:rsid w:val="008929F6"/>
    <w:rsid w:val="008938C6"/>
    <w:rsid w:val="008A3FF8"/>
    <w:rsid w:val="008C3799"/>
    <w:rsid w:val="008F0D34"/>
    <w:rsid w:val="009218BF"/>
    <w:rsid w:val="00933418"/>
    <w:rsid w:val="0095701D"/>
    <w:rsid w:val="009A7935"/>
    <w:rsid w:val="009C66F8"/>
    <w:rsid w:val="00A17B8C"/>
    <w:rsid w:val="00A32205"/>
    <w:rsid w:val="00A7129B"/>
    <w:rsid w:val="00A83920"/>
    <w:rsid w:val="00A93129"/>
    <w:rsid w:val="00AA5930"/>
    <w:rsid w:val="00B17BE9"/>
    <w:rsid w:val="00BA6CF2"/>
    <w:rsid w:val="00BD7A56"/>
    <w:rsid w:val="00C1600D"/>
    <w:rsid w:val="00C44166"/>
    <w:rsid w:val="00C47913"/>
    <w:rsid w:val="00C82307"/>
    <w:rsid w:val="00CC416C"/>
    <w:rsid w:val="00D34D03"/>
    <w:rsid w:val="00D42444"/>
    <w:rsid w:val="00D50776"/>
    <w:rsid w:val="00D75860"/>
    <w:rsid w:val="00DC4105"/>
    <w:rsid w:val="00DC4866"/>
    <w:rsid w:val="00DF0E83"/>
    <w:rsid w:val="00E574B2"/>
    <w:rsid w:val="00E6128F"/>
    <w:rsid w:val="00E67ED8"/>
    <w:rsid w:val="00EA5946"/>
    <w:rsid w:val="00EB00BB"/>
    <w:rsid w:val="00EB1533"/>
    <w:rsid w:val="00EB7686"/>
    <w:rsid w:val="00ED3159"/>
    <w:rsid w:val="00F31876"/>
    <w:rsid w:val="00F41B8D"/>
    <w:rsid w:val="00F45AE5"/>
    <w:rsid w:val="00F80DD7"/>
    <w:rsid w:val="00F921A4"/>
    <w:rsid w:val="00FD34DC"/>
    <w:rsid w:val="00FE5A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F5B7E"/>
  <w15:chartTrackingRefBased/>
  <w15:docId w15:val="{48FA6FAD-EDB6-4BEA-81E4-6E45C5248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79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2261"/>
    <w:pPr>
      <w:ind w:left="720"/>
      <w:contextualSpacing/>
    </w:pPr>
  </w:style>
  <w:style w:type="character" w:styleId="CommentReference">
    <w:name w:val="annotation reference"/>
    <w:basedOn w:val="DefaultParagraphFont"/>
    <w:uiPriority w:val="99"/>
    <w:semiHidden/>
    <w:unhideWhenUsed/>
    <w:rsid w:val="00424A57"/>
    <w:rPr>
      <w:sz w:val="16"/>
      <w:szCs w:val="16"/>
    </w:rPr>
  </w:style>
  <w:style w:type="paragraph" w:styleId="CommentText">
    <w:name w:val="annotation text"/>
    <w:basedOn w:val="Normal"/>
    <w:link w:val="CommentTextChar"/>
    <w:uiPriority w:val="99"/>
    <w:semiHidden/>
    <w:unhideWhenUsed/>
    <w:rsid w:val="00424A57"/>
    <w:pPr>
      <w:spacing w:line="240" w:lineRule="auto"/>
    </w:pPr>
    <w:rPr>
      <w:sz w:val="20"/>
      <w:szCs w:val="20"/>
    </w:rPr>
  </w:style>
  <w:style w:type="character" w:customStyle="1" w:styleId="CommentTextChar">
    <w:name w:val="Comment Text Char"/>
    <w:basedOn w:val="DefaultParagraphFont"/>
    <w:link w:val="CommentText"/>
    <w:uiPriority w:val="99"/>
    <w:semiHidden/>
    <w:rsid w:val="00424A57"/>
    <w:rPr>
      <w:sz w:val="20"/>
      <w:szCs w:val="20"/>
    </w:rPr>
  </w:style>
  <w:style w:type="paragraph" w:styleId="CommentSubject">
    <w:name w:val="annotation subject"/>
    <w:basedOn w:val="CommentText"/>
    <w:next w:val="CommentText"/>
    <w:link w:val="CommentSubjectChar"/>
    <w:uiPriority w:val="99"/>
    <w:semiHidden/>
    <w:unhideWhenUsed/>
    <w:rsid w:val="00424A57"/>
    <w:rPr>
      <w:b/>
      <w:bCs/>
    </w:rPr>
  </w:style>
  <w:style w:type="character" w:customStyle="1" w:styleId="CommentSubjectChar">
    <w:name w:val="Comment Subject Char"/>
    <w:basedOn w:val="CommentTextChar"/>
    <w:link w:val="CommentSubject"/>
    <w:uiPriority w:val="99"/>
    <w:semiHidden/>
    <w:rsid w:val="00424A57"/>
    <w:rPr>
      <w:b/>
      <w:bCs/>
      <w:sz w:val="20"/>
      <w:szCs w:val="20"/>
    </w:rPr>
  </w:style>
  <w:style w:type="paragraph" w:styleId="BalloonText">
    <w:name w:val="Balloon Text"/>
    <w:basedOn w:val="Normal"/>
    <w:link w:val="BalloonTextChar"/>
    <w:uiPriority w:val="99"/>
    <w:semiHidden/>
    <w:unhideWhenUsed/>
    <w:rsid w:val="00424A5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4A57"/>
    <w:rPr>
      <w:rFonts w:ascii="Segoe UI" w:hAnsi="Segoe UI" w:cs="Segoe UI"/>
      <w:sz w:val="18"/>
      <w:szCs w:val="18"/>
    </w:rPr>
  </w:style>
  <w:style w:type="character" w:customStyle="1" w:styleId="Heading1Char">
    <w:name w:val="Heading 1 Char"/>
    <w:basedOn w:val="DefaultParagraphFont"/>
    <w:link w:val="Heading1"/>
    <w:uiPriority w:val="9"/>
    <w:rsid w:val="00C47913"/>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C4791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791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4791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47913"/>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0621875">
      <w:bodyDiv w:val="1"/>
      <w:marLeft w:val="0"/>
      <w:marRight w:val="0"/>
      <w:marTop w:val="0"/>
      <w:marBottom w:val="0"/>
      <w:divBdr>
        <w:top w:val="none" w:sz="0" w:space="0" w:color="auto"/>
        <w:left w:val="none" w:sz="0" w:space="0" w:color="auto"/>
        <w:bottom w:val="none" w:sz="0" w:space="0" w:color="auto"/>
        <w:right w:val="none" w:sz="0" w:space="0" w:color="auto"/>
      </w:divBdr>
    </w:div>
    <w:div w:id="1216744590">
      <w:bodyDiv w:val="1"/>
      <w:marLeft w:val="0"/>
      <w:marRight w:val="0"/>
      <w:marTop w:val="0"/>
      <w:marBottom w:val="0"/>
      <w:divBdr>
        <w:top w:val="none" w:sz="0" w:space="0" w:color="auto"/>
        <w:left w:val="none" w:sz="0" w:space="0" w:color="auto"/>
        <w:bottom w:val="none" w:sz="0" w:space="0" w:color="auto"/>
        <w:right w:val="none" w:sz="0" w:space="0" w:color="auto"/>
      </w:divBdr>
    </w:div>
    <w:div w:id="1324820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3.xml"/><Relationship Id="rId13" Type="http://schemas.openxmlformats.org/officeDocument/2006/relationships/chart" Target="charts/chart6.xml"/><Relationship Id="rId18" Type="http://schemas.openxmlformats.org/officeDocument/2006/relationships/chart" Target="charts/chart1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chart" Target="charts/chart2.xml"/><Relationship Id="rId12" Type="http://schemas.openxmlformats.org/officeDocument/2006/relationships/chart" Target="charts/chart5.xml"/><Relationship Id="rId17" Type="http://schemas.openxmlformats.org/officeDocument/2006/relationships/chart" Target="charts/chart10.xml"/><Relationship Id="rId2" Type="http://schemas.openxmlformats.org/officeDocument/2006/relationships/styles" Target="styles.xml"/><Relationship Id="rId16" Type="http://schemas.openxmlformats.org/officeDocument/2006/relationships/chart" Target="charts/chart9.xml"/><Relationship Id="rId20" Type="http://schemas.openxmlformats.org/officeDocument/2006/relationships/chart" Target="charts/chart13.xml"/><Relationship Id="rId1" Type="http://schemas.openxmlformats.org/officeDocument/2006/relationships/numbering" Target="numbering.xml"/><Relationship Id="rId6" Type="http://schemas.openxmlformats.org/officeDocument/2006/relationships/chart" Target="charts/chart1.xml"/><Relationship Id="rId11" Type="http://schemas.openxmlformats.org/officeDocument/2006/relationships/chart" Target="charts/chart4.xml"/><Relationship Id="rId5" Type="http://schemas.openxmlformats.org/officeDocument/2006/relationships/image" Target="media/image1.png"/><Relationship Id="rId15" Type="http://schemas.openxmlformats.org/officeDocument/2006/relationships/chart" Target="charts/chart8.xml"/><Relationship Id="rId10" Type="http://schemas.openxmlformats.org/officeDocument/2006/relationships/image" Target="media/image3.png"/><Relationship Id="rId19" Type="http://schemas.openxmlformats.org/officeDocument/2006/relationships/chart" Target="charts/chart1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chart" Target="charts/chart7.xml"/><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u935140\Desktop\Methodology%20Stuff\Classification\Model%20Validation%20Reports\Summary%20for%20Presentation1.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u935140\Desktop\Methodology%20Stuff\Classification\Model%20Validation%20Reports\Summary%20for%20Presentation1.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u935140\Desktop\Methodology%20Stuff\Classification\Model%20Validation%20Reports\Summary%20for%20Presentation1.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u935140\Desktop\Methodology%20Stuff\Classification\Model%20Validation%20Reports\Summary%20for%20Presentation1.xlsx" TargetMode="External"/><Relationship Id="rId2" Type="http://schemas.microsoft.com/office/2011/relationships/chartColorStyle" Target="colors12.xml"/><Relationship Id="rId1" Type="http://schemas.microsoft.com/office/2011/relationships/chartStyle" Target="style12.xml"/><Relationship Id="rId4" Type="http://schemas.openxmlformats.org/officeDocument/2006/relationships/chartUserShapes" Target="../drawings/drawing6.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u935140\Desktop\Methodology%20Stuff\Classification\Model%20Validation%20Reports\Summary%20for%20Presentation1.xlsx" TargetMode="External"/><Relationship Id="rId2" Type="http://schemas.microsoft.com/office/2011/relationships/chartColorStyle" Target="colors13.xml"/><Relationship Id="rId1" Type="http://schemas.microsoft.com/office/2011/relationships/chartStyle" Target="style13.xml"/><Relationship Id="rId4" Type="http://schemas.openxmlformats.org/officeDocument/2006/relationships/chartUserShapes" Target="../drawings/drawing7.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u935140\Desktop\Methodology%20Stuff\Classification\Model%20Validation%20Reports\AllRulesAndMoreTestingVariables_31DEC2014Client45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u935140\Desktop\Methodology%20Stuff\Classification\Model%20Validation%20Reports\AllRulesAndMoreTestingVariables_31DEC2014Client45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u935140\Desktop\Methodology%20Stuff\Classification\Model%20Validation%20Reports\Summary%20for%20Presentation1.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u935140\Desktop\Methodology%20Stuff\Classification\Model%20Validation%20Reports\Summary%20for%20Presentation1.xlsx" TargetMode="Externa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chartUserShapes" Target="../drawings/drawing1.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u935140\Desktop\Methodology%20Stuff\Classification\Model%20Validation%20Reports\Summary%20for%20Presentation1.xlsx" TargetMode="Externa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chartUserShapes" Target="../drawings/drawing2.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u935140\Desktop\Methodology%20Stuff\Classification\Model%20Validation%20Reports\Summary%20for%20Presentation1.xlsx" TargetMode="Externa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chartUserShapes" Target="../drawings/drawing3.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u935140\Desktop\Methodology%20Stuff\Classification\Model%20Validation%20Reports\Summary%20for%20Presentation1.xlsx" TargetMode="Externa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chartUserShapes" Target="../drawings/drawing4.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u935140\Desktop\Methodology%20Stuff\Classification\Model%20Validation%20Reports\Summary%20for%20Presentation1.xlsx" TargetMode="Externa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chartUserShapes" Target="../drawings/drawing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Enrollment Distribution</a:t>
            </a:r>
            <a:r>
              <a:rPr lang="en-US" baseline="0"/>
              <a:t> Comparison</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Distribution!$L$16</c:f>
              <c:strCache>
                <c:ptCount val="1"/>
                <c:pt idx="0">
                  <c:v>2013</c:v>
                </c:pt>
              </c:strCache>
            </c:strRef>
          </c:tx>
          <c:spPr>
            <a:gradFill rotWithShape="1">
              <a:gsLst>
                <a:gs pos="0">
                  <a:schemeClr val="accent2">
                    <a:tint val="100000"/>
                    <a:shade val="100000"/>
                    <a:satMod val="130000"/>
                  </a:schemeClr>
                </a:gs>
                <a:gs pos="100000">
                  <a:schemeClr val="accent2">
                    <a:tint val="50000"/>
                    <a:shade val="100000"/>
                    <a:satMod val="350000"/>
                  </a:schemeClr>
                </a:gs>
              </a:gsLst>
              <a:lin ang="16200000" scaled="0"/>
            </a:gradFill>
            <a:ln>
              <a:noFill/>
            </a:ln>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Distribution!$K$17:$K$26</c:f>
              <c:strCache>
                <c:ptCount val="10"/>
                <c:pt idx="0">
                  <c:v>Crisis Management</c:v>
                </c:pt>
                <c:pt idx="1">
                  <c:v>Surveillance</c:v>
                </c:pt>
                <c:pt idx="2">
                  <c:v>Rebalancing</c:v>
                </c:pt>
                <c:pt idx="3">
                  <c:v>Recovery Guidance</c:v>
                </c:pt>
                <c:pt idx="4">
                  <c:v>Monitoring</c:v>
                </c:pt>
                <c:pt idx="5">
                  <c:v>Coordination</c:v>
                </c:pt>
                <c:pt idx="6">
                  <c:v>Treatment Navigation</c:v>
                </c:pt>
                <c:pt idx="7">
                  <c:v>Support</c:v>
                </c:pt>
                <c:pt idx="8">
                  <c:v>Engagement</c:v>
                </c:pt>
                <c:pt idx="9">
                  <c:v>Prevention</c:v>
                </c:pt>
              </c:strCache>
            </c:strRef>
          </c:cat>
          <c:val>
            <c:numRef>
              <c:f>Distribution!$L$17:$L$26</c:f>
              <c:numCache>
                <c:formatCode>0.0%</c:formatCode>
                <c:ptCount val="10"/>
                <c:pt idx="0">
                  <c:v>1.8641810918774966E-3</c:v>
                </c:pt>
                <c:pt idx="1">
                  <c:v>6.4883186054957029E-3</c:v>
                </c:pt>
                <c:pt idx="2">
                  <c:v>1.6414477666142114E-2</c:v>
                </c:pt>
                <c:pt idx="3">
                  <c:v>3.2804745188233868E-3</c:v>
                </c:pt>
                <c:pt idx="4">
                  <c:v>3.0141629342694588E-2</c:v>
                </c:pt>
                <c:pt idx="5">
                  <c:v>1.3884517612879796E-2</c:v>
                </c:pt>
                <c:pt idx="6">
                  <c:v>1.0543517733930518E-2</c:v>
                </c:pt>
                <c:pt idx="7">
                  <c:v>0.13516523423314369</c:v>
                </c:pt>
                <c:pt idx="8">
                  <c:v>0.19042488802808377</c:v>
                </c:pt>
                <c:pt idx="9">
                  <c:v>0.59179276116692892</c:v>
                </c:pt>
              </c:numCache>
            </c:numRef>
          </c:val>
          <c:extLst>
            <c:ext xmlns:c16="http://schemas.microsoft.com/office/drawing/2014/chart" uri="{C3380CC4-5D6E-409C-BE32-E72D297353CC}">
              <c16:uniqueId val="{00000000-4DD5-4396-B9B3-435C17034B59}"/>
            </c:ext>
          </c:extLst>
        </c:ser>
        <c:ser>
          <c:idx val="1"/>
          <c:order val="1"/>
          <c:tx>
            <c:strRef>
              <c:f>Distribution!$M$16</c:f>
              <c:strCache>
                <c:ptCount val="1"/>
                <c:pt idx="0">
                  <c:v>2014</c:v>
                </c:pt>
              </c:strCache>
            </c:strRef>
          </c:tx>
          <c:spPr>
            <a:gradFill rotWithShape="1">
              <a:gsLst>
                <a:gs pos="0">
                  <a:schemeClr val="accent4">
                    <a:tint val="100000"/>
                    <a:shade val="100000"/>
                    <a:satMod val="130000"/>
                  </a:schemeClr>
                </a:gs>
                <a:gs pos="100000">
                  <a:schemeClr val="accent4">
                    <a:tint val="50000"/>
                    <a:shade val="100000"/>
                    <a:satMod val="350000"/>
                  </a:schemeClr>
                </a:gs>
              </a:gsLst>
              <a:lin ang="16200000" scaled="0"/>
            </a:gradFill>
            <a:ln>
              <a:noFill/>
            </a:ln>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Distribution!$K$17:$K$26</c:f>
              <c:strCache>
                <c:ptCount val="10"/>
                <c:pt idx="0">
                  <c:v>Crisis Management</c:v>
                </c:pt>
                <c:pt idx="1">
                  <c:v>Surveillance</c:v>
                </c:pt>
                <c:pt idx="2">
                  <c:v>Rebalancing</c:v>
                </c:pt>
                <c:pt idx="3">
                  <c:v>Recovery Guidance</c:v>
                </c:pt>
                <c:pt idx="4">
                  <c:v>Monitoring</c:v>
                </c:pt>
                <c:pt idx="5">
                  <c:v>Coordination</c:v>
                </c:pt>
                <c:pt idx="6">
                  <c:v>Treatment Navigation</c:v>
                </c:pt>
                <c:pt idx="7">
                  <c:v>Support</c:v>
                </c:pt>
                <c:pt idx="8">
                  <c:v>Engagement</c:v>
                </c:pt>
                <c:pt idx="9">
                  <c:v>Prevention</c:v>
                </c:pt>
              </c:strCache>
            </c:strRef>
          </c:cat>
          <c:val>
            <c:numRef>
              <c:f>Distribution!$M$17:$M$26</c:f>
              <c:numCache>
                <c:formatCode>0.0%</c:formatCode>
                <c:ptCount val="10"/>
                <c:pt idx="0">
                  <c:v>2.2735009483052086E-3</c:v>
                </c:pt>
                <c:pt idx="1">
                  <c:v>5.9329864319408645E-3</c:v>
                </c:pt>
                <c:pt idx="2">
                  <c:v>2.8096581238146186E-2</c:v>
                </c:pt>
                <c:pt idx="3">
                  <c:v>2.9786509750522783E-3</c:v>
                </c:pt>
                <c:pt idx="4">
                  <c:v>3.001750717307786E-2</c:v>
                </c:pt>
                <c:pt idx="5">
                  <c:v>2.3804892282254533E-2</c:v>
                </c:pt>
                <c:pt idx="6">
                  <c:v>1.6230608374264457E-2</c:v>
                </c:pt>
                <c:pt idx="7">
                  <c:v>0.14854350046199485</c:v>
                </c:pt>
                <c:pt idx="8">
                  <c:v>0.18805621747799445</c:v>
                </c:pt>
                <c:pt idx="9">
                  <c:v>0.55406555463696927</c:v>
                </c:pt>
              </c:numCache>
            </c:numRef>
          </c:val>
          <c:extLst>
            <c:ext xmlns:c16="http://schemas.microsoft.com/office/drawing/2014/chart" uri="{C3380CC4-5D6E-409C-BE32-E72D297353CC}">
              <c16:uniqueId val="{00000001-4DD5-4396-B9B3-435C17034B59}"/>
            </c:ext>
          </c:extLst>
        </c:ser>
        <c:ser>
          <c:idx val="2"/>
          <c:order val="2"/>
          <c:tx>
            <c:strRef>
              <c:f>Distribution!$N$16</c:f>
              <c:strCache>
                <c:ptCount val="1"/>
                <c:pt idx="0">
                  <c:v>MScan</c:v>
                </c:pt>
              </c:strCache>
            </c:strRef>
          </c:tx>
          <c:spPr>
            <a:gradFill rotWithShape="1">
              <a:gsLst>
                <a:gs pos="0">
                  <a:schemeClr val="accent6">
                    <a:tint val="100000"/>
                    <a:shade val="100000"/>
                    <a:satMod val="130000"/>
                  </a:schemeClr>
                </a:gs>
                <a:gs pos="100000">
                  <a:schemeClr val="accent6">
                    <a:tint val="50000"/>
                    <a:shade val="100000"/>
                    <a:satMod val="350000"/>
                  </a:schemeClr>
                </a:gs>
              </a:gsLst>
              <a:lin ang="16200000" scaled="0"/>
            </a:gradFill>
            <a:ln>
              <a:noFill/>
            </a:ln>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Distribution!$K$17:$K$26</c:f>
              <c:strCache>
                <c:ptCount val="10"/>
                <c:pt idx="0">
                  <c:v>Crisis Management</c:v>
                </c:pt>
                <c:pt idx="1">
                  <c:v>Surveillance</c:v>
                </c:pt>
                <c:pt idx="2">
                  <c:v>Rebalancing</c:v>
                </c:pt>
                <c:pt idx="3">
                  <c:v>Recovery Guidance</c:v>
                </c:pt>
                <c:pt idx="4">
                  <c:v>Monitoring</c:v>
                </c:pt>
                <c:pt idx="5">
                  <c:v>Coordination</c:v>
                </c:pt>
                <c:pt idx="6">
                  <c:v>Treatment Navigation</c:v>
                </c:pt>
                <c:pt idx="7">
                  <c:v>Support</c:v>
                </c:pt>
                <c:pt idx="8">
                  <c:v>Engagement</c:v>
                </c:pt>
                <c:pt idx="9">
                  <c:v>Prevention</c:v>
                </c:pt>
              </c:strCache>
            </c:strRef>
          </c:cat>
          <c:val>
            <c:numRef>
              <c:f>Distribution!$N$17:$N$26</c:f>
              <c:numCache>
                <c:formatCode>0.0%</c:formatCode>
                <c:ptCount val="10"/>
                <c:pt idx="0">
                  <c:v>1.8766842206767761E-3</c:v>
                </c:pt>
                <c:pt idx="1">
                  <c:v>4.1891448980430632E-3</c:v>
                </c:pt>
                <c:pt idx="2">
                  <c:v>2.024042003159511E-2</c:v>
                </c:pt>
                <c:pt idx="3">
                  <c:v>2.5179658987797204E-3</c:v>
                </c:pt>
                <c:pt idx="4">
                  <c:v>2.1941897877605306E-2</c:v>
                </c:pt>
                <c:pt idx="5">
                  <c:v>2.1758260519496121E-2</c:v>
                </c:pt>
                <c:pt idx="6">
                  <c:v>8.9821589851625232E-3</c:v>
                </c:pt>
                <c:pt idx="7">
                  <c:v>0.14732563935836002</c:v>
                </c:pt>
                <c:pt idx="8">
                  <c:v>0.24267426579307627</c:v>
                </c:pt>
                <c:pt idx="9">
                  <c:v>0.52849356241720513</c:v>
                </c:pt>
              </c:numCache>
            </c:numRef>
          </c:val>
          <c:extLst>
            <c:ext xmlns:c16="http://schemas.microsoft.com/office/drawing/2014/chart" uri="{C3380CC4-5D6E-409C-BE32-E72D297353CC}">
              <c16:uniqueId val="{00000002-4DD5-4396-B9B3-435C17034B59}"/>
            </c:ext>
          </c:extLst>
        </c:ser>
        <c:dLbls>
          <c:showLegendKey val="0"/>
          <c:showVal val="0"/>
          <c:showCatName val="0"/>
          <c:showSerName val="0"/>
          <c:showPercent val="0"/>
          <c:showBubbleSize val="0"/>
        </c:dLbls>
        <c:gapWidth val="100"/>
        <c:axId val="866149744"/>
        <c:axId val="489432496"/>
      </c:barChart>
      <c:catAx>
        <c:axId val="86614974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9432496"/>
        <c:crosses val="autoZero"/>
        <c:auto val="1"/>
        <c:lblAlgn val="ctr"/>
        <c:lblOffset val="100"/>
        <c:noMultiLvlLbl val="0"/>
      </c:catAx>
      <c:valAx>
        <c:axId val="489432496"/>
        <c:scaling>
          <c:orientation val="minMax"/>
        </c:scaling>
        <c:delete val="0"/>
        <c:axPos val="b"/>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6149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dirty="0"/>
              <a:t>Treatment Navigation: Median vs. PMPM</a:t>
            </a:r>
          </a:p>
        </c:rich>
      </c:tx>
      <c:layout>
        <c:manualLayout>
          <c:xMode val="edge"/>
          <c:yMode val="edge"/>
          <c:x val="5.7871500437445308E-2"/>
          <c:y val="1.420959412401581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'Distribution Charts'!$A$26</c:f>
              <c:strCache>
                <c:ptCount val="1"/>
                <c:pt idx="0">
                  <c:v>2013Treatment Navigation</c:v>
                </c:pt>
              </c:strCache>
            </c:strRef>
          </c:tx>
          <c:spPr>
            <a:ln w="28575" cap="rnd">
              <a:solidFill>
                <a:schemeClr val="accent6"/>
              </a:solidFill>
              <a:round/>
            </a:ln>
            <a:effectLst/>
          </c:spPr>
          <c:marker>
            <c:symbol val="none"/>
          </c:marker>
          <c:val>
            <c:numRef>
              <c:f>'Distribution Charts'!$B$26:$Y$26</c:f>
              <c:numCache>
                <c:formatCode>_("$"* #,##0_);_("$"* \(#,##0\);_("$"* "-"??_);_(@_)</c:formatCode>
                <c:ptCount val="24"/>
                <c:pt idx="0">
                  <c:v>395.34906738416782</c:v>
                </c:pt>
                <c:pt idx="1">
                  <c:v>487.75818270606777</c:v>
                </c:pt>
                <c:pt idx="2">
                  <c:v>534.45396954260741</c:v>
                </c:pt>
                <c:pt idx="3">
                  <c:v>478.35835386078452</c:v>
                </c:pt>
                <c:pt idx="4">
                  <c:v>431.38302366479792</c:v>
                </c:pt>
                <c:pt idx="5">
                  <c:v>456.34532725528902</c:v>
                </c:pt>
                <c:pt idx="6">
                  <c:v>493.99358818566077</c:v>
                </c:pt>
                <c:pt idx="7">
                  <c:v>482.44948460418755</c:v>
                </c:pt>
                <c:pt idx="8">
                  <c:v>481.50617116847337</c:v>
                </c:pt>
                <c:pt idx="9">
                  <c:v>508.05012406570597</c:v>
                </c:pt>
                <c:pt idx="10">
                  <c:v>519.2762089514822</c:v>
                </c:pt>
                <c:pt idx="11">
                  <c:v>1323.3287783464846</c:v>
                </c:pt>
                <c:pt idx="12">
                  <c:v>810.71501855722113</c:v>
                </c:pt>
                <c:pt idx="13">
                  <c:v>668.41337596631593</c:v>
                </c:pt>
                <c:pt idx="14">
                  <c:v>852.8434860977045</c:v>
                </c:pt>
                <c:pt idx="15">
                  <c:v>826.97401750662914</c:v>
                </c:pt>
                <c:pt idx="16">
                  <c:v>915.18794108682653</c:v>
                </c:pt>
                <c:pt idx="17">
                  <c:v>630.62110439824528</c:v>
                </c:pt>
                <c:pt idx="18">
                  <c:v>648.4144736133519</c:v>
                </c:pt>
                <c:pt idx="19">
                  <c:v>752.47795857610708</c:v>
                </c:pt>
                <c:pt idx="20">
                  <c:v>697.38454733500862</c:v>
                </c:pt>
                <c:pt idx="21">
                  <c:v>881.03461728155207</c:v>
                </c:pt>
                <c:pt idx="22">
                  <c:v>661.23933227748773</c:v>
                </c:pt>
                <c:pt idx="23">
                  <c:v>908.03262482545131</c:v>
                </c:pt>
              </c:numCache>
            </c:numRef>
          </c:val>
          <c:smooth val="1"/>
          <c:extLst>
            <c:ext xmlns:c16="http://schemas.microsoft.com/office/drawing/2014/chart" uri="{C3380CC4-5D6E-409C-BE32-E72D297353CC}">
              <c16:uniqueId val="{00000000-0F51-460F-B00A-F43A08B2DE62}"/>
            </c:ext>
          </c:extLst>
        </c:ser>
        <c:ser>
          <c:idx val="1"/>
          <c:order val="1"/>
          <c:tx>
            <c:strRef>
              <c:f>'Distribution Charts'!$A$27</c:f>
              <c:strCache>
                <c:ptCount val="1"/>
                <c:pt idx="0">
                  <c:v>2014Treatment Navigation</c:v>
                </c:pt>
              </c:strCache>
            </c:strRef>
          </c:tx>
          <c:spPr>
            <a:ln w="28575" cap="rnd">
              <a:solidFill>
                <a:schemeClr val="accent5"/>
              </a:solidFill>
              <a:round/>
            </a:ln>
            <a:effectLst>
              <a:softEdge rad="0"/>
            </a:effectLst>
          </c:spPr>
          <c:marker>
            <c:symbol val="none"/>
          </c:marker>
          <c:val>
            <c:numRef>
              <c:f>'Distribution Charts'!$B$27:$Y$27</c:f>
              <c:numCache>
                <c:formatCode>_("$"* #,##0_);_("$"* \(#,##0\);_("$"* "-"??_);_(@_)</c:formatCode>
                <c:ptCount val="24"/>
                <c:pt idx="0">
                  <c:v>419.64426310308636</c:v>
                </c:pt>
                <c:pt idx="1">
                  <c:v>461.0417682735029</c:v>
                </c:pt>
                <c:pt idx="2">
                  <c:v>417.30177795997844</c:v>
                </c:pt>
                <c:pt idx="3">
                  <c:v>455.8876922070362</c:v>
                </c:pt>
                <c:pt idx="4">
                  <c:v>447.87007900290183</c:v>
                </c:pt>
                <c:pt idx="5">
                  <c:v>629.64053224730526</c:v>
                </c:pt>
                <c:pt idx="6">
                  <c:v>453.70793823028947</c:v>
                </c:pt>
                <c:pt idx="7">
                  <c:v>450.22484322719833</c:v>
                </c:pt>
                <c:pt idx="8">
                  <c:v>329.90931703860571</c:v>
                </c:pt>
                <c:pt idx="9">
                  <c:v>439.56280505620583</c:v>
                </c:pt>
                <c:pt idx="10">
                  <c:v>379.16244645455038</c:v>
                </c:pt>
                <c:pt idx="11">
                  <c:v>985.68819318508315</c:v>
                </c:pt>
                <c:pt idx="12">
                  <c:v>998.52846156830913</c:v>
                </c:pt>
                <c:pt idx="13">
                  <c:v>748.91653666267644</c:v>
                </c:pt>
                <c:pt idx="14">
                  <c:v>577.27662060652096</c:v>
                </c:pt>
                <c:pt idx="15">
                  <c:v>527.44273846998544</c:v>
                </c:pt>
                <c:pt idx="16">
                  <c:v>659.77149563964213</c:v>
                </c:pt>
                <c:pt idx="17">
                  <c:v>746.404462689924</c:v>
                </c:pt>
                <c:pt idx="18">
                  <c:v>798.23532052610528</c:v>
                </c:pt>
                <c:pt idx="19">
                  <c:v>766.60720003101892</c:v>
                </c:pt>
                <c:pt idx="20">
                  <c:v>690.82166942999061</c:v>
                </c:pt>
                <c:pt idx="21">
                  <c:v>714.04967124318296</c:v>
                </c:pt>
                <c:pt idx="22">
                  <c:v>706.08589573016002</c:v>
                </c:pt>
                <c:pt idx="23">
                  <c:v>806.88744793619912</c:v>
                </c:pt>
              </c:numCache>
            </c:numRef>
          </c:val>
          <c:smooth val="1"/>
          <c:extLst>
            <c:ext xmlns:c16="http://schemas.microsoft.com/office/drawing/2014/chart" uri="{C3380CC4-5D6E-409C-BE32-E72D297353CC}">
              <c16:uniqueId val="{00000001-0F51-460F-B00A-F43A08B2DE62}"/>
            </c:ext>
          </c:extLst>
        </c:ser>
        <c:ser>
          <c:idx val="2"/>
          <c:order val="2"/>
          <c:tx>
            <c:strRef>
              <c:f>'Distribution Charts'!$A$28</c:f>
              <c:strCache>
                <c:ptCount val="1"/>
                <c:pt idx="0">
                  <c:v>MktScan Treatment Nav</c:v>
                </c:pt>
              </c:strCache>
            </c:strRef>
          </c:tx>
          <c:spPr>
            <a:ln w="28575" cap="rnd">
              <a:solidFill>
                <a:schemeClr val="accent4"/>
              </a:solidFill>
              <a:round/>
            </a:ln>
            <a:effectLst/>
          </c:spPr>
          <c:marker>
            <c:symbol val="none"/>
          </c:marker>
          <c:val>
            <c:numRef>
              <c:f>'Distribution Charts'!$B$28:$Y$28</c:f>
              <c:numCache>
                <c:formatCode>_("$"* #,##0_);_("$"* \(#,##0\);_("$"* "-"??_);_(@_)</c:formatCode>
                <c:ptCount val="24"/>
                <c:pt idx="0">
                  <c:v>412.45847682056001</c:v>
                </c:pt>
                <c:pt idx="1">
                  <c:v>395.435696487082</c:v>
                </c:pt>
                <c:pt idx="2">
                  <c:v>435.33709662333803</c:v>
                </c:pt>
                <c:pt idx="3">
                  <c:v>420.787819565777</c:v>
                </c:pt>
                <c:pt idx="4">
                  <c:v>444.50892928260299</c:v>
                </c:pt>
                <c:pt idx="5">
                  <c:v>386.464612676147</c:v>
                </c:pt>
                <c:pt idx="6">
                  <c:v>419.99729401220202</c:v>
                </c:pt>
                <c:pt idx="7">
                  <c:v>414.71452019704202</c:v>
                </c:pt>
                <c:pt idx="8">
                  <c:v>389.84704442140998</c:v>
                </c:pt>
                <c:pt idx="9">
                  <c:v>422.65483103888698</c:v>
                </c:pt>
                <c:pt idx="10">
                  <c:v>415.66918362872701</c:v>
                </c:pt>
                <c:pt idx="11">
                  <c:v>1165.4838032895</c:v>
                </c:pt>
                <c:pt idx="12">
                  <c:v>849.70368724467403</c:v>
                </c:pt>
                <c:pt idx="13">
                  <c:v>709.26110569575599</c:v>
                </c:pt>
                <c:pt idx="14">
                  <c:v>710.291834525838</c:v>
                </c:pt>
                <c:pt idx="15">
                  <c:v>672.79466119892004</c:v>
                </c:pt>
                <c:pt idx="16">
                  <c:v>625.82913686187396</c:v>
                </c:pt>
                <c:pt idx="17">
                  <c:v>629.40647949339404</c:v>
                </c:pt>
                <c:pt idx="18">
                  <c:v>618.41127898551804</c:v>
                </c:pt>
                <c:pt idx="19">
                  <c:v>574.50984738115903</c:v>
                </c:pt>
                <c:pt idx="20">
                  <c:v>596.119632373949</c:v>
                </c:pt>
                <c:pt idx="21">
                  <c:v>627.03128690338701</c:v>
                </c:pt>
                <c:pt idx="22">
                  <c:v>576.08182675912803</c:v>
                </c:pt>
                <c:pt idx="23">
                  <c:v>717.72971716999598</c:v>
                </c:pt>
              </c:numCache>
            </c:numRef>
          </c:val>
          <c:smooth val="1"/>
          <c:extLst>
            <c:ext xmlns:c16="http://schemas.microsoft.com/office/drawing/2014/chart" uri="{C3380CC4-5D6E-409C-BE32-E72D297353CC}">
              <c16:uniqueId val="{00000002-0F51-460F-B00A-F43A08B2DE62}"/>
            </c:ext>
          </c:extLst>
        </c:ser>
        <c:ser>
          <c:idx val="3"/>
          <c:order val="3"/>
          <c:tx>
            <c:strRef>
              <c:f>'Distribution Charts'!$A$29</c:f>
              <c:strCache>
                <c:ptCount val="1"/>
                <c:pt idx="0">
                  <c:v>MktScan Median</c:v>
                </c:pt>
              </c:strCache>
            </c:strRef>
          </c:tx>
          <c:spPr>
            <a:ln w="28575" cap="rnd">
              <a:solidFill>
                <a:schemeClr val="accent6">
                  <a:lumMod val="60000"/>
                </a:schemeClr>
              </a:solidFill>
              <a:round/>
            </a:ln>
            <a:effectLst/>
          </c:spPr>
          <c:marker>
            <c:symbol val="none"/>
          </c:marker>
          <c:dLbls>
            <c:dLbl>
              <c:idx val="0"/>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F51-460F-B00A-F43A08B2DE62}"/>
                </c:ext>
              </c:extLst>
            </c:dLbl>
            <c:dLbl>
              <c:idx val="11"/>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F51-460F-B00A-F43A08B2DE62}"/>
                </c:ext>
              </c:extLst>
            </c:dLbl>
            <c:dLbl>
              <c:idx val="23"/>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0F51-460F-B00A-F43A08B2DE6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'Distribution Charts'!$B$29:$Y$29</c:f>
              <c:numCache>
                <c:formatCode>_("$"* #,##0_);_("$"* \(#,##0\);_("$"* "-"??_);_(@_)</c:formatCode>
                <c:ptCount val="24"/>
                <c:pt idx="0">
                  <c:v>32.764987945500003</c:v>
                </c:pt>
                <c:pt idx="1">
                  <c:v>14.579994202</c:v>
                </c:pt>
                <c:pt idx="2">
                  <c:v>23.7299957275</c:v>
                </c:pt>
                <c:pt idx="3">
                  <c:v>21.999992370499999</c:v>
                </c:pt>
                <c:pt idx="4">
                  <c:v>23.119991302500001</c:v>
                </c:pt>
                <c:pt idx="5">
                  <c:v>15.079994202</c:v>
                </c:pt>
                <c:pt idx="6">
                  <c:v>20.289993286000001</c:v>
                </c:pt>
                <c:pt idx="7">
                  <c:v>20.084991455000001</c:v>
                </c:pt>
                <c:pt idx="8">
                  <c:v>20</c:v>
                </c:pt>
                <c:pt idx="9">
                  <c:v>35.374993324499997</c:v>
                </c:pt>
                <c:pt idx="10">
                  <c:v>37.349975585999999</c:v>
                </c:pt>
                <c:pt idx="11">
                  <c:v>374.51990318150001</c:v>
                </c:pt>
                <c:pt idx="12">
                  <c:v>123.014950755</c:v>
                </c:pt>
                <c:pt idx="13">
                  <c:v>70.259990692499997</c:v>
                </c:pt>
                <c:pt idx="14">
                  <c:v>70.559997558999996</c:v>
                </c:pt>
                <c:pt idx="15">
                  <c:v>64.254978179999995</c:v>
                </c:pt>
                <c:pt idx="16">
                  <c:v>52.119991302000003</c:v>
                </c:pt>
                <c:pt idx="17">
                  <c:v>52.859977721999996</c:v>
                </c:pt>
                <c:pt idx="18">
                  <c:v>50.229988098</c:v>
                </c:pt>
                <c:pt idx="19">
                  <c:v>43.439987182499998</c:v>
                </c:pt>
                <c:pt idx="20">
                  <c:v>48.25</c:v>
                </c:pt>
                <c:pt idx="21">
                  <c:v>63.229980468500003</c:v>
                </c:pt>
                <c:pt idx="22">
                  <c:v>46.324972152999997</c:v>
                </c:pt>
                <c:pt idx="23">
                  <c:v>76.564963225450001</c:v>
                </c:pt>
              </c:numCache>
            </c:numRef>
          </c:val>
          <c:smooth val="1"/>
          <c:extLst>
            <c:ext xmlns:c16="http://schemas.microsoft.com/office/drawing/2014/chart" uri="{C3380CC4-5D6E-409C-BE32-E72D297353CC}">
              <c16:uniqueId val="{00000006-0F51-460F-B00A-F43A08B2DE62}"/>
            </c:ext>
          </c:extLst>
        </c:ser>
        <c:dLbls>
          <c:showLegendKey val="0"/>
          <c:showVal val="0"/>
          <c:showCatName val="0"/>
          <c:showSerName val="0"/>
          <c:showPercent val="0"/>
          <c:showBubbleSize val="0"/>
        </c:dLbls>
        <c:smooth val="0"/>
        <c:axId val="1251762200"/>
        <c:axId val="1251762528"/>
      </c:lineChart>
      <c:catAx>
        <c:axId val="125176220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1762528"/>
        <c:crosses val="autoZero"/>
        <c:auto val="1"/>
        <c:lblAlgn val="ctr"/>
        <c:lblOffset val="100"/>
        <c:noMultiLvlLbl val="0"/>
      </c:catAx>
      <c:valAx>
        <c:axId val="1251762528"/>
        <c:scaling>
          <c:orientation val="minMax"/>
        </c:scaling>
        <c:delete val="0"/>
        <c:axPos val="l"/>
        <c:majorGridlines>
          <c:spPr>
            <a:ln w="9525" cap="flat" cmpd="sng" algn="ctr">
              <a:solidFill>
                <a:schemeClr val="tx1">
                  <a:lumMod val="15000"/>
                  <a:lumOff val="85000"/>
                </a:schemeClr>
              </a:solidFill>
              <a:round/>
            </a:ln>
            <a:effectLst/>
          </c:spPr>
        </c:majorGridlines>
        <c:numFmt formatCode="_(&quot;$&quot;* #,##0_);_(&quot;$&quot;* \(#,##0\);_(&quot;$&quot;*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17622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Support: Median vs. PMPM</a:t>
            </a:r>
            <a:endParaRPr lang="en-US">
              <a:effectLst/>
            </a:endParaRPr>
          </a:p>
        </c:rich>
      </c:tx>
      <c:layout>
        <c:manualLayout>
          <c:xMode val="edge"/>
          <c:yMode val="edge"/>
          <c:x val="5.0642279090113713E-2"/>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'Distribution Charts'!$A$30</c:f>
              <c:strCache>
                <c:ptCount val="1"/>
                <c:pt idx="0">
                  <c:v>2013Support</c:v>
                </c:pt>
              </c:strCache>
            </c:strRef>
          </c:tx>
          <c:spPr>
            <a:ln w="28575" cap="rnd">
              <a:solidFill>
                <a:schemeClr val="accent6"/>
              </a:solidFill>
              <a:round/>
            </a:ln>
            <a:effectLst/>
          </c:spPr>
          <c:marker>
            <c:symbol val="none"/>
          </c:marker>
          <c:val>
            <c:numRef>
              <c:f>'Distribution Charts'!$B$30:$Y$30</c:f>
              <c:numCache>
                <c:formatCode>_("$"* #,##0_);_("$"* \(#,##0\);_("$"* "-"??_);_(@_)</c:formatCode>
                <c:ptCount val="24"/>
                <c:pt idx="0">
                  <c:v>1047.5860478836983</c:v>
                </c:pt>
                <c:pt idx="1">
                  <c:v>918.01309700807576</c:v>
                </c:pt>
                <c:pt idx="2">
                  <c:v>938.93165243267163</c:v>
                </c:pt>
                <c:pt idx="3">
                  <c:v>956.97814710190028</c:v>
                </c:pt>
                <c:pt idx="4">
                  <c:v>932.54377239557618</c:v>
                </c:pt>
                <c:pt idx="5">
                  <c:v>847.90530543755506</c:v>
                </c:pt>
                <c:pt idx="6">
                  <c:v>924.56974264638291</c:v>
                </c:pt>
                <c:pt idx="7">
                  <c:v>886.97642320896898</c:v>
                </c:pt>
                <c:pt idx="8">
                  <c:v>697.70092865118386</c:v>
                </c:pt>
                <c:pt idx="9">
                  <c:v>736.21389771771737</c:v>
                </c:pt>
                <c:pt idx="10">
                  <c:v>689.02335453474871</c:v>
                </c:pt>
                <c:pt idx="11">
                  <c:v>626.31825444717845</c:v>
                </c:pt>
                <c:pt idx="12">
                  <c:v>744.49193042864374</c:v>
                </c:pt>
                <c:pt idx="13">
                  <c:v>692.34829518839183</c:v>
                </c:pt>
                <c:pt idx="14">
                  <c:v>778.51685321642481</c:v>
                </c:pt>
                <c:pt idx="15">
                  <c:v>764.28745803128311</c:v>
                </c:pt>
                <c:pt idx="16">
                  <c:v>859.90810095466918</c:v>
                </c:pt>
                <c:pt idx="17">
                  <c:v>783.84134799747528</c:v>
                </c:pt>
                <c:pt idx="18">
                  <c:v>818.45151130227862</c:v>
                </c:pt>
                <c:pt idx="19">
                  <c:v>859.88684876161597</c:v>
                </c:pt>
                <c:pt idx="20">
                  <c:v>862.57400956710558</c:v>
                </c:pt>
                <c:pt idx="21">
                  <c:v>919.59597922050375</c:v>
                </c:pt>
                <c:pt idx="22">
                  <c:v>827.2619430538241</c:v>
                </c:pt>
                <c:pt idx="23">
                  <c:v>1082.6437351930258</c:v>
                </c:pt>
              </c:numCache>
            </c:numRef>
          </c:val>
          <c:smooth val="1"/>
          <c:extLst>
            <c:ext xmlns:c16="http://schemas.microsoft.com/office/drawing/2014/chart" uri="{C3380CC4-5D6E-409C-BE32-E72D297353CC}">
              <c16:uniqueId val="{00000000-5549-4C77-83D6-649BE1D1C5F4}"/>
            </c:ext>
          </c:extLst>
        </c:ser>
        <c:ser>
          <c:idx val="1"/>
          <c:order val="1"/>
          <c:tx>
            <c:strRef>
              <c:f>'Distribution Charts'!$A$31</c:f>
              <c:strCache>
                <c:ptCount val="1"/>
                <c:pt idx="0">
                  <c:v>2014Support</c:v>
                </c:pt>
              </c:strCache>
            </c:strRef>
          </c:tx>
          <c:spPr>
            <a:ln w="28575" cap="rnd">
              <a:solidFill>
                <a:schemeClr val="accent5"/>
              </a:solidFill>
              <a:round/>
            </a:ln>
            <a:effectLst>
              <a:softEdge rad="0"/>
            </a:effectLst>
          </c:spPr>
          <c:marker>
            <c:symbol val="none"/>
          </c:marker>
          <c:val>
            <c:numRef>
              <c:f>'Distribution Charts'!$B$31:$Y$31</c:f>
              <c:numCache>
                <c:formatCode>_("$"* #,##0_);_("$"* \(#,##0\);_("$"* "-"??_);_(@_)</c:formatCode>
                <c:ptCount val="24"/>
                <c:pt idx="0">
                  <c:v>857.98716032225548</c:v>
                </c:pt>
                <c:pt idx="1">
                  <c:v>839.02494212398597</c:v>
                </c:pt>
                <c:pt idx="2">
                  <c:v>876.44412704527679</c:v>
                </c:pt>
                <c:pt idx="3">
                  <c:v>844.59207148192684</c:v>
                </c:pt>
                <c:pt idx="4">
                  <c:v>885.15915278533475</c:v>
                </c:pt>
                <c:pt idx="5">
                  <c:v>830.36520364646935</c:v>
                </c:pt>
                <c:pt idx="6">
                  <c:v>773.70527279300438</c:v>
                </c:pt>
                <c:pt idx="7">
                  <c:v>766.16032004591818</c:v>
                </c:pt>
                <c:pt idx="8">
                  <c:v>759.25798819509851</c:v>
                </c:pt>
                <c:pt idx="9">
                  <c:v>707.49786115203995</c:v>
                </c:pt>
                <c:pt idx="10">
                  <c:v>664.41249591880478</c:v>
                </c:pt>
                <c:pt idx="11">
                  <c:v>685.17947047292853</c:v>
                </c:pt>
                <c:pt idx="12">
                  <c:v>771.94973368634805</c:v>
                </c:pt>
                <c:pt idx="13">
                  <c:v>671.40536170888049</c:v>
                </c:pt>
                <c:pt idx="14">
                  <c:v>864.28102945514638</c:v>
                </c:pt>
                <c:pt idx="15">
                  <c:v>746.13057653482144</c:v>
                </c:pt>
                <c:pt idx="16">
                  <c:v>746.07953871610164</c:v>
                </c:pt>
                <c:pt idx="17">
                  <c:v>795.81058208367517</c:v>
                </c:pt>
                <c:pt idx="18">
                  <c:v>874.9770990831629</c:v>
                </c:pt>
                <c:pt idx="19">
                  <c:v>810.37834495157153</c:v>
                </c:pt>
                <c:pt idx="20">
                  <c:v>812.55344831332752</c:v>
                </c:pt>
                <c:pt idx="21">
                  <c:v>929.11274935619497</c:v>
                </c:pt>
                <c:pt idx="22">
                  <c:v>850.1609139496677</c:v>
                </c:pt>
                <c:pt idx="23">
                  <c:v>971.87113409972744</c:v>
                </c:pt>
              </c:numCache>
            </c:numRef>
          </c:val>
          <c:smooth val="1"/>
          <c:extLst>
            <c:ext xmlns:c16="http://schemas.microsoft.com/office/drawing/2014/chart" uri="{C3380CC4-5D6E-409C-BE32-E72D297353CC}">
              <c16:uniqueId val="{00000001-5549-4C77-83D6-649BE1D1C5F4}"/>
            </c:ext>
          </c:extLst>
        </c:ser>
        <c:ser>
          <c:idx val="2"/>
          <c:order val="2"/>
          <c:tx>
            <c:strRef>
              <c:f>'Distribution Charts'!$A$32</c:f>
              <c:strCache>
                <c:ptCount val="1"/>
                <c:pt idx="0">
                  <c:v>MktScan Support</c:v>
                </c:pt>
              </c:strCache>
            </c:strRef>
          </c:tx>
          <c:spPr>
            <a:ln w="28575" cap="rnd">
              <a:solidFill>
                <a:schemeClr val="accent4"/>
              </a:solidFill>
              <a:round/>
            </a:ln>
            <a:effectLst/>
          </c:spPr>
          <c:marker>
            <c:symbol val="none"/>
          </c:marker>
          <c:val>
            <c:numRef>
              <c:f>'Distribution Charts'!$B$32:$Y$32</c:f>
              <c:numCache>
                <c:formatCode>_("$"* #,##0_);_("$"* \(#,##0\);_("$"* "-"??_);_(@_)</c:formatCode>
                <c:ptCount val="24"/>
                <c:pt idx="0">
                  <c:v>684.226146905988</c:v>
                </c:pt>
                <c:pt idx="1">
                  <c:v>625.485193661018</c:v>
                </c:pt>
                <c:pt idx="2">
                  <c:v>668.126397892922</c:v>
                </c:pt>
                <c:pt idx="3">
                  <c:v>666.51866444191899</c:v>
                </c:pt>
                <c:pt idx="4">
                  <c:v>658.67235895433305</c:v>
                </c:pt>
                <c:pt idx="5">
                  <c:v>617.48011374989699</c:v>
                </c:pt>
                <c:pt idx="6">
                  <c:v>618.66568055119501</c:v>
                </c:pt>
                <c:pt idx="7">
                  <c:v>601.91116219179196</c:v>
                </c:pt>
                <c:pt idx="8">
                  <c:v>564.58708842070905</c:v>
                </c:pt>
                <c:pt idx="9">
                  <c:v>563.95498031959596</c:v>
                </c:pt>
                <c:pt idx="10">
                  <c:v>498.27703911180299</c:v>
                </c:pt>
                <c:pt idx="11">
                  <c:v>465.60524634326799</c:v>
                </c:pt>
                <c:pt idx="12">
                  <c:v>582.245616966836</c:v>
                </c:pt>
                <c:pt idx="13">
                  <c:v>541.18803709802501</c:v>
                </c:pt>
                <c:pt idx="14">
                  <c:v>613.09010936207596</c:v>
                </c:pt>
                <c:pt idx="15">
                  <c:v>648.47282253600497</c:v>
                </c:pt>
                <c:pt idx="16">
                  <c:v>637.52191317181303</c:v>
                </c:pt>
                <c:pt idx="17">
                  <c:v>647.92811779939404</c:v>
                </c:pt>
                <c:pt idx="18">
                  <c:v>672.61040125391503</c:v>
                </c:pt>
                <c:pt idx="19">
                  <c:v>642.84650267666996</c:v>
                </c:pt>
                <c:pt idx="20">
                  <c:v>672.50676353850304</c:v>
                </c:pt>
                <c:pt idx="21">
                  <c:v>721.743657256853</c:v>
                </c:pt>
                <c:pt idx="22">
                  <c:v>638.79243845053804</c:v>
                </c:pt>
                <c:pt idx="23">
                  <c:v>769.51786635263102</c:v>
                </c:pt>
              </c:numCache>
            </c:numRef>
          </c:val>
          <c:smooth val="1"/>
          <c:extLst>
            <c:ext xmlns:c16="http://schemas.microsoft.com/office/drawing/2014/chart" uri="{C3380CC4-5D6E-409C-BE32-E72D297353CC}">
              <c16:uniqueId val="{00000002-5549-4C77-83D6-649BE1D1C5F4}"/>
            </c:ext>
          </c:extLst>
        </c:ser>
        <c:ser>
          <c:idx val="3"/>
          <c:order val="3"/>
          <c:tx>
            <c:strRef>
              <c:f>'Distribution Charts'!$A$33</c:f>
              <c:strCache>
                <c:ptCount val="1"/>
                <c:pt idx="0">
                  <c:v>MktScan Median</c:v>
                </c:pt>
              </c:strCache>
            </c:strRef>
          </c:tx>
          <c:spPr>
            <a:ln w="28575" cap="rnd">
              <a:solidFill>
                <a:schemeClr val="accent6">
                  <a:lumMod val="60000"/>
                </a:schemeClr>
              </a:solidFill>
              <a:round/>
            </a:ln>
            <a:effectLst/>
          </c:spPr>
          <c:marker>
            <c:symbol val="none"/>
          </c:marker>
          <c:dLbls>
            <c:dLbl>
              <c:idx val="0"/>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549-4C77-83D6-649BE1D1C5F4}"/>
                </c:ext>
              </c:extLst>
            </c:dLbl>
            <c:dLbl>
              <c:idx val="11"/>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5549-4C77-83D6-649BE1D1C5F4}"/>
                </c:ext>
              </c:extLst>
            </c:dLbl>
            <c:dLbl>
              <c:idx val="23"/>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5549-4C77-83D6-649BE1D1C5F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'Distribution Charts'!$B$33:$Y$33</c:f>
              <c:numCache>
                <c:formatCode>_("$"* #,##0_);_("$"* \(#,##0\);_("$"* "-"??_);_(@_)</c:formatCode>
                <c:ptCount val="24"/>
                <c:pt idx="0">
                  <c:v>99.809982300000001</c:v>
                </c:pt>
                <c:pt idx="1">
                  <c:v>81.559997558999996</c:v>
                </c:pt>
                <c:pt idx="2">
                  <c:v>94.704965591000004</c:v>
                </c:pt>
                <c:pt idx="3">
                  <c:v>97.75</c:v>
                </c:pt>
                <c:pt idx="4">
                  <c:v>94.469947815099999</c:v>
                </c:pt>
                <c:pt idx="5">
                  <c:v>78</c:v>
                </c:pt>
                <c:pt idx="6">
                  <c:v>88.109991610500003</c:v>
                </c:pt>
                <c:pt idx="7">
                  <c:v>90.579990386999995</c:v>
                </c:pt>
                <c:pt idx="8">
                  <c:v>82.639953613000003</c:v>
                </c:pt>
                <c:pt idx="9">
                  <c:v>95</c:v>
                </c:pt>
                <c:pt idx="10">
                  <c:v>72.379981040800004</c:v>
                </c:pt>
                <c:pt idx="11">
                  <c:v>71.564972877450003</c:v>
                </c:pt>
                <c:pt idx="12">
                  <c:v>70.719970703000001</c:v>
                </c:pt>
                <c:pt idx="13">
                  <c:v>54.009963988999999</c:v>
                </c:pt>
                <c:pt idx="14">
                  <c:v>73.239990234000004</c:v>
                </c:pt>
                <c:pt idx="15">
                  <c:v>74.594970703000001</c:v>
                </c:pt>
                <c:pt idx="16">
                  <c:v>68.584980010750002</c:v>
                </c:pt>
                <c:pt idx="17">
                  <c:v>66.319992064999994</c:v>
                </c:pt>
                <c:pt idx="18">
                  <c:v>68.679992675999998</c:v>
                </c:pt>
                <c:pt idx="19">
                  <c:v>65</c:v>
                </c:pt>
                <c:pt idx="20">
                  <c:v>72.679992675999998</c:v>
                </c:pt>
                <c:pt idx="21">
                  <c:v>87.159992218100001</c:v>
                </c:pt>
                <c:pt idx="22">
                  <c:v>60.499973296999997</c:v>
                </c:pt>
                <c:pt idx="23">
                  <c:v>84.379959106000001</c:v>
                </c:pt>
              </c:numCache>
            </c:numRef>
          </c:val>
          <c:smooth val="1"/>
          <c:extLst>
            <c:ext xmlns:c16="http://schemas.microsoft.com/office/drawing/2014/chart" uri="{C3380CC4-5D6E-409C-BE32-E72D297353CC}">
              <c16:uniqueId val="{00000006-5549-4C77-83D6-649BE1D1C5F4}"/>
            </c:ext>
          </c:extLst>
        </c:ser>
        <c:dLbls>
          <c:showLegendKey val="0"/>
          <c:showVal val="0"/>
          <c:showCatName val="0"/>
          <c:showSerName val="0"/>
          <c:showPercent val="0"/>
          <c:showBubbleSize val="0"/>
        </c:dLbls>
        <c:smooth val="0"/>
        <c:axId val="1251762200"/>
        <c:axId val="1251762528"/>
      </c:lineChart>
      <c:catAx>
        <c:axId val="125176220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1762528"/>
        <c:crosses val="autoZero"/>
        <c:auto val="1"/>
        <c:lblAlgn val="ctr"/>
        <c:lblOffset val="100"/>
        <c:noMultiLvlLbl val="0"/>
      </c:catAx>
      <c:valAx>
        <c:axId val="1251762528"/>
        <c:scaling>
          <c:orientation val="minMax"/>
        </c:scaling>
        <c:delete val="0"/>
        <c:axPos val="l"/>
        <c:majorGridlines>
          <c:spPr>
            <a:ln w="9525" cap="flat" cmpd="sng" algn="ctr">
              <a:solidFill>
                <a:schemeClr val="tx1">
                  <a:lumMod val="15000"/>
                  <a:lumOff val="85000"/>
                </a:schemeClr>
              </a:solidFill>
              <a:round/>
            </a:ln>
            <a:effectLst/>
          </c:spPr>
        </c:majorGridlines>
        <c:numFmt formatCode="_(&quot;$&quot;* #,##0_);_(&quot;$&quot;* \(#,##0\);_(&quot;$&quot;*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17622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Prevention</a:t>
            </a:r>
            <a:r>
              <a:rPr lang="en-US" baseline="0"/>
              <a:t> </a:t>
            </a:r>
            <a:r>
              <a:rPr lang="en-US"/>
              <a:t>PMPM</a:t>
            </a:r>
          </a:p>
        </c:rich>
      </c:tx>
      <c:layout>
        <c:manualLayout>
          <c:xMode val="edge"/>
          <c:yMode val="edge"/>
          <c:x val="5.9156167979002638E-2"/>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'Distribution Charts'!$A$38</c:f>
              <c:strCache>
                <c:ptCount val="1"/>
                <c:pt idx="0">
                  <c:v>2013Prevention</c:v>
                </c:pt>
              </c:strCache>
            </c:strRef>
          </c:tx>
          <c:spPr>
            <a:ln w="28575" cap="rnd">
              <a:solidFill>
                <a:schemeClr val="accent6"/>
              </a:solidFill>
              <a:round/>
            </a:ln>
            <a:effectLst/>
          </c:spPr>
          <c:marker>
            <c:symbol val="none"/>
          </c:marker>
          <c:val>
            <c:numRef>
              <c:f>'Distribution Charts'!$B$38:$Y$38</c:f>
              <c:numCache>
                <c:formatCode>_("$"* #,##0_);_("$"* \(#,##0\);_("$"* "-"??_);_(@_)</c:formatCode>
                <c:ptCount val="24"/>
                <c:pt idx="0">
                  <c:v>262.12818429307788</c:v>
                </c:pt>
                <c:pt idx="1">
                  <c:v>239.13611017051875</c:v>
                </c:pt>
                <c:pt idx="2">
                  <c:v>245.8982953851326</c:v>
                </c:pt>
                <c:pt idx="3">
                  <c:v>267.76594910030701</c:v>
                </c:pt>
                <c:pt idx="4">
                  <c:v>273.86030373825554</c:v>
                </c:pt>
                <c:pt idx="5">
                  <c:v>257.09539285874035</c:v>
                </c:pt>
                <c:pt idx="6">
                  <c:v>261.09981213560917</c:v>
                </c:pt>
                <c:pt idx="7">
                  <c:v>271.06575838254383</c:v>
                </c:pt>
                <c:pt idx="8">
                  <c:v>263.5960987857282</c:v>
                </c:pt>
                <c:pt idx="9">
                  <c:v>295.02964663414997</c:v>
                </c:pt>
                <c:pt idx="10">
                  <c:v>257.98009989549035</c:v>
                </c:pt>
                <c:pt idx="11">
                  <c:v>248.11885293423353</c:v>
                </c:pt>
                <c:pt idx="12">
                  <c:v>279.90824089565518</c:v>
                </c:pt>
                <c:pt idx="13">
                  <c:v>267.63137816999426</c:v>
                </c:pt>
                <c:pt idx="14">
                  <c:v>292.35647531632077</c:v>
                </c:pt>
                <c:pt idx="15">
                  <c:v>319.58461567597777</c:v>
                </c:pt>
                <c:pt idx="16">
                  <c:v>319.26290754491987</c:v>
                </c:pt>
                <c:pt idx="17">
                  <c:v>313.15787322332625</c:v>
                </c:pt>
                <c:pt idx="18">
                  <c:v>332.35725142012609</c:v>
                </c:pt>
                <c:pt idx="19">
                  <c:v>334.26601868664085</c:v>
                </c:pt>
                <c:pt idx="20">
                  <c:v>328.94786743779201</c:v>
                </c:pt>
                <c:pt idx="21">
                  <c:v>359.22881299706472</c:v>
                </c:pt>
                <c:pt idx="22">
                  <c:v>342.97417054631973</c:v>
                </c:pt>
                <c:pt idx="23">
                  <c:v>389.80514830333601</c:v>
                </c:pt>
              </c:numCache>
            </c:numRef>
          </c:val>
          <c:smooth val="1"/>
          <c:extLst>
            <c:ext xmlns:c16="http://schemas.microsoft.com/office/drawing/2014/chart" uri="{C3380CC4-5D6E-409C-BE32-E72D297353CC}">
              <c16:uniqueId val="{00000000-C3C4-40ED-B7FC-A73A1A8904BE}"/>
            </c:ext>
          </c:extLst>
        </c:ser>
        <c:ser>
          <c:idx val="1"/>
          <c:order val="1"/>
          <c:tx>
            <c:strRef>
              <c:f>'Distribution Charts'!$A$39</c:f>
              <c:strCache>
                <c:ptCount val="1"/>
                <c:pt idx="0">
                  <c:v>2014Prevention</c:v>
                </c:pt>
              </c:strCache>
            </c:strRef>
          </c:tx>
          <c:spPr>
            <a:ln w="28575" cap="rnd">
              <a:solidFill>
                <a:schemeClr val="accent5"/>
              </a:solidFill>
              <a:round/>
            </a:ln>
            <a:effectLst>
              <a:softEdge rad="0"/>
            </a:effectLst>
          </c:spPr>
          <c:marker>
            <c:symbol val="none"/>
          </c:marker>
          <c:val>
            <c:numRef>
              <c:f>'Distribution Charts'!$B$39:$Y$39</c:f>
              <c:numCache>
                <c:formatCode>_("$"* #,##0_);_("$"* \(#,##0\);_("$"* "-"??_);_(@_)</c:formatCode>
                <c:ptCount val="24"/>
                <c:pt idx="0">
                  <c:v>249.86335671013273</c:v>
                </c:pt>
                <c:pt idx="1">
                  <c:v>227.38051136945606</c:v>
                </c:pt>
                <c:pt idx="2">
                  <c:v>255.55933666332879</c:v>
                </c:pt>
                <c:pt idx="3">
                  <c:v>263.33728169810547</c:v>
                </c:pt>
                <c:pt idx="4">
                  <c:v>262.36603492345387</c:v>
                </c:pt>
                <c:pt idx="5">
                  <c:v>246.19988342693924</c:v>
                </c:pt>
                <c:pt idx="6">
                  <c:v>262.11850726672685</c:v>
                </c:pt>
                <c:pt idx="7">
                  <c:v>238.18067410826092</c:v>
                </c:pt>
                <c:pt idx="8">
                  <c:v>240.45771497319518</c:v>
                </c:pt>
                <c:pt idx="9">
                  <c:v>261.15515617576159</c:v>
                </c:pt>
                <c:pt idx="10">
                  <c:v>226.86465756945029</c:v>
                </c:pt>
                <c:pt idx="11">
                  <c:v>235.63529739586724</c:v>
                </c:pt>
                <c:pt idx="12">
                  <c:v>280.40766475772477</c:v>
                </c:pt>
                <c:pt idx="13">
                  <c:v>256.99834568383631</c:v>
                </c:pt>
                <c:pt idx="14">
                  <c:v>305.38512843594287</c:v>
                </c:pt>
                <c:pt idx="15">
                  <c:v>309.04097147826161</c:v>
                </c:pt>
                <c:pt idx="16">
                  <c:v>327.8377003956744</c:v>
                </c:pt>
                <c:pt idx="17">
                  <c:v>333.57647924214251</c:v>
                </c:pt>
                <c:pt idx="18">
                  <c:v>347.40661344364116</c:v>
                </c:pt>
                <c:pt idx="19">
                  <c:v>330.83457783320966</c:v>
                </c:pt>
                <c:pt idx="20">
                  <c:v>332.32304593858441</c:v>
                </c:pt>
                <c:pt idx="21">
                  <c:v>363.67175152850439</c:v>
                </c:pt>
                <c:pt idx="22">
                  <c:v>345.73324432482497</c:v>
                </c:pt>
                <c:pt idx="23">
                  <c:v>407.01450011392768</c:v>
                </c:pt>
              </c:numCache>
            </c:numRef>
          </c:val>
          <c:smooth val="1"/>
          <c:extLst>
            <c:ext xmlns:c16="http://schemas.microsoft.com/office/drawing/2014/chart" uri="{C3380CC4-5D6E-409C-BE32-E72D297353CC}">
              <c16:uniqueId val="{00000001-C3C4-40ED-B7FC-A73A1A8904BE}"/>
            </c:ext>
          </c:extLst>
        </c:ser>
        <c:ser>
          <c:idx val="2"/>
          <c:order val="2"/>
          <c:tx>
            <c:strRef>
              <c:f>'Distribution Charts'!$A$40</c:f>
              <c:strCache>
                <c:ptCount val="1"/>
                <c:pt idx="0">
                  <c:v>MktScan Prevention</c:v>
                </c:pt>
              </c:strCache>
            </c:strRef>
          </c:tx>
          <c:spPr>
            <a:ln w="28575" cap="rnd">
              <a:solidFill>
                <a:schemeClr val="accent4"/>
              </a:solidFill>
              <a:round/>
            </a:ln>
            <a:effectLst/>
          </c:spPr>
          <c:marker>
            <c:symbol val="none"/>
          </c:marker>
          <c:val>
            <c:numRef>
              <c:f>'Distribution Charts'!$B$40:$Y$40</c:f>
              <c:numCache>
                <c:formatCode>_("$"* #,##0_);_("$"* \(#,##0\);_("$"* "-"??_);_(@_)</c:formatCode>
                <c:ptCount val="24"/>
                <c:pt idx="0">
                  <c:v>233.55418470023699</c:v>
                </c:pt>
                <c:pt idx="1">
                  <c:v>211.19203557460099</c:v>
                </c:pt>
                <c:pt idx="2">
                  <c:v>227.01490739145501</c:v>
                </c:pt>
                <c:pt idx="3">
                  <c:v>231.07289225816999</c:v>
                </c:pt>
                <c:pt idx="4">
                  <c:v>233.97428417843</c:v>
                </c:pt>
                <c:pt idx="5">
                  <c:v>220.16934112368</c:v>
                </c:pt>
                <c:pt idx="6">
                  <c:v>237.499237468383</c:v>
                </c:pt>
                <c:pt idx="7">
                  <c:v>239.00529846461899</c:v>
                </c:pt>
                <c:pt idx="8">
                  <c:v>224.61902331940399</c:v>
                </c:pt>
                <c:pt idx="9">
                  <c:v>250.08485180883901</c:v>
                </c:pt>
                <c:pt idx="10">
                  <c:v>229.51446189857501</c:v>
                </c:pt>
                <c:pt idx="11">
                  <c:v>209.00332850038899</c:v>
                </c:pt>
                <c:pt idx="12">
                  <c:v>260.53940557532201</c:v>
                </c:pt>
                <c:pt idx="13">
                  <c:v>249.914923586204</c:v>
                </c:pt>
                <c:pt idx="14">
                  <c:v>274.00590295971102</c:v>
                </c:pt>
                <c:pt idx="15">
                  <c:v>285.21581534035101</c:v>
                </c:pt>
                <c:pt idx="16">
                  <c:v>287.00718533416699</c:v>
                </c:pt>
                <c:pt idx="17">
                  <c:v>291.94382656536999</c:v>
                </c:pt>
                <c:pt idx="18">
                  <c:v>301.40959513603002</c:v>
                </c:pt>
                <c:pt idx="19">
                  <c:v>292.76287193616702</c:v>
                </c:pt>
                <c:pt idx="20">
                  <c:v>301.99990847070097</c:v>
                </c:pt>
                <c:pt idx="21">
                  <c:v>324.26425105831203</c:v>
                </c:pt>
                <c:pt idx="22">
                  <c:v>293.01458189016603</c:v>
                </c:pt>
                <c:pt idx="23">
                  <c:v>342.70962214588701</c:v>
                </c:pt>
              </c:numCache>
            </c:numRef>
          </c:val>
          <c:smooth val="1"/>
          <c:extLst>
            <c:ext xmlns:c16="http://schemas.microsoft.com/office/drawing/2014/chart" uri="{C3380CC4-5D6E-409C-BE32-E72D297353CC}">
              <c16:uniqueId val="{00000002-C3C4-40ED-B7FC-A73A1A8904BE}"/>
            </c:ext>
          </c:extLst>
        </c:ser>
        <c:dLbls>
          <c:showLegendKey val="0"/>
          <c:showVal val="0"/>
          <c:showCatName val="0"/>
          <c:showSerName val="0"/>
          <c:showPercent val="0"/>
          <c:showBubbleSize val="0"/>
        </c:dLbls>
        <c:smooth val="0"/>
        <c:axId val="1251762200"/>
        <c:axId val="1251762528"/>
      </c:lineChart>
      <c:catAx>
        <c:axId val="125176220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1762528"/>
        <c:crosses val="autoZero"/>
        <c:auto val="1"/>
        <c:lblAlgn val="ctr"/>
        <c:lblOffset val="100"/>
        <c:noMultiLvlLbl val="0"/>
      </c:catAx>
      <c:valAx>
        <c:axId val="1251762528"/>
        <c:scaling>
          <c:orientation val="minMax"/>
          <c:max val="700"/>
          <c:min val="0"/>
        </c:scaling>
        <c:delete val="0"/>
        <c:axPos val="l"/>
        <c:majorGridlines>
          <c:spPr>
            <a:ln w="9525" cap="flat" cmpd="sng" algn="ctr">
              <a:solidFill>
                <a:schemeClr val="tx1">
                  <a:lumMod val="15000"/>
                  <a:lumOff val="85000"/>
                </a:schemeClr>
              </a:solidFill>
              <a:round/>
            </a:ln>
            <a:effectLst/>
          </c:spPr>
        </c:majorGridlines>
        <c:numFmt formatCode="_(&quot;$&quot;* #,##0_);_(&quot;$&quot;* \(#,##0\);_(&quot;$&quot;*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17622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dirty="0"/>
              <a:t>Engagement:  Median vs.</a:t>
            </a:r>
            <a:r>
              <a:rPr lang="en-US" baseline="0" dirty="0"/>
              <a:t> </a:t>
            </a:r>
            <a:r>
              <a:rPr lang="en-US" dirty="0"/>
              <a:t>PMPM</a:t>
            </a:r>
          </a:p>
        </c:rich>
      </c:tx>
      <c:layout>
        <c:manualLayout>
          <c:xMode val="edge"/>
          <c:yMode val="edge"/>
          <c:x val="0.68289227909011374"/>
          <c:y val="1.420959412401581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'Distribution Charts'!$A$34</c:f>
              <c:strCache>
                <c:ptCount val="1"/>
                <c:pt idx="0">
                  <c:v>2013Engagement</c:v>
                </c:pt>
              </c:strCache>
            </c:strRef>
          </c:tx>
          <c:spPr>
            <a:ln w="28575" cap="rnd">
              <a:solidFill>
                <a:schemeClr val="accent6"/>
              </a:solidFill>
              <a:round/>
            </a:ln>
            <a:effectLst/>
          </c:spPr>
          <c:marker>
            <c:symbol val="none"/>
          </c:marker>
          <c:val>
            <c:numRef>
              <c:f>'Distribution Charts'!$B$34:$Y$34</c:f>
              <c:numCache>
                <c:formatCode>_("$"* #,##0_);_("$"* \(#,##0\);_("$"* "-"??_);_(@_)</c:formatCode>
                <c:ptCount val="24"/>
                <c:pt idx="0">
                  <c:v>55.354739442216058</c:v>
                </c:pt>
                <c:pt idx="1">
                  <c:v>35.029372410819342</c:v>
                </c:pt>
                <c:pt idx="2">
                  <c:v>42.592905052028833</c:v>
                </c:pt>
                <c:pt idx="3">
                  <c:v>35.739661978363067</c:v>
                </c:pt>
                <c:pt idx="4">
                  <c:v>38.00819795315121</c:v>
                </c:pt>
                <c:pt idx="5">
                  <c:v>32.910574420086789</c:v>
                </c:pt>
                <c:pt idx="6">
                  <c:v>33.472709583216648</c:v>
                </c:pt>
                <c:pt idx="7">
                  <c:v>37.710079071077985</c:v>
                </c:pt>
                <c:pt idx="8">
                  <c:v>30.815341758730867</c:v>
                </c:pt>
                <c:pt idx="9">
                  <c:v>35.0463919252906</c:v>
                </c:pt>
                <c:pt idx="10">
                  <c:v>27.537187419963765</c:v>
                </c:pt>
                <c:pt idx="11">
                  <c:v>32.002973927378825</c:v>
                </c:pt>
                <c:pt idx="12">
                  <c:v>80.488795592854331</c:v>
                </c:pt>
                <c:pt idx="13">
                  <c:v>114.1883824397157</c:v>
                </c:pt>
                <c:pt idx="14">
                  <c:v>127.63335080586789</c:v>
                </c:pt>
                <c:pt idx="15">
                  <c:v>134.43645505257734</c:v>
                </c:pt>
                <c:pt idx="16">
                  <c:v>142.24835182883248</c:v>
                </c:pt>
                <c:pt idx="17">
                  <c:v>184.71761099534467</c:v>
                </c:pt>
                <c:pt idx="18">
                  <c:v>181.16037516493151</c:v>
                </c:pt>
                <c:pt idx="19">
                  <c:v>148.08429054229046</c:v>
                </c:pt>
                <c:pt idx="20">
                  <c:v>170.50606811780682</c:v>
                </c:pt>
                <c:pt idx="21">
                  <c:v>182.79892052069505</c:v>
                </c:pt>
                <c:pt idx="22">
                  <c:v>174.14127224689301</c:v>
                </c:pt>
                <c:pt idx="23">
                  <c:v>185.80399530745257</c:v>
                </c:pt>
              </c:numCache>
            </c:numRef>
          </c:val>
          <c:smooth val="1"/>
          <c:extLst>
            <c:ext xmlns:c16="http://schemas.microsoft.com/office/drawing/2014/chart" uri="{C3380CC4-5D6E-409C-BE32-E72D297353CC}">
              <c16:uniqueId val="{00000000-5333-4E4D-A521-2BC23E38F854}"/>
            </c:ext>
          </c:extLst>
        </c:ser>
        <c:ser>
          <c:idx val="1"/>
          <c:order val="1"/>
          <c:tx>
            <c:strRef>
              <c:f>'Distribution Charts'!$A$35</c:f>
              <c:strCache>
                <c:ptCount val="1"/>
                <c:pt idx="0">
                  <c:v>2014Engagement</c:v>
                </c:pt>
              </c:strCache>
            </c:strRef>
          </c:tx>
          <c:spPr>
            <a:ln w="28575" cap="rnd">
              <a:solidFill>
                <a:schemeClr val="accent5"/>
              </a:solidFill>
              <a:round/>
            </a:ln>
            <a:effectLst>
              <a:softEdge rad="0"/>
            </a:effectLst>
          </c:spPr>
          <c:marker>
            <c:symbol val="none"/>
          </c:marker>
          <c:val>
            <c:numRef>
              <c:f>'Distribution Charts'!$B$35:$Y$35</c:f>
              <c:numCache>
                <c:formatCode>_("$"* #,##0_);_("$"* \(#,##0\);_("$"* "-"??_);_(@_)</c:formatCode>
                <c:ptCount val="24"/>
                <c:pt idx="0">
                  <c:v>58.879093137253413</c:v>
                </c:pt>
                <c:pt idx="1">
                  <c:v>47.102618819970566</c:v>
                </c:pt>
                <c:pt idx="2">
                  <c:v>37.438021048833605</c:v>
                </c:pt>
                <c:pt idx="3">
                  <c:v>34.345015714461056</c:v>
                </c:pt>
                <c:pt idx="4">
                  <c:v>41.162298690869505</c:v>
                </c:pt>
                <c:pt idx="5">
                  <c:v>32.119250008569516</c:v>
                </c:pt>
                <c:pt idx="6">
                  <c:v>42.969596702634206</c:v>
                </c:pt>
                <c:pt idx="7">
                  <c:v>36.345332777470482</c:v>
                </c:pt>
                <c:pt idx="8">
                  <c:v>28.604248982551752</c:v>
                </c:pt>
                <c:pt idx="9">
                  <c:v>42.587562280262027</c:v>
                </c:pt>
                <c:pt idx="10">
                  <c:v>29.430590707677805</c:v>
                </c:pt>
                <c:pt idx="11">
                  <c:v>30.845718219132415</c:v>
                </c:pt>
                <c:pt idx="12">
                  <c:v>76.304796115945294</c:v>
                </c:pt>
                <c:pt idx="13">
                  <c:v>88.809350322411774</c:v>
                </c:pt>
                <c:pt idx="14">
                  <c:v>101.90980110464152</c:v>
                </c:pt>
                <c:pt idx="15">
                  <c:v>122.65961603085873</c:v>
                </c:pt>
                <c:pt idx="16">
                  <c:v>167.31096976245689</c:v>
                </c:pt>
                <c:pt idx="17">
                  <c:v>137.40235050534858</c:v>
                </c:pt>
                <c:pt idx="18">
                  <c:v>164.88402989830209</c:v>
                </c:pt>
                <c:pt idx="19">
                  <c:v>162.81014551601433</c:v>
                </c:pt>
                <c:pt idx="20">
                  <c:v>193.28214744087913</c:v>
                </c:pt>
                <c:pt idx="21">
                  <c:v>185.69719684462842</c:v>
                </c:pt>
                <c:pt idx="22">
                  <c:v>168.53776245521846</c:v>
                </c:pt>
                <c:pt idx="23">
                  <c:v>161.05210090804528</c:v>
                </c:pt>
              </c:numCache>
            </c:numRef>
          </c:val>
          <c:smooth val="1"/>
          <c:extLst>
            <c:ext xmlns:c16="http://schemas.microsoft.com/office/drawing/2014/chart" uri="{C3380CC4-5D6E-409C-BE32-E72D297353CC}">
              <c16:uniqueId val="{00000001-5333-4E4D-A521-2BC23E38F854}"/>
            </c:ext>
          </c:extLst>
        </c:ser>
        <c:ser>
          <c:idx val="2"/>
          <c:order val="2"/>
          <c:tx>
            <c:strRef>
              <c:f>'Distribution Charts'!$A$36</c:f>
              <c:strCache>
                <c:ptCount val="1"/>
                <c:pt idx="0">
                  <c:v>MktScan Engagement</c:v>
                </c:pt>
              </c:strCache>
            </c:strRef>
          </c:tx>
          <c:spPr>
            <a:ln w="28575" cap="rnd">
              <a:solidFill>
                <a:schemeClr val="accent4"/>
              </a:solidFill>
              <a:round/>
            </a:ln>
            <a:effectLst/>
          </c:spPr>
          <c:marker>
            <c:symbol val="none"/>
          </c:marker>
          <c:val>
            <c:numRef>
              <c:f>'Distribution Charts'!$B$36:$Y$36</c:f>
              <c:numCache>
                <c:formatCode>_("$"* #,##0_);_("$"* \(#,##0\);_("$"* "-"??_);_(@_)</c:formatCode>
                <c:ptCount val="24"/>
                <c:pt idx="0">
                  <c:v>33.886230638155901</c:v>
                </c:pt>
                <c:pt idx="1">
                  <c:v>25.828311440116799</c:v>
                </c:pt>
                <c:pt idx="2">
                  <c:v>26.411682852127999</c:v>
                </c:pt>
                <c:pt idx="3">
                  <c:v>26.2474988377793</c:v>
                </c:pt>
                <c:pt idx="4">
                  <c:v>26.2915426124266</c:v>
                </c:pt>
                <c:pt idx="5">
                  <c:v>25.1677760442936</c:v>
                </c:pt>
                <c:pt idx="6">
                  <c:v>25.483161634227201</c:v>
                </c:pt>
                <c:pt idx="7">
                  <c:v>24.939678820770499</c:v>
                </c:pt>
                <c:pt idx="8">
                  <c:v>23.1142495275874</c:v>
                </c:pt>
                <c:pt idx="9">
                  <c:v>22.5128510956221</c:v>
                </c:pt>
                <c:pt idx="10">
                  <c:v>22.8147613357823</c:v>
                </c:pt>
                <c:pt idx="11">
                  <c:v>24.9137597205887</c:v>
                </c:pt>
                <c:pt idx="12">
                  <c:v>95.562693807667898</c:v>
                </c:pt>
                <c:pt idx="13">
                  <c:v>105.546746260611</c:v>
                </c:pt>
                <c:pt idx="14">
                  <c:v>131.720316660062</c:v>
                </c:pt>
                <c:pt idx="15">
                  <c:v>139.301755252992</c:v>
                </c:pt>
                <c:pt idx="16">
                  <c:v>141.23490659289899</c:v>
                </c:pt>
                <c:pt idx="17">
                  <c:v>138.765572939685</c:v>
                </c:pt>
                <c:pt idx="18">
                  <c:v>156.15013654583299</c:v>
                </c:pt>
                <c:pt idx="19">
                  <c:v>153.075298738963</c:v>
                </c:pt>
                <c:pt idx="20">
                  <c:v>163.35892567183899</c:v>
                </c:pt>
                <c:pt idx="21">
                  <c:v>176.381390391683</c:v>
                </c:pt>
                <c:pt idx="22">
                  <c:v>150.23105682449801</c:v>
                </c:pt>
                <c:pt idx="23">
                  <c:v>172.65405332400101</c:v>
                </c:pt>
              </c:numCache>
            </c:numRef>
          </c:val>
          <c:smooth val="1"/>
          <c:extLst>
            <c:ext xmlns:c16="http://schemas.microsoft.com/office/drawing/2014/chart" uri="{C3380CC4-5D6E-409C-BE32-E72D297353CC}">
              <c16:uniqueId val="{00000002-5333-4E4D-A521-2BC23E38F854}"/>
            </c:ext>
          </c:extLst>
        </c:ser>
        <c:dLbls>
          <c:showLegendKey val="0"/>
          <c:showVal val="0"/>
          <c:showCatName val="0"/>
          <c:showSerName val="0"/>
          <c:showPercent val="0"/>
          <c:showBubbleSize val="0"/>
        </c:dLbls>
        <c:smooth val="0"/>
        <c:axId val="1251762200"/>
        <c:axId val="1251762528"/>
      </c:lineChart>
      <c:catAx>
        <c:axId val="125176220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1762528"/>
        <c:crosses val="autoZero"/>
        <c:auto val="1"/>
        <c:lblAlgn val="ctr"/>
        <c:lblOffset val="100"/>
        <c:noMultiLvlLbl val="0"/>
      </c:catAx>
      <c:valAx>
        <c:axId val="1251762528"/>
        <c:scaling>
          <c:orientation val="minMax"/>
        </c:scaling>
        <c:delete val="0"/>
        <c:axPos val="l"/>
        <c:majorGridlines>
          <c:spPr>
            <a:ln w="9525" cap="flat" cmpd="sng" algn="ctr">
              <a:solidFill>
                <a:schemeClr val="tx1">
                  <a:lumMod val="15000"/>
                  <a:lumOff val="85000"/>
                </a:schemeClr>
              </a:solidFill>
              <a:round/>
            </a:ln>
            <a:effectLst/>
          </c:spPr>
        </c:majorGridlines>
        <c:numFmt formatCode="_(&quot;$&quot;* #,##0_);_(&quot;$&quot;* \(#,##0\);_(&quot;$&quot;*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17622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1/2013 - 12/2014</a:t>
            </a:r>
            <a:r>
              <a:rPr lang="en-US" baseline="0"/>
              <a:t> MarketScan10%</a:t>
            </a:r>
            <a:r>
              <a:rPr lang="en-US"/>
              <a:t> PMPM Med/Rx</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0368429907799989"/>
          <c:y val="0.11278174037089872"/>
          <c:w val="0.87281142741772666"/>
          <c:h val="0.61533894211868312"/>
        </c:manualLayout>
      </c:layout>
      <c:lineChart>
        <c:grouping val="standard"/>
        <c:varyColors val="0"/>
        <c:ser>
          <c:idx val="0"/>
          <c:order val="0"/>
          <c:tx>
            <c:strRef>
              <c:f>PMPM!$A$30</c:f>
              <c:strCache>
                <c:ptCount val="1"/>
                <c:pt idx="0">
                  <c:v>Crisis Management</c:v>
                </c:pt>
              </c:strCache>
            </c:strRef>
          </c:tx>
          <c:spPr>
            <a:ln w="12700" cap="rnd">
              <a:solidFill>
                <a:schemeClr val="accent6"/>
              </a:solidFill>
              <a:round/>
            </a:ln>
            <a:effectLst>
              <a:outerShdw blurRad="57150" dist="19050" dir="5400000" algn="ctr" rotWithShape="0">
                <a:srgbClr val="000000">
                  <a:alpha val="63000"/>
                </a:srgbClr>
              </a:outerShdw>
            </a:effectLst>
          </c:spPr>
          <c:marker>
            <c:symbol val="none"/>
          </c:marker>
          <c:cat>
            <c:numRef>
              <c:f>PMPM!$B$29:$Y$29</c:f>
              <c:numCache>
                <c:formatCode>mmm\-yy</c:formatCode>
                <c:ptCount val="24"/>
                <c:pt idx="0">
                  <c:v>41275</c:v>
                </c:pt>
                <c:pt idx="1">
                  <c:v>41306</c:v>
                </c:pt>
                <c:pt idx="2">
                  <c:v>41334</c:v>
                </c:pt>
                <c:pt idx="3">
                  <c:v>41365</c:v>
                </c:pt>
                <c:pt idx="4">
                  <c:v>41395</c:v>
                </c:pt>
                <c:pt idx="5">
                  <c:v>41426</c:v>
                </c:pt>
                <c:pt idx="6">
                  <c:v>41456</c:v>
                </c:pt>
                <c:pt idx="7">
                  <c:v>41487</c:v>
                </c:pt>
                <c:pt idx="8">
                  <c:v>41518</c:v>
                </c:pt>
                <c:pt idx="9">
                  <c:v>41548</c:v>
                </c:pt>
                <c:pt idx="10">
                  <c:v>41579</c:v>
                </c:pt>
                <c:pt idx="11">
                  <c:v>41609</c:v>
                </c:pt>
                <c:pt idx="12">
                  <c:v>41640</c:v>
                </c:pt>
                <c:pt idx="13">
                  <c:v>41671</c:v>
                </c:pt>
                <c:pt idx="14">
                  <c:v>41699</c:v>
                </c:pt>
                <c:pt idx="15">
                  <c:v>41730</c:v>
                </c:pt>
                <c:pt idx="16">
                  <c:v>41760</c:v>
                </c:pt>
                <c:pt idx="17">
                  <c:v>41791</c:v>
                </c:pt>
                <c:pt idx="18">
                  <c:v>41821</c:v>
                </c:pt>
                <c:pt idx="19">
                  <c:v>41852</c:v>
                </c:pt>
                <c:pt idx="20">
                  <c:v>41883</c:v>
                </c:pt>
                <c:pt idx="21">
                  <c:v>41913</c:v>
                </c:pt>
                <c:pt idx="22">
                  <c:v>41944</c:v>
                </c:pt>
                <c:pt idx="23">
                  <c:v>41974</c:v>
                </c:pt>
              </c:numCache>
            </c:numRef>
          </c:cat>
          <c:val>
            <c:numRef>
              <c:f>PMPM!$B$30:$Y$30</c:f>
              <c:numCache>
                <c:formatCode>_("$"* #,##0_);_("$"* \(#,##0\);_("$"* "-"??_);_(@_)</c:formatCode>
                <c:ptCount val="24"/>
                <c:pt idx="0">
                  <c:v>3869.4201787519</c:v>
                </c:pt>
                <c:pt idx="1">
                  <c:v>3775.7639967007199</c:v>
                </c:pt>
                <c:pt idx="2">
                  <c:v>4072.0690480305002</c:v>
                </c:pt>
                <c:pt idx="3">
                  <c:v>4560.9049828381503</c:v>
                </c:pt>
                <c:pt idx="4">
                  <c:v>5324.4341305486996</c:v>
                </c:pt>
                <c:pt idx="5">
                  <c:v>5093.3466408291297</c:v>
                </c:pt>
                <c:pt idx="6">
                  <c:v>6211.1059853135603</c:v>
                </c:pt>
                <c:pt idx="7">
                  <c:v>7011.7565768096902</c:v>
                </c:pt>
                <c:pt idx="8">
                  <c:v>8440.9434057782601</c:v>
                </c:pt>
                <c:pt idx="9">
                  <c:v>20170.902241644799</c:v>
                </c:pt>
                <c:pt idx="10">
                  <c:v>19633.535724441401</c:v>
                </c:pt>
                <c:pt idx="11">
                  <c:v>22228.7335192563</c:v>
                </c:pt>
                <c:pt idx="12">
                  <c:v>8863.7226465657695</c:v>
                </c:pt>
                <c:pt idx="13">
                  <c:v>6660.3692571039301</c:v>
                </c:pt>
                <c:pt idx="14">
                  <c:v>6640.0922239357096</c:v>
                </c:pt>
                <c:pt idx="15">
                  <c:v>6330.2194795985997</c:v>
                </c:pt>
                <c:pt idx="16">
                  <c:v>6099.5044936528802</c:v>
                </c:pt>
                <c:pt idx="17">
                  <c:v>5371.3876595029897</c:v>
                </c:pt>
                <c:pt idx="18">
                  <c:v>5448.6365320551804</c:v>
                </c:pt>
                <c:pt idx="19">
                  <c:v>5261.9021124434703</c:v>
                </c:pt>
                <c:pt idx="20">
                  <c:v>4889.91800682964</c:v>
                </c:pt>
                <c:pt idx="21">
                  <c:v>5142.6175723938004</c:v>
                </c:pt>
                <c:pt idx="22">
                  <c:v>4151.5393124564398</c:v>
                </c:pt>
                <c:pt idx="23">
                  <c:v>4487.1206089423004</c:v>
                </c:pt>
              </c:numCache>
            </c:numRef>
          </c:val>
          <c:smooth val="1"/>
          <c:extLst>
            <c:ext xmlns:c16="http://schemas.microsoft.com/office/drawing/2014/chart" uri="{C3380CC4-5D6E-409C-BE32-E72D297353CC}">
              <c16:uniqueId val="{00000000-BA24-4878-8EE7-12B73A493960}"/>
            </c:ext>
          </c:extLst>
        </c:ser>
        <c:ser>
          <c:idx val="1"/>
          <c:order val="1"/>
          <c:tx>
            <c:strRef>
              <c:f>PMPM!$A$31</c:f>
              <c:strCache>
                <c:ptCount val="1"/>
                <c:pt idx="0">
                  <c:v>Surveillance</c:v>
                </c:pt>
              </c:strCache>
            </c:strRef>
          </c:tx>
          <c:spPr>
            <a:ln w="12700" cap="rnd">
              <a:solidFill>
                <a:schemeClr val="accent5"/>
              </a:solidFill>
              <a:round/>
            </a:ln>
            <a:effectLst>
              <a:outerShdw blurRad="57150" dist="19050" dir="5400000" algn="ctr" rotWithShape="0">
                <a:srgbClr val="000000">
                  <a:alpha val="63000"/>
                </a:srgbClr>
              </a:outerShdw>
            </a:effectLst>
          </c:spPr>
          <c:marker>
            <c:symbol val="none"/>
          </c:marker>
          <c:cat>
            <c:numRef>
              <c:f>PMPM!$B$29:$Y$29</c:f>
              <c:numCache>
                <c:formatCode>mmm\-yy</c:formatCode>
                <c:ptCount val="24"/>
                <c:pt idx="0">
                  <c:v>41275</c:v>
                </c:pt>
                <c:pt idx="1">
                  <c:v>41306</c:v>
                </c:pt>
                <c:pt idx="2">
                  <c:v>41334</c:v>
                </c:pt>
                <c:pt idx="3">
                  <c:v>41365</c:v>
                </c:pt>
                <c:pt idx="4">
                  <c:v>41395</c:v>
                </c:pt>
                <c:pt idx="5">
                  <c:v>41426</c:v>
                </c:pt>
                <c:pt idx="6">
                  <c:v>41456</c:v>
                </c:pt>
                <c:pt idx="7">
                  <c:v>41487</c:v>
                </c:pt>
                <c:pt idx="8">
                  <c:v>41518</c:v>
                </c:pt>
                <c:pt idx="9">
                  <c:v>41548</c:v>
                </c:pt>
                <c:pt idx="10">
                  <c:v>41579</c:v>
                </c:pt>
                <c:pt idx="11">
                  <c:v>41609</c:v>
                </c:pt>
                <c:pt idx="12">
                  <c:v>41640</c:v>
                </c:pt>
                <c:pt idx="13">
                  <c:v>41671</c:v>
                </c:pt>
                <c:pt idx="14">
                  <c:v>41699</c:v>
                </c:pt>
                <c:pt idx="15">
                  <c:v>41730</c:v>
                </c:pt>
                <c:pt idx="16">
                  <c:v>41760</c:v>
                </c:pt>
                <c:pt idx="17">
                  <c:v>41791</c:v>
                </c:pt>
                <c:pt idx="18">
                  <c:v>41821</c:v>
                </c:pt>
                <c:pt idx="19">
                  <c:v>41852</c:v>
                </c:pt>
                <c:pt idx="20">
                  <c:v>41883</c:v>
                </c:pt>
                <c:pt idx="21">
                  <c:v>41913</c:v>
                </c:pt>
                <c:pt idx="22">
                  <c:v>41944</c:v>
                </c:pt>
                <c:pt idx="23">
                  <c:v>41974</c:v>
                </c:pt>
              </c:numCache>
            </c:numRef>
          </c:cat>
          <c:val>
            <c:numRef>
              <c:f>PMPM!$B$31:$Y$31</c:f>
              <c:numCache>
                <c:formatCode>_("$"* #,##0_);_("$"* \(#,##0\);_("$"* "-"??_);_(@_)</c:formatCode>
                <c:ptCount val="24"/>
                <c:pt idx="0">
                  <c:v>4071.8241023473101</c:v>
                </c:pt>
                <c:pt idx="1">
                  <c:v>4047.32056964506</c:v>
                </c:pt>
                <c:pt idx="2">
                  <c:v>4490.2908673728098</c:v>
                </c:pt>
                <c:pt idx="3">
                  <c:v>4811.8747305172001</c:v>
                </c:pt>
                <c:pt idx="4">
                  <c:v>5301.1612038048697</c:v>
                </c:pt>
                <c:pt idx="5">
                  <c:v>5124.5835499926097</c:v>
                </c:pt>
                <c:pt idx="6">
                  <c:v>5995.3762974829797</c:v>
                </c:pt>
                <c:pt idx="7">
                  <c:v>6484.8184465050999</c:v>
                </c:pt>
                <c:pt idx="8">
                  <c:v>6894.1193562835697</c:v>
                </c:pt>
                <c:pt idx="9">
                  <c:v>8456.2647026529703</c:v>
                </c:pt>
                <c:pt idx="10">
                  <c:v>7765.91929037715</c:v>
                </c:pt>
                <c:pt idx="11">
                  <c:v>7894.4505826732802</c:v>
                </c:pt>
                <c:pt idx="12">
                  <c:v>7272.1091130925997</c:v>
                </c:pt>
                <c:pt idx="13">
                  <c:v>6473.8021290337401</c:v>
                </c:pt>
                <c:pt idx="14">
                  <c:v>6142.6868918056898</c:v>
                </c:pt>
                <c:pt idx="15">
                  <c:v>5628.7354374562201</c:v>
                </c:pt>
                <c:pt idx="16">
                  <c:v>5503.9804379073403</c:v>
                </c:pt>
                <c:pt idx="17">
                  <c:v>5208.21171719825</c:v>
                </c:pt>
                <c:pt idx="18">
                  <c:v>5432.8465371024604</c:v>
                </c:pt>
                <c:pt idx="19">
                  <c:v>4789.5295022895498</c:v>
                </c:pt>
                <c:pt idx="20">
                  <c:v>4724.8713194550201</c:v>
                </c:pt>
                <c:pt idx="21">
                  <c:v>4861.2043056822204</c:v>
                </c:pt>
                <c:pt idx="22">
                  <c:v>4286.0109906233001</c:v>
                </c:pt>
                <c:pt idx="23">
                  <c:v>4802.8247760573604</c:v>
                </c:pt>
              </c:numCache>
            </c:numRef>
          </c:val>
          <c:smooth val="1"/>
          <c:extLst>
            <c:ext xmlns:c16="http://schemas.microsoft.com/office/drawing/2014/chart" uri="{C3380CC4-5D6E-409C-BE32-E72D297353CC}">
              <c16:uniqueId val="{00000001-BA24-4878-8EE7-12B73A493960}"/>
            </c:ext>
          </c:extLst>
        </c:ser>
        <c:ser>
          <c:idx val="2"/>
          <c:order val="2"/>
          <c:tx>
            <c:strRef>
              <c:f>PMPM!$A$32</c:f>
              <c:strCache>
                <c:ptCount val="1"/>
                <c:pt idx="0">
                  <c:v>Rebalancing</c:v>
                </c:pt>
              </c:strCache>
            </c:strRef>
          </c:tx>
          <c:spPr>
            <a:ln w="12700" cap="rnd">
              <a:solidFill>
                <a:schemeClr val="accent4"/>
              </a:solidFill>
              <a:round/>
            </a:ln>
            <a:effectLst>
              <a:outerShdw blurRad="57150" dist="19050" dir="5400000" algn="ctr" rotWithShape="0">
                <a:srgbClr val="000000">
                  <a:alpha val="63000"/>
                </a:srgbClr>
              </a:outerShdw>
            </a:effectLst>
          </c:spPr>
          <c:marker>
            <c:symbol val="none"/>
          </c:marker>
          <c:cat>
            <c:numRef>
              <c:f>PMPM!$B$29:$Y$29</c:f>
              <c:numCache>
                <c:formatCode>mmm\-yy</c:formatCode>
                <c:ptCount val="24"/>
                <c:pt idx="0">
                  <c:v>41275</c:v>
                </c:pt>
                <c:pt idx="1">
                  <c:v>41306</c:v>
                </c:pt>
                <c:pt idx="2">
                  <c:v>41334</c:v>
                </c:pt>
                <c:pt idx="3">
                  <c:v>41365</c:v>
                </c:pt>
                <c:pt idx="4">
                  <c:v>41395</c:v>
                </c:pt>
                <c:pt idx="5">
                  <c:v>41426</c:v>
                </c:pt>
                <c:pt idx="6">
                  <c:v>41456</c:v>
                </c:pt>
                <c:pt idx="7">
                  <c:v>41487</c:v>
                </c:pt>
                <c:pt idx="8">
                  <c:v>41518</c:v>
                </c:pt>
                <c:pt idx="9">
                  <c:v>41548</c:v>
                </c:pt>
                <c:pt idx="10">
                  <c:v>41579</c:v>
                </c:pt>
                <c:pt idx="11">
                  <c:v>41609</c:v>
                </c:pt>
                <c:pt idx="12">
                  <c:v>41640</c:v>
                </c:pt>
                <c:pt idx="13">
                  <c:v>41671</c:v>
                </c:pt>
                <c:pt idx="14">
                  <c:v>41699</c:v>
                </c:pt>
                <c:pt idx="15">
                  <c:v>41730</c:v>
                </c:pt>
                <c:pt idx="16">
                  <c:v>41760</c:v>
                </c:pt>
                <c:pt idx="17">
                  <c:v>41791</c:v>
                </c:pt>
                <c:pt idx="18">
                  <c:v>41821</c:v>
                </c:pt>
                <c:pt idx="19">
                  <c:v>41852</c:v>
                </c:pt>
                <c:pt idx="20">
                  <c:v>41883</c:v>
                </c:pt>
                <c:pt idx="21">
                  <c:v>41913</c:v>
                </c:pt>
                <c:pt idx="22">
                  <c:v>41944</c:v>
                </c:pt>
                <c:pt idx="23">
                  <c:v>41974</c:v>
                </c:pt>
              </c:numCache>
            </c:numRef>
          </c:cat>
          <c:val>
            <c:numRef>
              <c:f>PMPM!$B$32:$Y$32</c:f>
              <c:numCache>
                <c:formatCode>_("$"* #,##0_);_("$"* \(#,##0\);_("$"* "-"??_);_(@_)</c:formatCode>
                <c:ptCount val="24"/>
                <c:pt idx="0">
                  <c:v>762.63779245217995</c:v>
                </c:pt>
                <c:pt idx="1">
                  <c:v>648.87789183721804</c:v>
                </c:pt>
                <c:pt idx="2">
                  <c:v>698.60021201715904</c:v>
                </c:pt>
                <c:pt idx="3">
                  <c:v>724.61583586677705</c:v>
                </c:pt>
                <c:pt idx="4">
                  <c:v>735.551094974428</c:v>
                </c:pt>
                <c:pt idx="5">
                  <c:v>692.27037207341198</c:v>
                </c:pt>
                <c:pt idx="6">
                  <c:v>891.54705515158105</c:v>
                </c:pt>
                <c:pt idx="7">
                  <c:v>1006.0139234691</c:v>
                </c:pt>
                <c:pt idx="8">
                  <c:v>1196.37772499722</c:v>
                </c:pt>
                <c:pt idx="9">
                  <c:v>1936.9938855405501</c:v>
                </c:pt>
                <c:pt idx="10">
                  <c:v>1796.04715757144</c:v>
                </c:pt>
                <c:pt idx="11">
                  <c:v>1958.8438847740599</c:v>
                </c:pt>
                <c:pt idx="12">
                  <c:v>1252.6723181289699</c:v>
                </c:pt>
                <c:pt idx="13">
                  <c:v>1018.33562859419</c:v>
                </c:pt>
                <c:pt idx="14">
                  <c:v>1072.6138759693799</c:v>
                </c:pt>
                <c:pt idx="15">
                  <c:v>1008.78749886477</c:v>
                </c:pt>
                <c:pt idx="16">
                  <c:v>1006.32028075946</c:v>
                </c:pt>
                <c:pt idx="17">
                  <c:v>936.78172527943298</c:v>
                </c:pt>
                <c:pt idx="18">
                  <c:v>929.39420161305998</c:v>
                </c:pt>
                <c:pt idx="19">
                  <c:v>907.00495197429598</c:v>
                </c:pt>
                <c:pt idx="20">
                  <c:v>911.5433591835</c:v>
                </c:pt>
                <c:pt idx="21">
                  <c:v>978.20509494992496</c:v>
                </c:pt>
                <c:pt idx="22">
                  <c:v>875.21698158815195</c:v>
                </c:pt>
                <c:pt idx="23">
                  <c:v>992.29936752363994</c:v>
                </c:pt>
              </c:numCache>
            </c:numRef>
          </c:val>
          <c:smooth val="1"/>
          <c:extLst>
            <c:ext xmlns:c16="http://schemas.microsoft.com/office/drawing/2014/chart" uri="{C3380CC4-5D6E-409C-BE32-E72D297353CC}">
              <c16:uniqueId val="{00000002-BA24-4878-8EE7-12B73A493960}"/>
            </c:ext>
          </c:extLst>
        </c:ser>
        <c:ser>
          <c:idx val="3"/>
          <c:order val="3"/>
          <c:tx>
            <c:strRef>
              <c:f>PMPM!$A$33</c:f>
              <c:strCache>
                <c:ptCount val="1"/>
                <c:pt idx="0">
                  <c:v>Recovery Guidance</c:v>
                </c:pt>
              </c:strCache>
            </c:strRef>
          </c:tx>
          <c:spPr>
            <a:ln w="12700" cap="rnd">
              <a:solidFill>
                <a:schemeClr val="accent6">
                  <a:lumMod val="60000"/>
                </a:schemeClr>
              </a:solidFill>
              <a:round/>
            </a:ln>
            <a:effectLst>
              <a:outerShdw blurRad="57150" dist="19050" dir="5400000" algn="ctr" rotWithShape="0">
                <a:srgbClr val="000000">
                  <a:alpha val="63000"/>
                </a:srgbClr>
              </a:outerShdw>
            </a:effectLst>
          </c:spPr>
          <c:marker>
            <c:symbol val="none"/>
          </c:marker>
          <c:cat>
            <c:numRef>
              <c:f>PMPM!$B$29:$Y$29</c:f>
              <c:numCache>
                <c:formatCode>mmm\-yy</c:formatCode>
                <c:ptCount val="24"/>
                <c:pt idx="0">
                  <c:v>41275</c:v>
                </c:pt>
                <c:pt idx="1">
                  <c:v>41306</c:v>
                </c:pt>
                <c:pt idx="2">
                  <c:v>41334</c:v>
                </c:pt>
                <c:pt idx="3">
                  <c:v>41365</c:v>
                </c:pt>
                <c:pt idx="4">
                  <c:v>41395</c:v>
                </c:pt>
                <c:pt idx="5">
                  <c:v>41426</c:v>
                </c:pt>
                <c:pt idx="6">
                  <c:v>41456</c:v>
                </c:pt>
                <c:pt idx="7">
                  <c:v>41487</c:v>
                </c:pt>
                <c:pt idx="8">
                  <c:v>41518</c:v>
                </c:pt>
                <c:pt idx="9">
                  <c:v>41548</c:v>
                </c:pt>
                <c:pt idx="10">
                  <c:v>41579</c:v>
                </c:pt>
                <c:pt idx="11">
                  <c:v>41609</c:v>
                </c:pt>
                <c:pt idx="12">
                  <c:v>41640</c:v>
                </c:pt>
                <c:pt idx="13">
                  <c:v>41671</c:v>
                </c:pt>
                <c:pt idx="14">
                  <c:v>41699</c:v>
                </c:pt>
                <c:pt idx="15">
                  <c:v>41730</c:v>
                </c:pt>
                <c:pt idx="16">
                  <c:v>41760</c:v>
                </c:pt>
                <c:pt idx="17">
                  <c:v>41791</c:v>
                </c:pt>
                <c:pt idx="18">
                  <c:v>41821</c:v>
                </c:pt>
                <c:pt idx="19">
                  <c:v>41852</c:v>
                </c:pt>
                <c:pt idx="20">
                  <c:v>41883</c:v>
                </c:pt>
                <c:pt idx="21">
                  <c:v>41913</c:v>
                </c:pt>
                <c:pt idx="22">
                  <c:v>41944</c:v>
                </c:pt>
                <c:pt idx="23">
                  <c:v>41974</c:v>
                </c:pt>
              </c:numCache>
            </c:numRef>
          </c:cat>
          <c:val>
            <c:numRef>
              <c:f>PMPM!$B$33:$Y$33</c:f>
              <c:numCache>
                <c:formatCode>_("$"* #,##0_);_("$"* \(#,##0\);_("$"* "-"??_);_(@_)</c:formatCode>
                <c:ptCount val="24"/>
                <c:pt idx="0">
                  <c:v>1147.1459060330999</c:v>
                </c:pt>
                <c:pt idx="1">
                  <c:v>1258.5667924639899</c:v>
                </c:pt>
                <c:pt idx="2">
                  <c:v>1266.19223210072</c:v>
                </c:pt>
                <c:pt idx="3">
                  <c:v>1464.8675570624</c:v>
                </c:pt>
                <c:pt idx="4">
                  <c:v>1323.5824340797501</c:v>
                </c:pt>
                <c:pt idx="5">
                  <c:v>1326.1096664302599</c:v>
                </c:pt>
                <c:pt idx="6">
                  <c:v>1421.76859019483</c:v>
                </c:pt>
                <c:pt idx="7">
                  <c:v>1352.2866572267401</c:v>
                </c:pt>
                <c:pt idx="8">
                  <c:v>1535.4111487347</c:v>
                </c:pt>
                <c:pt idx="9">
                  <c:v>1808.17167131678</c:v>
                </c:pt>
                <c:pt idx="10">
                  <c:v>3976.7327785119101</c:v>
                </c:pt>
                <c:pt idx="11">
                  <c:v>18336.071869696199</c:v>
                </c:pt>
                <c:pt idx="12">
                  <c:v>1912.33722386213</c:v>
                </c:pt>
                <c:pt idx="13">
                  <c:v>1403.1074801106299</c:v>
                </c:pt>
                <c:pt idx="14">
                  <c:v>1445.4635476866099</c:v>
                </c:pt>
                <c:pt idx="15">
                  <c:v>1203.2251494386201</c:v>
                </c:pt>
                <c:pt idx="16">
                  <c:v>1158.8922963207799</c:v>
                </c:pt>
                <c:pt idx="17">
                  <c:v>1225.4607445849299</c:v>
                </c:pt>
                <c:pt idx="18">
                  <c:v>1173.92011029079</c:v>
                </c:pt>
                <c:pt idx="19">
                  <c:v>1214.0129262176799</c:v>
                </c:pt>
                <c:pt idx="20">
                  <c:v>1071.9347911739401</c:v>
                </c:pt>
                <c:pt idx="21">
                  <c:v>1186.0301258857701</c:v>
                </c:pt>
                <c:pt idx="22">
                  <c:v>1127.4430645211601</c:v>
                </c:pt>
                <c:pt idx="23">
                  <c:v>1294.47735601932</c:v>
                </c:pt>
              </c:numCache>
            </c:numRef>
          </c:val>
          <c:smooth val="1"/>
          <c:extLst>
            <c:ext xmlns:c16="http://schemas.microsoft.com/office/drawing/2014/chart" uri="{C3380CC4-5D6E-409C-BE32-E72D297353CC}">
              <c16:uniqueId val="{00000003-BA24-4878-8EE7-12B73A493960}"/>
            </c:ext>
          </c:extLst>
        </c:ser>
        <c:ser>
          <c:idx val="4"/>
          <c:order val="4"/>
          <c:tx>
            <c:strRef>
              <c:f>PMPM!$A$34</c:f>
              <c:strCache>
                <c:ptCount val="1"/>
                <c:pt idx="0">
                  <c:v>Monitoring</c:v>
                </c:pt>
              </c:strCache>
            </c:strRef>
          </c:tx>
          <c:spPr>
            <a:ln w="12700" cap="rnd">
              <a:solidFill>
                <a:schemeClr val="accent5">
                  <a:lumMod val="60000"/>
                </a:schemeClr>
              </a:solidFill>
              <a:round/>
            </a:ln>
            <a:effectLst>
              <a:outerShdw blurRad="57150" dist="19050" dir="5400000" algn="ctr" rotWithShape="0">
                <a:srgbClr val="000000">
                  <a:alpha val="63000"/>
                </a:srgbClr>
              </a:outerShdw>
            </a:effectLst>
          </c:spPr>
          <c:marker>
            <c:symbol val="none"/>
          </c:marker>
          <c:cat>
            <c:numRef>
              <c:f>PMPM!$B$29:$Y$29</c:f>
              <c:numCache>
                <c:formatCode>mmm\-yy</c:formatCode>
                <c:ptCount val="24"/>
                <c:pt idx="0">
                  <c:v>41275</c:v>
                </c:pt>
                <c:pt idx="1">
                  <c:v>41306</c:v>
                </c:pt>
                <c:pt idx="2">
                  <c:v>41334</c:v>
                </c:pt>
                <c:pt idx="3">
                  <c:v>41365</c:v>
                </c:pt>
                <c:pt idx="4">
                  <c:v>41395</c:v>
                </c:pt>
                <c:pt idx="5">
                  <c:v>41426</c:v>
                </c:pt>
                <c:pt idx="6">
                  <c:v>41456</c:v>
                </c:pt>
                <c:pt idx="7">
                  <c:v>41487</c:v>
                </c:pt>
                <c:pt idx="8">
                  <c:v>41518</c:v>
                </c:pt>
                <c:pt idx="9">
                  <c:v>41548</c:v>
                </c:pt>
                <c:pt idx="10">
                  <c:v>41579</c:v>
                </c:pt>
                <c:pt idx="11">
                  <c:v>41609</c:v>
                </c:pt>
                <c:pt idx="12">
                  <c:v>41640</c:v>
                </c:pt>
                <c:pt idx="13">
                  <c:v>41671</c:v>
                </c:pt>
                <c:pt idx="14">
                  <c:v>41699</c:v>
                </c:pt>
                <c:pt idx="15">
                  <c:v>41730</c:v>
                </c:pt>
                <c:pt idx="16">
                  <c:v>41760</c:v>
                </c:pt>
                <c:pt idx="17">
                  <c:v>41791</c:v>
                </c:pt>
                <c:pt idx="18">
                  <c:v>41821</c:v>
                </c:pt>
                <c:pt idx="19">
                  <c:v>41852</c:v>
                </c:pt>
                <c:pt idx="20">
                  <c:v>41883</c:v>
                </c:pt>
                <c:pt idx="21">
                  <c:v>41913</c:v>
                </c:pt>
                <c:pt idx="22">
                  <c:v>41944</c:v>
                </c:pt>
                <c:pt idx="23">
                  <c:v>41974</c:v>
                </c:pt>
              </c:numCache>
            </c:numRef>
          </c:cat>
          <c:val>
            <c:numRef>
              <c:f>PMPM!$B$34:$Y$34</c:f>
              <c:numCache>
                <c:formatCode>_("$"* #,##0_);_("$"* \(#,##0\);_("$"* "-"??_);_(@_)</c:formatCode>
                <c:ptCount val="24"/>
                <c:pt idx="0">
                  <c:v>1597.5767216336601</c:v>
                </c:pt>
                <c:pt idx="1">
                  <c:v>1531.62546445354</c:v>
                </c:pt>
                <c:pt idx="2">
                  <c:v>1682.3540853090601</c:v>
                </c:pt>
                <c:pt idx="3">
                  <c:v>1808.3206314786901</c:v>
                </c:pt>
                <c:pt idx="4">
                  <c:v>1947.91564296557</c:v>
                </c:pt>
                <c:pt idx="5">
                  <c:v>1961.1012317345601</c:v>
                </c:pt>
                <c:pt idx="6">
                  <c:v>2458.5660502250998</c:v>
                </c:pt>
                <c:pt idx="7">
                  <c:v>2395.8102474984298</c:v>
                </c:pt>
                <c:pt idx="8">
                  <c:v>2223.3164273058101</c:v>
                </c:pt>
                <c:pt idx="9">
                  <c:v>1648.7280817087899</c:v>
                </c:pt>
                <c:pt idx="10">
                  <c:v>1406.47869500569</c:v>
                </c:pt>
                <c:pt idx="11">
                  <c:v>1431.6056231596799</c:v>
                </c:pt>
                <c:pt idx="12">
                  <c:v>1628.96541122961</c:v>
                </c:pt>
                <c:pt idx="13">
                  <c:v>1492.23352684774</c:v>
                </c:pt>
                <c:pt idx="14">
                  <c:v>1687.37782912486</c:v>
                </c:pt>
                <c:pt idx="15">
                  <c:v>1650.8886154454599</c:v>
                </c:pt>
                <c:pt idx="16">
                  <c:v>1626.1548843870501</c:v>
                </c:pt>
                <c:pt idx="17">
                  <c:v>1619.8058035966601</c:v>
                </c:pt>
                <c:pt idx="18">
                  <c:v>1697.38462052159</c:v>
                </c:pt>
                <c:pt idx="19">
                  <c:v>1704.548369314</c:v>
                </c:pt>
                <c:pt idx="20">
                  <c:v>1638.06693879554</c:v>
                </c:pt>
                <c:pt idx="21">
                  <c:v>1799.56142949948</c:v>
                </c:pt>
                <c:pt idx="22">
                  <c:v>1509.35988109304</c:v>
                </c:pt>
                <c:pt idx="23">
                  <c:v>1755.70732724562</c:v>
                </c:pt>
              </c:numCache>
            </c:numRef>
          </c:val>
          <c:smooth val="1"/>
          <c:extLst>
            <c:ext xmlns:c16="http://schemas.microsoft.com/office/drawing/2014/chart" uri="{C3380CC4-5D6E-409C-BE32-E72D297353CC}">
              <c16:uniqueId val="{00000004-BA24-4878-8EE7-12B73A493960}"/>
            </c:ext>
          </c:extLst>
        </c:ser>
        <c:ser>
          <c:idx val="5"/>
          <c:order val="5"/>
          <c:tx>
            <c:strRef>
              <c:f>PMPM!$A$35</c:f>
              <c:strCache>
                <c:ptCount val="1"/>
                <c:pt idx="0">
                  <c:v>Coordination</c:v>
                </c:pt>
              </c:strCache>
            </c:strRef>
          </c:tx>
          <c:spPr>
            <a:ln w="12700" cap="rnd">
              <a:solidFill>
                <a:schemeClr val="accent4">
                  <a:lumMod val="60000"/>
                </a:schemeClr>
              </a:solidFill>
              <a:round/>
            </a:ln>
            <a:effectLst>
              <a:outerShdw blurRad="57150" dist="19050" dir="5400000" algn="ctr" rotWithShape="0">
                <a:srgbClr val="000000">
                  <a:alpha val="63000"/>
                </a:srgbClr>
              </a:outerShdw>
            </a:effectLst>
          </c:spPr>
          <c:marker>
            <c:symbol val="none"/>
          </c:marker>
          <c:cat>
            <c:numRef>
              <c:f>PMPM!$B$29:$Y$29</c:f>
              <c:numCache>
                <c:formatCode>mmm\-yy</c:formatCode>
                <c:ptCount val="24"/>
                <c:pt idx="0">
                  <c:v>41275</c:v>
                </c:pt>
                <c:pt idx="1">
                  <c:v>41306</c:v>
                </c:pt>
                <c:pt idx="2">
                  <c:v>41334</c:v>
                </c:pt>
                <c:pt idx="3">
                  <c:v>41365</c:v>
                </c:pt>
                <c:pt idx="4">
                  <c:v>41395</c:v>
                </c:pt>
                <c:pt idx="5">
                  <c:v>41426</c:v>
                </c:pt>
                <c:pt idx="6">
                  <c:v>41456</c:v>
                </c:pt>
                <c:pt idx="7">
                  <c:v>41487</c:v>
                </c:pt>
                <c:pt idx="8">
                  <c:v>41518</c:v>
                </c:pt>
                <c:pt idx="9">
                  <c:v>41548</c:v>
                </c:pt>
                <c:pt idx="10">
                  <c:v>41579</c:v>
                </c:pt>
                <c:pt idx="11">
                  <c:v>41609</c:v>
                </c:pt>
                <c:pt idx="12">
                  <c:v>41640</c:v>
                </c:pt>
                <c:pt idx="13">
                  <c:v>41671</c:v>
                </c:pt>
                <c:pt idx="14">
                  <c:v>41699</c:v>
                </c:pt>
                <c:pt idx="15">
                  <c:v>41730</c:v>
                </c:pt>
                <c:pt idx="16">
                  <c:v>41760</c:v>
                </c:pt>
                <c:pt idx="17">
                  <c:v>41791</c:v>
                </c:pt>
                <c:pt idx="18">
                  <c:v>41821</c:v>
                </c:pt>
                <c:pt idx="19">
                  <c:v>41852</c:v>
                </c:pt>
                <c:pt idx="20">
                  <c:v>41883</c:v>
                </c:pt>
                <c:pt idx="21">
                  <c:v>41913</c:v>
                </c:pt>
                <c:pt idx="22">
                  <c:v>41944</c:v>
                </c:pt>
                <c:pt idx="23">
                  <c:v>41974</c:v>
                </c:pt>
              </c:numCache>
            </c:numRef>
          </c:cat>
          <c:val>
            <c:numRef>
              <c:f>PMPM!$B$35:$Y$35</c:f>
              <c:numCache>
                <c:formatCode>_("$"* #,##0_);_("$"* \(#,##0\);_("$"* "-"??_);_(@_)</c:formatCode>
                <c:ptCount val="24"/>
                <c:pt idx="0">
                  <c:v>2030.67604967956</c:v>
                </c:pt>
                <c:pt idx="1">
                  <c:v>1984.32621407949</c:v>
                </c:pt>
                <c:pt idx="2">
                  <c:v>2008.73304393231</c:v>
                </c:pt>
                <c:pt idx="3">
                  <c:v>2117.8230752071599</c:v>
                </c:pt>
                <c:pt idx="4">
                  <c:v>2049.8075974188</c:v>
                </c:pt>
                <c:pt idx="5">
                  <c:v>1881.53903414622</c:v>
                </c:pt>
                <c:pt idx="6">
                  <c:v>1851.5443388915</c:v>
                </c:pt>
                <c:pt idx="7">
                  <c:v>1776.27867148583</c:v>
                </c:pt>
                <c:pt idx="8">
                  <c:v>1632.06769941212</c:v>
                </c:pt>
                <c:pt idx="9">
                  <c:v>1594.8242153538599</c:v>
                </c:pt>
                <c:pt idx="10">
                  <c:v>1366.10040409987</c:v>
                </c:pt>
                <c:pt idx="11">
                  <c:v>1200.1488782594399</c:v>
                </c:pt>
                <c:pt idx="12">
                  <c:v>1472.0575406501</c:v>
                </c:pt>
                <c:pt idx="13">
                  <c:v>1387.3143090988101</c:v>
                </c:pt>
                <c:pt idx="14">
                  <c:v>1531.6377099404201</c:v>
                </c:pt>
                <c:pt idx="15">
                  <c:v>1582.46421328059</c:v>
                </c:pt>
                <c:pt idx="16">
                  <c:v>1586.1825242324801</c:v>
                </c:pt>
                <c:pt idx="17">
                  <c:v>1615.30032447289</c:v>
                </c:pt>
                <c:pt idx="18">
                  <c:v>1664.7078147181001</c:v>
                </c:pt>
                <c:pt idx="19">
                  <c:v>1604.89907688979</c:v>
                </c:pt>
                <c:pt idx="20">
                  <c:v>1639.6380095289601</c:v>
                </c:pt>
                <c:pt idx="21">
                  <c:v>1714.4727297178199</c:v>
                </c:pt>
                <c:pt idx="22">
                  <c:v>1517.8022060191799</c:v>
                </c:pt>
                <c:pt idx="23">
                  <c:v>1833.5425747351801</c:v>
                </c:pt>
              </c:numCache>
            </c:numRef>
          </c:val>
          <c:smooth val="1"/>
          <c:extLst>
            <c:ext xmlns:c16="http://schemas.microsoft.com/office/drawing/2014/chart" uri="{C3380CC4-5D6E-409C-BE32-E72D297353CC}">
              <c16:uniqueId val="{00000005-BA24-4878-8EE7-12B73A493960}"/>
            </c:ext>
          </c:extLst>
        </c:ser>
        <c:ser>
          <c:idx val="6"/>
          <c:order val="6"/>
          <c:tx>
            <c:strRef>
              <c:f>PMPM!$A$36</c:f>
              <c:strCache>
                <c:ptCount val="1"/>
                <c:pt idx="0">
                  <c:v>Treatment Navigation</c:v>
                </c:pt>
              </c:strCache>
            </c:strRef>
          </c:tx>
          <c:spPr>
            <a:ln w="12700" cap="rnd">
              <a:solidFill>
                <a:schemeClr val="accent6">
                  <a:lumMod val="80000"/>
                  <a:lumOff val="20000"/>
                </a:schemeClr>
              </a:solidFill>
              <a:round/>
            </a:ln>
            <a:effectLst>
              <a:outerShdw blurRad="57150" dist="19050" dir="5400000" algn="ctr" rotWithShape="0">
                <a:srgbClr val="000000">
                  <a:alpha val="63000"/>
                </a:srgbClr>
              </a:outerShdw>
            </a:effectLst>
          </c:spPr>
          <c:marker>
            <c:symbol val="none"/>
          </c:marker>
          <c:cat>
            <c:numRef>
              <c:f>PMPM!$B$29:$Y$29</c:f>
              <c:numCache>
                <c:formatCode>mmm\-yy</c:formatCode>
                <c:ptCount val="24"/>
                <c:pt idx="0">
                  <c:v>41275</c:v>
                </c:pt>
                <c:pt idx="1">
                  <c:v>41306</c:v>
                </c:pt>
                <c:pt idx="2">
                  <c:v>41334</c:v>
                </c:pt>
                <c:pt idx="3">
                  <c:v>41365</c:v>
                </c:pt>
                <c:pt idx="4">
                  <c:v>41395</c:v>
                </c:pt>
                <c:pt idx="5">
                  <c:v>41426</c:v>
                </c:pt>
                <c:pt idx="6">
                  <c:v>41456</c:v>
                </c:pt>
                <c:pt idx="7">
                  <c:v>41487</c:v>
                </c:pt>
                <c:pt idx="8">
                  <c:v>41518</c:v>
                </c:pt>
                <c:pt idx="9">
                  <c:v>41548</c:v>
                </c:pt>
                <c:pt idx="10">
                  <c:v>41579</c:v>
                </c:pt>
                <c:pt idx="11">
                  <c:v>41609</c:v>
                </c:pt>
                <c:pt idx="12">
                  <c:v>41640</c:v>
                </c:pt>
                <c:pt idx="13">
                  <c:v>41671</c:v>
                </c:pt>
                <c:pt idx="14">
                  <c:v>41699</c:v>
                </c:pt>
                <c:pt idx="15">
                  <c:v>41730</c:v>
                </c:pt>
                <c:pt idx="16">
                  <c:v>41760</c:v>
                </c:pt>
                <c:pt idx="17">
                  <c:v>41791</c:v>
                </c:pt>
                <c:pt idx="18">
                  <c:v>41821</c:v>
                </c:pt>
                <c:pt idx="19">
                  <c:v>41852</c:v>
                </c:pt>
                <c:pt idx="20">
                  <c:v>41883</c:v>
                </c:pt>
                <c:pt idx="21">
                  <c:v>41913</c:v>
                </c:pt>
                <c:pt idx="22">
                  <c:v>41944</c:v>
                </c:pt>
                <c:pt idx="23">
                  <c:v>41974</c:v>
                </c:pt>
              </c:numCache>
            </c:numRef>
          </c:cat>
          <c:val>
            <c:numRef>
              <c:f>PMPM!$B$36:$Y$36</c:f>
              <c:numCache>
                <c:formatCode>_("$"* #,##0_);_("$"* \(#,##0\);_("$"* "-"??_);_(@_)</c:formatCode>
                <c:ptCount val="24"/>
                <c:pt idx="0">
                  <c:v>412.45847682056001</c:v>
                </c:pt>
                <c:pt idx="1">
                  <c:v>395.435696487082</c:v>
                </c:pt>
                <c:pt idx="2">
                  <c:v>435.33709662333803</c:v>
                </c:pt>
                <c:pt idx="3">
                  <c:v>420.787819565777</c:v>
                </c:pt>
                <c:pt idx="4">
                  <c:v>444.50892928260299</c:v>
                </c:pt>
                <c:pt idx="5">
                  <c:v>386.464612676147</c:v>
                </c:pt>
                <c:pt idx="6">
                  <c:v>419.99729401220202</c:v>
                </c:pt>
                <c:pt idx="7">
                  <c:v>414.71452019704202</c:v>
                </c:pt>
                <c:pt idx="8">
                  <c:v>389.84704442140998</c:v>
                </c:pt>
                <c:pt idx="9">
                  <c:v>422.65483103888698</c:v>
                </c:pt>
                <c:pt idx="10">
                  <c:v>415.66918362872701</c:v>
                </c:pt>
                <c:pt idx="11">
                  <c:v>1165.4838032895</c:v>
                </c:pt>
                <c:pt idx="12">
                  <c:v>849.70368724467403</c:v>
                </c:pt>
                <c:pt idx="13">
                  <c:v>709.26110569575599</c:v>
                </c:pt>
                <c:pt idx="14">
                  <c:v>710.291834525838</c:v>
                </c:pt>
                <c:pt idx="15">
                  <c:v>672.79466119892004</c:v>
                </c:pt>
                <c:pt idx="16">
                  <c:v>625.82913686187396</c:v>
                </c:pt>
                <c:pt idx="17">
                  <c:v>629.40647949339404</c:v>
                </c:pt>
                <c:pt idx="18">
                  <c:v>618.41127898551804</c:v>
                </c:pt>
                <c:pt idx="19">
                  <c:v>574.50984738115903</c:v>
                </c:pt>
                <c:pt idx="20">
                  <c:v>596.119632373949</c:v>
                </c:pt>
                <c:pt idx="21">
                  <c:v>627.03128690338701</c:v>
                </c:pt>
                <c:pt idx="22">
                  <c:v>576.08182675912803</c:v>
                </c:pt>
                <c:pt idx="23">
                  <c:v>717.72971716999598</c:v>
                </c:pt>
              </c:numCache>
            </c:numRef>
          </c:val>
          <c:smooth val="1"/>
          <c:extLst>
            <c:ext xmlns:c16="http://schemas.microsoft.com/office/drawing/2014/chart" uri="{C3380CC4-5D6E-409C-BE32-E72D297353CC}">
              <c16:uniqueId val="{00000006-BA24-4878-8EE7-12B73A493960}"/>
            </c:ext>
          </c:extLst>
        </c:ser>
        <c:ser>
          <c:idx val="7"/>
          <c:order val="7"/>
          <c:tx>
            <c:strRef>
              <c:f>PMPM!$A$37</c:f>
              <c:strCache>
                <c:ptCount val="1"/>
                <c:pt idx="0">
                  <c:v>Support</c:v>
                </c:pt>
              </c:strCache>
            </c:strRef>
          </c:tx>
          <c:spPr>
            <a:ln w="12700" cap="rnd">
              <a:solidFill>
                <a:schemeClr val="accent5">
                  <a:lumMod val="80000"/>
                  <a:lumOff val="20000"/>
                </a:schemeClr>
              </a:solidFill>
              <a:round/>
            </a:ln>
            <a:effectLst>
              <a:outerShdw blurRad="57150" dist="19050" dir="5400000" algn="ctr" rotWithShape="0">
                <a:srgbClr val="000000">
                  <a:alpha val="63000"/>
                </a:srgbClr>
              </a:outerShdw>
            </a:effectLst>
          </c:spPr>
          <c:marker>
            <c:symbol val="none"/>
          </c:marker>
          <c:cat>
            <c:numRef>
              <c:f>PMPM!$B$29:$Y$29</c:f>
              <c:numCache>
                <c:formatCode>mmm\-yy</c:formatCode>
                <c:ptCount val="24"/>
                <c:pt idx="0">
                  <c:v>41275</c:v>
                </c:pt>
                <c:pt idx="1">
                  <c:v>41306</c:v>
                </c:pt>
                <c:pt idx="2">
                  <c:v>41334</c:v>
                </c:pt>
                <c:pt idx="3">
                  <c:v>41365</c:v>
                </c:pt>
                <c:pt idx="4">
                  <c:v>41395</c:v>
                </c:pt>
                <c:pt idx="5">
                  <c:v>41426</c:v>
                </c:pt>
                <c:pt idx="6">
                  <c:v>41456</c:v>
                </c:pt>
                <c:pt idx="7">
                  <c:v>41487</c:v>
                </c:pt>
                <c:pt idx="8">
                  <c:v>41518</c:v>
                </c:pt>
                <c:pt idx="9">
                  <c:v>41548</c:v>
                </c:pt>
                <c:pt idx="10">
                  <c:v>41579</c:v>
                </c:pt>
                <c:pt idx="11">
                  <c:v>41609</c:v>
                </c:pt>
                <c:pt idx="12">
                  <c:v>41640</c:v>
                </c:pt>
                <c:pt idx="13">
                  <c:v>41671</c:v>
                </c:pt>
                <c:pt idx="14">
                  <c:v>41699</c:v>
                </c:pt>
                <c:pt idx="15">
                  <c:v>41730</c:v>
                </c:pt>
                <c:pt idx="16">
                  <c:v>41760</c:v>
                </c:pt>
                <c:pt idx="17">
                  <c:v>41791</c:v>
                </c:pt>
                <c:pt idx="18">
                  <c:v>41821</c:v>
                </c:pt>
                <c:pt idx="19">
                  <c:v>41852</c:v>
                </c:pt>
                <c:pt idx="20">
                  <c:v>41883</c:v>
                </c:pt>
                <c:pt idx="21">
                  <c:v>41913</c:v>
                </c:pt>
                <c:pt idx="22">
                  <c:v>41944</c:v>
                </c:pt>
                <c:pt idx="23">
                  <c:v>41974</c:v>
                </c:pt>
              </c:numCache>
            </c:numRef>
          </c:cat>
          <c:val>
            <c:numRef>
              <c:f>PMPM!$B$37:$Y$37</c:f>
              <c:numCache>
                <c:formatCode>_("$"* #,##0_);_("$"* \(#,##0\);_("$"* "-"??_);_(@_)</c:formatCode>
                <c:ptCount val="24"/>
                <c:pt idx="0">
                  <c:v>684.226146905988</c:v>
                </c:pt>
                <c:pt idx="1">
                  <c:v>625.485193661018</c:v>
                </c:pt>
                <c:pt idx="2">
                  <c:v>668.126397892922</c:v>
                </c:pt>
                <c:pt idx="3">
                  <c:v>666.51866444191899</c:v>
                </c:pt>
                <c:pt idx="4">
                  <c:v>658.67235895433305</c:v>
                </c:pt>
                <c:pt idx="5">
                  <c:v>617.48011374989699</c:v>
                </c:pt>
                <c:pt idx="6">
                  <c:v>618.66568055119501</c:v>
                </c:pt>
                <c:pt idx="7">
                  <c:v>601.91116219179196</c:v>
                </c:pt>
                <c:pt idx="8">
                  <c:v>564.58708842070905</c:v>
                </c:pt>
                <c:pt idx="9">
                  <c:v>563.95498031959596</c:v>
                </c:pt>
                <c:pt idx="10">
                  <c:v>498.27703911180299</c:v>
                </c:pt>
                <c:pt idx="11">
                  <c:v>465.60524634326799</c:v>
                </c:pt>
                <c:pt idx="12">
                  <c:v>582.245616966836</c:v>
                </c:pt>
                <c:pt idx="13">
                  <c:v>541.18803709802501</c:v>
                </c:pt>
                <c:pt idx="14">
                  <c:v>613.09010936207596</c:v>
                </c:pt>
                <c:pt idx="15">
                  <c:v>648.47282253600497</c:v>
                </c:pt>
                <c:pt idx="16">
                  <c:v>637.52191317181303</c:v>
                </c:pt>
                <c:pt idx="17">
                  <c:v>647.92811779939404</c:v>
                </c:pt>
                <c:pt idx="18">
                  <c:v>672.61040125391503</c:v>
                </c:pt>
                <c:pt idx="19">
                  <c:v>642.84650267666996</c:v>
                </c:pt>
                <c:pt idx="20">
                  <c:v>672.50676353850304</c:v>
                </c:pt>
                <c:pt idx="21">
                  <c:v>721.743657256853</c:v>
                </c:pt>
                <c:pt idx="22">
                  <c:v>638.79243845053804</c:v>
                </c:pt>
                <c:pt idx="23">
                  <c:v>769.51786635263102</c:v>
                </c:pt>
              </c:numCache>
            </c:numRef>
          </c:val>
          <c:smooth val="1"/>
          <c:extLst>
            <c:ext xmlns:c16="http://schemas.microsoft.com/office/drawing/2014/chart" uri="{C3380CC4-5D6E-409C-BE32-E72D297353CC}">
              <c16:uniqueId val="{00000007-BA24-4878-8EE7-12B73A493960}"/>
            </c:ext>
          </c:extLst>
        </c:ser>
        <c:ser>
          <c:idx val="8"/>
          <c:order val="8"/>
          <c:tx>
            <c:strRef>
              <c:f>PMPM!$A$38</c:f>
              <c:strCache>
                <c:ptCount val="1"/>
                <c:pt idx="0">
                  <c:v>Engagement</c:v>
                </c:pt>
              </c:strCache>
            </c:strRef>
          </c:tx>
          <c:spPr>
            <a:ln w="12700" cap="rnd">
              <a:solidFill>
                <a:schemeClr val="accent4">
                  <a:lumMod val="80000"/>
                  <a:lumOff val="20000"/>
                </a:schemeClr>
              </a:solidFill>
              <a:round/>
            </a:ln>
            <a:effectLst>
              <a:outerShdw blurRad="57150" dist="19050" dir="5400000" algn="ctr" rotWithShape="0">
                <a:srgbClr val="000000">
                  <a:alpha val="63000"/>
                </a:srgbClr>
              </a:outerShdw>
            </a:effectLst>
          </c:spPr>
          <c:marker>
            <c:symbol val="none"/>
          </c:marker>
          <c:cat>
            <c:numRef>
              <c:f>PMPM!$B$29:$Y$29</c:f>
              <c:numCache>
                <c:formatCode>mmm\-yy</c:formatCode>
                <c:ptCount val="24"/>
                <c:pt idx="0">
                  <c:v>41275</c:v>
                </c:pt>
                <c:pt idx="1">
                  <c:v>41306</c:v>
                </c:pt>
                <c:pt idx="2">
                  <c:v>41334</c:v>
                </c:pt>
                <c:pt idx="3">
                  <c:v>41365</c:v>
                </c:pt>
                <c:pt idx="4">
                  <c:v>41395</c:v>
                </c:pt>
                <c:pt idx="5">
                  <c:v>41426</c:v>
                </c:pt>
                <c:pt idx="6">
                  <c:v>41456</c:v>
                </c:pt>
                <c:pt idx="7">
                  <c:v>41487</c:v>
                </c:pt>
                <c:pt idx="8">
                  <c:v>41518</c:v>
                </c:pt>
                <c:pt idx="9">
                  <c:v>41548</c:v>
                </c:pt>
                <c:pt idx="10">
                  <c:v>41579</c:v>
                </c:pt>
                <c:pt idx="11">
                  <c:v>41609</c:v>
                </c:pt>
                <c:pt idx="12">
                  <c:v>41640</c:v>
                </c:pt>
                <c:pt idx="13">
                  <c:v>41671</c:v>
                </c:pt>
                <c:pt idx="14">
                  <c:v>41699</c:v>
                </c:pt>
                <c:pt idx="15">
                  <c:v>41730</c:v>
                </c:pt>
                <c:pt idx="16">
                  <c:v>41760</c:v>
                </c:pt>
                <c:pt idx="17">
                  <c:v>41791</c:v>
                </c:pt>
                <c:pt idx="18">
                  <c:v>41821</c:v>
                </c:pt>
                <c:pt idx="19">
                  <c:v>41852</c:v>
                </c:pt>
                <c:pt idx="20">
                  <c:v>41883</c:v>
                </c:pt>
                <c:pt idx="21">
                  <c:v>41913</c:v>
                </c:pt>
                <c:pt idx="22">
                  <c:v>41944</c:v>
                </c:pt>
                <c:pt idx="23">
                  <c:v>41974</c:v>
                </c:pt>
              </c:numCache>
            </c:numRef>
          </c:cat>
          <c:val>
            <c:numRef>
              <c:f>PMPM!$B$38:$Y$38</c:f>
              <c:numCache>
                <c:formatCode>_("$"* #,##0_);_("$"* \(#,##0\);_("$"* "-"??_);_(@_)</c:formatCode>
                <c:ptCount val="24"/>
                <c:pt idx="0">
                  <c:v>33.886230638155901</c:v>
                </c:pt>
                <c:pt idx="1">
                  <c:v>25.828311440116799</c:v>
                </c:pt>
                <c:pt idx="2">
                  <c:v>26.411682852127999</c:v>
                </c:pt>
                <c:pt idx="3">
                  <c:v>26.2474988377793</c:v>
                </c:pt>
                <c:pt idx="4">
                  <c:v>26.2915426124266</c:v>
                </c:pt>
                <c:pt idx="5">
                  <c:v>25.1677760442936</c:v>
                </c:pt>
                <c:pt idx="6">
                  <c:v>25.483161634227201</c:v>
                </c:pt>
                <c:pt idx="7">
                  <c:v>24.939678820770499</c:v>
                </c:pt>
                <c:pt idx="8">
                  <c:v>23.1142495275874</c:v>
                </c:pt>
                <c:pt idx="9">
                  <c:v>22.5128510956221</c:v>
                </c:pt>
                <c:pt idx="10">
                  <c:v>22.8147613357823</c:v>
                </c:pt>
                <c:pt idx="11">
                  <c:v>24.9137597205887</c:v>
                </c:pt>
                <c:pt idx="12">
                  <c:v>95.562693807667898</c:v>
                </c:pt>
                <c:pt idx="13">
                  <c:v>105.546746260611</c:v>
                </c:pt>
                <c:pt idx="14">
                  <c:v>131.720316660062</c:v>
                </c:pt>
                <c:pt idx="15">
                  <c:v>139.301755252992</c:v>
                </c:pt>
                <c:pt idx="16">
                  <c:v>141.23490659289899</c:v>
                </c:pt>
                <c:pt idx="17">
                  <c:v>138.765572939685</c:v>
                </c:pt>
                <c:pt idx="18">
                  <c:v>156.15013654583299</c:v>
                </c:pt>
                <c:pt idx="19">
                  <c:v>153.075298738963</c:v>
                </c:pt>
                <c:pt idx="20">
                  <c:v>163.35892567183899</c:v>
                </c:pt>
                <c:pt idx="21">
                  <c:v>176.381390391683</c:v>
                </c:pt>
                <c:pt idx="22">
                  <c:v>150.23105682449801</c:v>
                </c:pt>
                <c:pt idx="23">
                  <c:v>172.65405332400101</c:v>
                </c:pt>
              </c:numCache>
            </c:numRef>
          </c:val>
          <c:smooth val="1"/>
          <c:extLst>
            <c:ext xmlns:c16="http://schemas.microsoft.com/office/drawing/2014/chart" uri="{C3380CC4-5D6E-409C-BE32-E72D297353CC}">
              <c16:uniqueId val="{00000008-BA24-4878-8EE7-12B73A493960}"/>
            </c:ext>
          </c:extLst>
        </c:ser>
        <c:ser>
          <c:idx val="9"/>
          <c:order val="9"/>
          <c:tx>
            <c:strRef>
              <c:f>PMPM!$A$39</c:f>
              <c:strCache>
                <c:ptCount val="1"/>
                <c:pt idx="0">
                  <c:v>Prevention</c:v>
                </c:pt>
              </c:strCache>
            </c:strRef>
          </c:tx>
          <c:spPr>
            <a:ln w="12700" cap="rnd">
              <a:solidFill>
                <a:schemeClr val="accent6">
                  <a:lumMod val="80000"/>
                </a:schemeClr>
              </a:solidFill>
              <a:round/>
            </a:ln>
            <a:effectLst>
              <a:outerShdw blurRad="57150" dist="19050" dir="5400000" algn="ctr" rotWithShape="0">
                <a:srgbClr val="000000">
                  <a:alpha val="63000"/>
                </a:srgbClr>
              </a:outerShdw>
            </a:effectLst>
          </c:spPr>
          <c:marker>
            <c:symbol val="none"/>
          </c:marker>
          <c:cat>
            <c:numRef>
              <c:f>PMPM!$B$29:$Y$29</c:f>
              <c:numCache>
                <c:formatCode>mmm\-yy</c:formatCode>
                <c:ptCount val="24"/>
                <c:pt idx="0">
                  <c:v>41275</c:v>
                </c:pt>
                <c:pt idx="1">
                  <c:v>41306</c:v>
                </c:pt>
                <c:pt idx="2">
                  <c:v>41334</c:v>
                </c:pt>
                <c:pt idx="3">
                  <c:v>41365</c:v>
                </c:pt>
                <c:pt idx="4">
                  <c:v>41395</c:v>
                </c:pt>
                <c:pt idx="5">
                  <c:v>41426</c:v>
                </c:pt>
                <c:pt idx="6">
                  <c:v>41456</c:v>
                </c:pt>
                <c:pt idx="7">
                  <c:v>41487</c:v>
                </c:pt>
                <c:pt idx="8">
                  <c:v>41518</c:v>
                </c:pt>
                <c:pt idx="9">
                  <c:v>41548</c:v>
                </c:pt>
                <c:pt idx="10">
                  <c:v>41579</c:v>
                </c:pt>
                <c:pt idx="11">
                  <c:v>41609</c:v>
                </c:pt>
                <c:pt idx="12">
                  <c:v>41640</c:v>
                </c:pt>
                <c:pt idx="13">
                  <c:v>41671</c:v>
                </c:pt>
                <c:pt idx="14">
                  <c:v>41699</c:v>
                </c:pt>
                <c:pt idx="15">
                  <c:v>41730</c:v>
                </c:pt>
                <c:pt idx="16">
                  <c:v>41760</c:v>
                </c:pt>
                <c:pt idx="17">
                  <c:v>41791</c:v>
                </c:pt>
                <c:pt idx="18">
                  <c:v>41821</c:v>
                </c:pt>
                <c:pt idx="19">
                  <c:v>41852</c:v>
                </c:pt>
                <c:pt idx="20">
                  <c:v>41883</c:v>
                </c:pt>
                <c:pt idx="21">
                  <c:v>41913</c:v>
                </c:pt>
                <c:pt idx="22">
                  <c:v>41944</c:v>
                </c:pt>
                <c:pt idx="23">
                  <c:v>41974</c:v>
                </c:pt>
              </c:numCache>
            </c:numRef>
          </c:cat>
          <c:val>
            <c:numRef>
              <c:f>PMPM!$B$39:$Y$39</c:f>
              <c:numCache>
                <c:formatCode>_("$"* #,##0_);_("$"* \(#,##0\);_("$"* "-"??_);_(@_)</c:formatCode>
                <c:ptCount val="24"/>
                <c:pt idx="0">
                  <c:v>233.55418470023699</c:v>
                </c:pt>
                <c:pt idx="1">
                  <c:v>211.19203557460099</c:v>
                </c:pt>
                <c:pt idx="2">
                  <c:v>227.01490739145501</c:v>
                </c:pt>
                <c:pt idx="3">
                  <c:v>231.07289225816999</c:v>
                </c:pt>
                <c:pt idx="4">
                  <c:v>233.97428417843</c:v>
                </c:pt>
                <c:pt idx="5">
                  <c:v>220.16934112368</c:v>
                </c:pt>
                <c:pt idx="6">
                  <c:v>237.499237468383</c:v>
                </c:pt>
                <c:pt idx="7">
                  <c:v>239.00529846461899</c:v>
                </c:pt>
                <c:pt idx="8">
                  <c:v>224.61902331940399</c:v>
                </c:pt>
                <c:pt idx="9">
                  <c:v>250.08485180883901</c:v>
                </c:pt>
                <c:pt idx="10">
                  <c:v>229.51446189857501</c:v>
                </c:pt>
                <c:pt idx="11">
                  <c:v>209.00332850038899</c:v>
                </c:pt>
                <c:pt idx="12">
                  <c:v>260.53940557532201</c:v>
                </c:pt>
                <c:pt idx="13">
                  <c:v>249.914923586204</c:v>
                </c:pt>
                <c:pt idx="14">
                  <c:v>274.00590295971102</c:v>
                </c:pt>
                <c:pt idx="15">
                  <c:v>285.21581534035101</c:v>
                </c:pt>
                <c:pt idx="16">
                  <c:v>287.00718533416699</c:v>
                </c:pt>
                <c:pt idx="17">
                  <c:v>291.94382656536999</c:v>
                </c:pt>
                <c:pt idx="18">
                  <c:v>301.40959513603002</c:v>
                </c:pt>
                <c:pt idx="19">
                  <c:v>292.76287193616702</c:v>
                </c:pt>
                <c:pt idx="20">
                  <c:v>301.99990847070097</c:v>
                </c:pt>
                <c:pt idx="21">
                  <c:v>324.26425105831203</c:v>
                </c:pt>
                <c:pt idx="22">
                  <c:v>293.01458189016603</c:v>
                </c:pt>
                <c:pt idx="23">
                  <c:v>342.70962214588701</c:v>
                </c:pt>
              </c:numCache>
            </c:numRef>
          </c:val>
          <c:smooth val="1"/>
          <c:extLst>
            <c:ext xmlns:c16="http://schemas.microsoft.com/office/drawing/2014/chart" uri="{C3380CC4-5D6E-409C-BE32-E72D297353CC}">
              <c16:uniqueId val="{00000009-BA24-4878-8EE7-12B73A493960}"/>
            </c:ext>
          </c:extLst>
        </c:ser>
        <c:dLbls>
          <c:showLegendKey val="0"/>
          <c:showVal val="0"/>
          <c:showCatName val="0"/>
          <c:showSerName val="0"/>
          <c:showPercent val="0"/>
          <c:showBubbleSize val="0"/>
        </c:dLbls>
        <c:smooth val="0"/>
        <c:axId val="2101752664"/>
        <c:axId val="2101753976"/>
      </c:lineChart>
      <c:dateAx>
        <c:axId val="2101752664"/>
        <c:scaling>
          <c:orientation val="minMax"/>
        </c:scaling>
        <c:delete val="0"/>
        <c:axPos val="b"/>
        <c:numFmt formatCode="mmm\-yy" sourceLinked="1"/>
        <c:majorTickMark val="out"/>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1753976"/>
        <c:crosses val="autoZero"/>
        <c:auto val="1"/>
        <c:lblOffset val="100"/>
        <c:baseTimeUnit val="months"/>
      </c:dateAx>
      <c:valAx>
        <c:axId val="2101753976"/>
        <c:scaling>
          <c:orientation val="minMax"/>
        </c:scaling>
        <c:delete val="0"/>
        <c:axPos val="l"/>
        <c:majorGridlines>
          <c:spPr>
            <a:ln w="9525" cap="flat" cmpd="sng" algn="ctr">
              <a:solidFill>
                <a:schemeClr val="tx1">
                  <a:lumMod val="15000"/>
                  <a:lumOff val="85000"/>
                </a:schemeClr>
              </a:solidFill>
              <a:round/>
            </a:ln>
            <a:effectLst/>
          </c:spPr>
        </c:majorGridlines>
        <c:numFmt formatCode="_(&quot;$&quot;* #,##0_);_(&quot;$&quot;* \(#,##0\);_(&quot;$&quot;*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17526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1/2013 - 12/2014</a:t>
            </a:r>
            <a:r>
              <a:rPr lang="en-US" baseline="0"/>
              <a:t> MarketScan10%</a:t>
            </a:r>
            <a:r>
              <a:rPr lang="en-US"/>
              <a:t> PMPM Med/Rx</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0368429907799989"/>
          <c:y val="0.11278174037089872"/>
          <c:w val="0.87281142741772666"/>
          <c:h val="0.61533894211868312"/>
        </c:manualLayout>
      </c:layout>
      <c:lineChart>
        <c:grouping val="standard"/>
        <c:varyColors val="0"/>
        <c:ser>
          <c:idx val="2"/>
          <c:order val="0"/>
          <c:tx>
            <c:strRef>
              <c:f>PMPM!$A$32</c:f>
              <c:strCache>
                <c:ptCount val="1"/>
                <c:pt idx="0">
                  <c:v>Rebalancing</c:v>
                </c:pt>
              </c:strCache>
            </c:strRef>
          </c:tx>
          <c:spPr>
            <a:ln w="12700" cap="rnd">
              <a:solidFill>
                <a:schemeClr val="accent4"/>
              </a:solidFill>
              <a:round/>
            </a:ln>
            <a:effectLst>
              <a:outerShdw blurRad="57150" dist="19050" dir="5400000" algn="ctr" rotWithShape="0">
                <a:srgbClr val="000000">
                  <a:alpha val="63000"/>
                </a:srgbClr>
              </a:outerShdw>
            </a:effectLst>
          </c:spPr>
          <c:marker>
            <c:symbol val="none"/>
          </c:marker>
          <c:cat>
            <c:numRef>
              <c:f>PMPM!$B$29:$Y$29</c:f>
              <c:numCache>
                <c:formatCode>mmm\-yy</c:formatCode>
                <c:ptCount val="24"/>
                <c:pt idx="0">
                  <c:v>41275</c:v>
                </c:pt>
                <c:pt idx="1">
                  <c:v>41306</c:v>
                </c:pt>
                <c:pt idx="2">
                  <c:v>41334</c:v>
                </c:pt>
                <c:pt idx="3">
                  <c:v>41365</c:v>
                </c:pt>
                <c:pt idx="4">
                  <c:v>41395</c:v>
                </c:pt>
                <c:pt idx="5">
                  <c:v>41426</c:v>
                </c:pt>
                <c:pt idx="6">
                  <c:v>41456</c:v>
                </c:pt>
                <c:pt idx="7">
                  <c:v>41487</c:v>
                </c:pt>
                <c:pt idx="8">
                  <c:v>41518</c:v>
                </c:pt>
                <c:pt idx="9">
                  <c:v>41548</c:v>
                </c:pt>
                <c:pt idx="10">
                  <c:v>41579</c:v>
                </c:pt>
                <c:pt idx="11">
                  <c:v>41609</c:v>
                </c:pt>
                <c:pt idx="12">
                  <c:v>41640</c:v>
                </c:pt>
                <c:pt idx="13">
                  <c:v>41671</c:v>
                </c:pt>
                <c:pt idx="14">
                  <c:v>41699</c:v>
                </c:pt>
                <c:pt idx="15">
                  <c:v>41730</c:v>
                </c:pt>
                <c:pt idx="16">
                  <c:v>41760</c:v>
                </c:pt>
                <c:pt idx="17">
                  <c:v>41791</c:v>
                </c:pt>
                <c:pt idx="18">
                  <c:v>41821</c:v>
                </c:pt>
                <c:pt idx="19">
                  <c:v>41852</c:v>
                </c:pt>
                <c:pt idx="20">
                  <c:v>41883</c:v>
                </c:pt>
                <c:pt idx="21">
                  <c:v>41913</c:v>
                </c:pt>
                <c:pt idx="22">
                  <c:v>41944</c:v>
                </c:pt>
                <c:pt idx="23">
                  <c:v>41974</c:v>
                </c:pt>
              </c:numCache>
            </c:numRef>
          </c:cat>
          <c:val>
            <c:numRef>
              <c:f>PMPM!$B$32:$Y$32</c:f>
              <c:numCache>
                <c:formatCode>_("$"* #,##0_);_("$"* \(#,##0\);_("$"* "-"??_);_(@_)</c:formatCode>
                <c:ptCount val="24"/>
                <c:pt idx="0">
                  <c:v>762.63779245217995</c:v>
                </c:pt>
                <c:pt idx="1">
                  <c:v>648.87789183721804</c:v>
                </c:pt>
                <c:pt idx="2">
                  <c:v>698.60021201715904</c:v>
                </c:pt>
                <c:pt idx="3">
                  <c:v>724.61583586677705</c:v>
                </c:pt>
                <c:pt idx="4">
                  <c:v>735.551094974428</c:v>
                </c:pt>
                <c:pt idx="5">
                  <c:v>692.27037207341198</c:v>
                </c:pt>
                <c:pt idx="6">
                  <c:v>891.54705515158105</c:v>
                </c:pt>
                <c:pt idx="7">
                  <c:v>1006.0139234691</c:v>
                </c:pt>
                <c:pt idx="8">
                  <c:v>1196.37772499722</c:v>
                </c:pt>
                <c:pt idx="9">
                  <c:v>1936.9938855405501</c:v>
                </c:pt>
                <c:pt idx="10">
                  <c:v>1796.04715757144</c:v>
                </c:pt>
                <c:pt idx="11">
                  <c:v>1958.8438847740599</c:v>
                </c:pt>
                <c:pt idx="12">
                  <c:v>1252.6723181289699</c:v>
                </c:pt>
                <c:pt idx="13">
                  <c:v>1018.33562859419</c:v>
                </c:pt>
                <c:pt idx="14">
                  <c:v>1072.6138759693799</c:v>
                </c:pt>
                <c:pt idx="15">
                  <c:v>1008.78749886477</c:v>
                </c:pt>
                <c:pt idx="16">
                  <c:v>1006.32028075946</c:v>
                </c:pt>
                <c:pt idx="17">
                  <c:v>936.78172527943298</c:v>
                </c:pt>
                <c:pt idx="18">
                  <c:v>929.39420161305998</c:v>
                </c:pt>
                <c:pt idx="19">
                  <c:v>907.00495197429598</c:v>
                </c:pt>
                <c:pt idx="20">
                  <c:v>911.5433591835</c:v>
                </c:pt>
                <c:pt idx="21">
                  <c:v>978.20509494992496</c:v>
                </c:pt>
                <c:pt idx="22">
                  <c:v>875.21698158815195</c:v>
                </c:pt>
                <c:pt idx="23">
                  <c:v>992.29936752363994</c:v>
                </c:pt>
              </c:numCache>
            </c:numRef>
          </c:val>
          <c:smooth val="1"/>
          <c:extLst>
            <c:ext xmlns:c16="http://schemas.microsoft.com/office/drawing/2014/chart" uri="{C3380CC4-5D6E-409C-BE32-E72D297353CC}">
              <c16:uniqueId val="{00000002-A743-4982-8807-48BFAC0390B1}"/>
            </c:ext>
          </c:extLst>
        </c:ser>
        <c:ser>
          <c:idx val="4"/>
          <c:order val="1"/>
          <c:tx>
            <c:strRef>
              <c:f>PMPM!$A$34</c:f>
              <c:strCache>
                <c:ptCount val="1"/>
                <c:pt idx="0">
                  <c:v>Monitoring</c:v>
                </c:pt>
              </c:strCache>
            </c:strRef>
          </c:tx>
          <c:spPr>
            <a:ln w="12700" cap="rnd">
              <a:solidFill>
                <a:schemeClr val="accent5">
                  <a:lumMod val="60000"/>
                </a:schemeClr>
              </a:solidFill>
              <a:round/>
            </a:ln>
            <a:effectLst>
              <a:outerShdw blurRad="57150" dist="19050" dir="5400000" algn="ctr" rotWithShape="0">
                <a:srgbClr val="000000">
                  <a:alpha val="63000"/>
                </a:srgbClr>
              </a:outerShdw>
            </a:effectLst>
          </c:spPr>
          <c:marker>
            <c:symbol val="none"/>
          </c:marker>
          <c:cat>
            <c:numRef>
              <c:f>PMPM!$B$29:$Y$29</c:f>
              <c:numCache>
                <c:formatCode>mmm\-yy</c:formatCode>
                <c:ptCount val="24"/>
                <c:pt idx="0">
                  <c:v>41275</c:v>
                </c:pt>
                <c:pt idx="1">
                  <c:v>41306</c:v>
                </c:pt>
                <c:pt idx="2">
                  <c:v>41334</c:v>
                </c:pt>
                <c:pt idx="3">
                  <c:v>41365</c:v>
                </c:pt>
                <c:pt idx="4">
                  <c:v>41395</c:v>
                </c:pt>
                <c:pt idx="5">
                  <c:v>41426</c:v>
                </c:pt>
                <c:pt idx="6">
                  <c:v>41456</c:v>
                </c:pt>
                <c:pt idx="7">
                  <c:v>41487</c:v>
                </c:pt>
                <c:pt idx="8">
                  <c:v>41518</c:v>
                </c:pt>
                <c:pt idx="9">
                  <c:v>41548</c:v>
                </c:pt>
                <c:pt idx="10">
                  <c:v>41579</c:v>
                </c:pt>
                <c:pt idx="11">
                  <c:v>41609</c:v>
                </c:pt>
                <c:pt idx="12">
                  <c:v>41640</c:v>
                </c:pt>
                <c:pt idx="13">
                  <c:v>41671</c:v>
                </c:pt>
                <c:pt idx="14">
                  <c:v>41699</c:v>
                </c:pt>
                <c:pt idx="15">
                  <c:v>41730</c:v>
                </c:pt>
                <c:pt idx="16">
                  <c:v>41760</c:v>
                </c:pt>
                <c:pt idx="17">
                  <c:v>41791</c:v>
                </c:pt>
                <c:pt idx="18">
                  <c:v>41821</c:v>
                </c:pt>
                <c:pt idx="19">
                  <c:v>41852</c:v>
                </c:pt>
                <c:pt idx="20">
                  <c:v>41883</c:v>
                </c:pt>
                <c:pt idx="21">
                  <c:v>41913</c:v>
                </c:pt>
                <c:pt idx="22">
                  <c:v>41944</c:v>
                </c:pt>
                <c:pt idx="23">
                  <c:v>41974</c:v>
                </c:pt>
              </c:numCache>
            </c:numRef>
          </c:cat>
          <c:val>
            <c:numRef>
              <c:f>PMPM!$B$34:$Y$34</c:f>
              <c:numCache>
                <c:formatCode>_("$"* #,##0_);_("$"* \(#,##0\);_("$"* "-"??_);_(@_)</c:formatCode>
                <c:ptCount val="24"/>
                <c:pt idx="0">
                  <c:v>1597.5767216336601</c:v>
                </c:pt>
                <c:pt idx="1">
                  <c:v>1531.62546445354</c:v>
                </c:pt>
                <c:pt idx="2">
                  <c:v>1682.3540853090601</c:v>
                </c:pt>
                <c:pt idx="3">
                  <c:v>1808.3206314786901</c:v>
                </c:pt>
                <c:pt idx="4">
                  <c:v>1947.91564296557</c:v>
                </c:pt>
                <c:pt idx="5">
                  <c:v>1961.1012317345601</c:v>
                </c:pt>
                <c:pt idx="6">
                  <c:v>2458.5660502250998</c:v>
                </c:pt>
                <c:pt idx="7">
                  <c:v>2395.8102474984298</c:v>
                </c:pt>
                <c:pt idx="8">
                  <c:v>2223.3164273058101</c:v>
                </c:pt>
                <c:pt idx="9">
                  <c:v>1648.7280817087899</c:v>
                </c:pt>
                <c:pt idx="10">
                  <c:v>1406.47869500569</c:v>
                </c:pt>
                <c:pt idx="11">
                  <c:v>1431.6056231596799</c:v>
                </c:pt>
                <c:pt idx="12">
                  <c:v>1628.96541122961</c:v>
                </c:pt>
                <c:pt idx="13">
                  <c:v>1492.23352684774</c:v>
                </c:pt>
                <c:pt idx="14">
                  <c:v>1687.37782912486</c:v>
                </c:pt>
                <c:pt idx="15">
                  <c:v>1650.8886154454599</c:v>
                </c:pt>
                <c:pt idx="16">
                  <c:v>1626.1548843870501</c:v>
                </c:pt>
                <c:pt idx="17">
                  <c:v>1619.8058035966601</c:v>
                </c:pt>
                <c:pt idx="18">
                  <c:v>1697.38462052159</c:v>
                </c:pt>
                <c:pt idx="19">
                  <c:v>1704.548369314</c:v>
                </c:pt>
                <c:pt idx="20">
                  <c:v>1638.06693879554</c:v>
                </c:pt>
                <c:pt idx="21">
                  <c:v>1799.56142949948</c:v>
                </c:pt>
                <c:pt idx="22">
                  <c:v>1509.35988109304</c:v>
                </c:pt>
                <c:pt idx="23">
                  <c:v>1755.70732724562</c:v>
                </c:pt>
              </c:numCache>
            </c:numRef>
          </c:val>
          <c:smooth val="1"/>
          <c:extLst>
            <c:ext xmlns:c16="http://schemas.microsoft.com/office/drawing/2014/chart" uri="{C3380CC4-5D6E-409C-BE32-E72D297353CC}">
              <c16:uniqueId val="{00000004-A743-4982-8807-48BFAC0390B1}"/>
            </c:ext>
          </c:extLst>
        </c:ser>
        <c:ser>
          <c:idx val="5"/>
          <c:order val="2"/>
          <c:tx>
            <c:strRef>
              <c:f>PMPM!$A$35</c:f>
              <c:strCache>
                <c:ptCount val="1"/>
                <c:pt idx="0">
                  <c:v>Coordination</c:v>
                </c:pt>
              </c:strCache>
            </c:strRef>
          </c:tx>
          <c:spPr>
            <a:ln w="12700" cap="rnd">
              <a:solidFill>
                <a:schemeClr val="accent4">
                  <a:lumMod val="60000"/>
                </a:schemeClr>
              </a:solidFill>
              <a:round/>
            </a:ln>
            <a:effectLst>
              <a:outerShdw blurRad="57150" dist="19050" dir="5400000" algn="ctr" rotWithShape="0">
                <a:srgbClr val="000000">
                  <a:alpha val="63000"/>
                </a:srgbClr>
              </a:outerShdw>
            </a:effectLst>
          </c:spPr>
          <c:marker>
            <c:symbol val="none"/>
          </c:marker>
          <c:cat>
            <c:numRef>
              <c:f>PMPM!$B$29:$Y$29</c:f>
              <c:numCache>
                <c:formatCode>mmm\-yy</c:formatCode>
                <c:ptCount val="24"/>
                <c:pt idx="0">
                  <c:v>41275</c:v>
                </c:pt>
                <c:pt idx="1">
                  <c:v>41306</c:v>
                </c:pt>
                <c:pt idx="2">
                  <c:v>41334</c:v>
                </c:pt>
                <c:pt idx="3">
                  <c:v>41365</c:v>
                </c:pt>
                <c:pt idx="4">
                  <c:v>41395</c:v>
                </c:pt>
                <c:pt idx="5">
                  <c:v>41426</c:v>
                </c:pt>
                <c:pt idx="6">
                  <c:v>41456</c:v>
                </c:pt>
                <c:pt idx="7">
                  <c:v>41487</c:v>
                </c:pt>
                <c:pt idx="8">
                  <c:v>41518</c:v>
                </c:pt>
                <c:pt idx="9">
                  <c:v>41548</c:v>
                </c:pt>
                <c:pt idx="10">
                  <c:v>41579</c:v>
                </c:pt>
                <c:pt idx="11">
                  <c:v>41609</c:v>
                </c:pt>
                <c:pt idx="12">
                  <c:v>41640</c:v>
                </c:pt>
                <c:pt idx="13">
                  <c:v>41671</c:v>
                </c:pt>
                <c:pt idx="14">
                  <c:v>41699</c:v>
                </c:pt>
                <c:pt idx="15">
                  <c:v>41730</c:v>
                </c:pt>
                <c:pt idx="16">
                  <c:v>41760</c:v>
                </c:pt>
                <c:pt idx="17">
                  <c:v>41791</c:v>
                </c:pt>
                <c:pt idx="18">
                  <c:v>41821</c:v>
                </c:pt>
                <c:pt idx="19">
                  <c:v>41852</c:v>
                </c:pt>
                <c:pt idx="20">
                  <c:v>41883</c:v>
                </c:pt>
                <c:pt idx="21">
                  <c:v>41913</c:v>
                </c:pt>
                <c:pt idx="22">
                  <c:v>41944</c:v>
                </c:pt>
                <c:pt idx="23">
                  <c:v>41974</c:v>
                </c:pt>
              </c:numCache>
            </c:numRef>
          </c:cat>
          <c:val>
            <c:numRef>
              <c:f>PMPM!$B$35:$Y$35</c:f>
              <c:numCache>
                <c:formatCode>_("$"* #,##0_);_("$"* \(#,##0\);_("$"* "-"??_);_(@_)</c:formatCode>
                <c:ptCount val="24"/>
                <c:pt idx="0">
                  <c:v>2030.67604967956</c:v>
                </c:pt>
                <c:pt idx="1">
                  <c:v>1984.32621407949</c:v>
                </c:pt>
                <c:pt idx="2">
                  <c:v>2008.73304393231</c:v>
                </c:pt>
                <c:pt idx="3">
                  <c:v>2117.8230752071599</c:v>
                </c:pt>
                <c:pt idx="4">
                  <c:v>2049.8075974188</c:v>
                </c:pt>
                <c:pt idx="5">
                  <c:v>1881.53903414622</c:v>
                </c:pt>
                <c:pt idx="6">
                  <c:v>1851.5443388915</c:v>
                </c:pt>
                <c:pt idx="7">
                  <c:v>1776.27867148583</c:v>
                </c:pt>
                <c:pt idx="8">
                  <c:v>1632.06769941212</c:v>
                </c:pt>
                <c:pt idx="9">
                  <c:v>1594.8242153538599</c:v>
                </c:pt>
                <c:pt idx="10">
                  <c:v>1366.10040409987</c:v>
                </c:pt>
                <c:pt idx="11">
                  <c:v>1200.1488782594399</c:v>
                </c:pt>
                <c:pt idx="12">
                  <c:v>1472.0575406501</c:v>
                </c:pt>
                <c:pt idx="13">
                  <c:v>1387.3143090988101</c:v>
                </c:pt>
                <c:pt idx="14">
                  <c:v>1531.6377099404201</c:v>
                </c:pt>
                <c:pt idx="15">
                  <c:v>1582.46421328059</c:v>
                </c:pt>
                <c:pt idx="16">
                  <c:v>1586.1825242324801</c:v>
                </c:pt>
                <c:pt idx="17">
                  <c:v>1615.30032447289</c:v>
                </c:pt>
                <c:pt idx="18">
                  <c:v>1664.7078147181001</c:v>
                </c:pt>
                <c:pt idx="19">
                  <c:v>1604.89907688979</c:v>
                </c:pt>
                <c:pt idx="20">
                  <c:v>1639.6380095289601</c:v>
                </c:pt>
                <c:pt idx="21">
                  <c:v>1714.4727297178199</c:v>
                </c:pt>
                <c:pt idx="22">
                  <c:v>1517.8022060191799</c:v>
                </c:pt>
                <c:pt idx="23">
                  <c:v>1833.5425747351801</c:v>
                </c:pt>
              </c:numCache>
            </c:numRef>
          </c:val>
          <c:smooth val="1"/>
          <c:extLst>
            <c:ext xmlns:c16="http://schemas.microsoft.com/office/drawing/2014/chart" uri="{C3380CC4-5D6E-409C-BE32-E72D297353CC}">
              <c16:uniqueId val="{00000005-A743-4982-8807-48BFAC0390B1}"/>
            </c:ext>
          </c:extLst>
        </c:ser>
        <c:ser>
          <c:idx val="6"/>
          <c:order val="3"/>
          <c:tx>
            <c:strRef>
              <c:f>PMPM!$A$36</c:f>
              <c:strCache>
                <c:ptCount val="1"/>
                <c:pt idx="0">
                  <c:v>Treatment Navigation</c:v>
                </c:pt>
              </c:strCache>
            </c:strRef>
          </c:tx>
          <c:spPr>
            <a:ln w="12700" cap="rnd">
              <a:solidFill>
                <a:schemeClr val="accent6">
                  <a:lumMod val="80000"/>
                  <a:lumOff val="20000"/>
                </a:schemeClr>
              </a:solidFill>
              <a:round/>
            </a:ln>
            <a:effectLst>
              <a:outerShdw blurRad="57150" dist="19050" dir="5400000" algn="ctr" rotWithShape="0">
                <a:srgbClr val="000000">
                  <a:alpha val="63000"/>
                </a:srgbClr>
              </a:outerShdw>
            </a:effectLst>
          </c:spPr>
          <c:marker>
            <c:symbol val="none"/>
          </c:marker>
          <c:cat>
            <c:numRef>
              <c:f>PMPM!$B$29:$Y$29</c:f>
              <c:numCache>
                <c:formatCode>mmm\-yy</c:formatCode>
                <c:ptCount val="24"/>
                <c:pt idx="0">
                  <c:v>41275</c:v>
                </c:pt>
                <c:pt idx="1">
                  <c:v>41306</c:v>
                </c:pt>
                <c:pt idx="2">
                  <c:v>41334</c:v>
                </c:pt>
                <c:pt idx="3">
                  <c:v>41365</c:v>
                </c:pt>
                <c:pt idx="4">
                  <c:v>41395</c:v>
                </c:pt>
                <c:pt idx="5">
                  <c:v>41426</c:v>
                </c:pt>
                <c:pt idx="6">
                  <c:v>41456</c:v>
                </c:pt>
                <c:pt idx="7">
                  <c:v>41487</c:v>
                </c:pt>
                <c:pt idx="8">
                  <c:v>41518</c:v>
                </c:pt>
                <c:pt idx="9">
                  <c:v>41548</c:v>
                </c:pt>
                <c:pt idx="10">
                  <c:v>41579</c:v>
                </c:pt>
                <c:pt idx="11">
                  <c:v>41609</c:v>
                </c:pt>
                <c:pt idx="12">
                  <c:v>41640</c:v>
                </c:pt>
                <c:pt idx="13">
                  <c:v>41671</c:v>
                </c:pt>
                <c:pt idx="14">
                  <c:v>41699</c:v>
                </c:pt>
                <c:pt idx="15">
                  <c:v>41730</c:v>
                </c:pt>
                <c:pt idx="16">
                  <c:v>41760</c:v>
                </c:pt>
                <c:pt idx="17">
                  <c:v>41791</c:v>
                </c:pt>
                <c:pt idx="18">
                  <c:v>41821</c:v>
                </c:pt>
                <c:pt idx="19">
                  <c:v>41852</c:v>
                </c:pt>
                <c:pt idx="20">
                  <c:v>41883</c:v>
                </c:pt>
                <c:pt idx="21">
                  <c:v>41913</c:v>
                </c:pt>
                <c:pt idx="22">
                  <c:v>41944</c:v>
                </c:pt>
                <c:pt idx="23">
                  <c:v>41974</c:v>
                </c:pt>
              </c:numCache>
            </c:numRef>
          </c:cat>
          <c:val>
            <c:numRef>
              <c:f>PMPM!$B$36:$Y$36</c:f>
              <c:numCache>
                <c:formatCode>_("$"* #,##0_);_("$"* \(#,##0\);_("$"* "-"??_);_(@_)</c:formatCode>
                <c:ptCount val="24"/>
                <c:pt idx="0">
                  <c:v>412.45847682056001</c:v>
                </c:pt>
                <c:pt idx="1">
                  <c:v>395.435696487082</c:v>
                </c:pt>
                <c:pt idx="2">
                  <c:v>435.33709662333803</c:v>
                </c:pt>
                <c:pt idx="3">
                  <c:v>420.787819565777</c:v>
                </c:pt>
                <c:pt idx="4">
                  <c:v>444.50892928260299</c:v>
                </c:pt>
                <c:pt idx="5">
                  <c:v>386.464612676147</c:v>
                </c:pt>
                <c:pt idx="6">
                  <c:v>419.99729401220202</c:v>
                </c:pt>
                <c:pt idx="7">
                  <c:v>414.71452019704202</c:v>
                </c:pt>
                <c:pt idx="8">
                  <c:v>389.84704442140998</c:v>
                </c:pt>
                <c:pt idx="9">
                  <c:v>422.65483103888698</c:v>
                </c:pt>
                <c:pt idx="10">
                  <c:v>415.66918362872701</c:v>
                </c:pt>
                <c:pt idx="11">
                  <c:v>1165.4838032895</c:v>
                </c:pt>
                <c:pt idx="12">
                  <c:v>849.70368724467403</c:v>
                </c:pt>
                <c:pt idx="13">
                  <c:v>709.26110569575599</c:v>
                </c:pt>
                <c:pt idx="14">
                  <c:v>710.291834525838</c:v>
                </c:pt>
                <c:pt idx="15">
                  <c:v>672.79466119892004</c:v>
                </c:pt>
                <c:pt idx="16">
                  <c:v>625.82913686187396</c:v>
                </c:pt>
                <c:pt idx="17">
                  <c:v>629.40647949339404</c:v>
                </c:pt>
                <c:pt idx="18">
                  <c:v>618.41127898551804</c:v>
                </c:pt>
                <c:pt idx="19">
                  <c:v>574.50984738115903</c:v>
                </c:pt>
                <c:pt idx="20">
                  <c:v>596.119632373949</c:v>
                </c:pt>
                <c:pt idx="21">
                  <c:v>627.03128690338701</c:v>
                </c:pt>
                <c:pt idx="22">
                  <c:v>576.08182675912803</c:v>
                </c:pt>
                <c:pt idx="23">
                  <c:v>717.72971716999598</c:v>
                </c:pt>
              </c:numCache>
            </c:numRef>
          </c:val>
          <c:smooth val="1"/>
          <c:extLst>
            <c:ext xmlns:c16="http://schemas.microsoft.com/office/drawing/2014/chart" uri="{C3380CC4-5D6E-409C-BE32-E72D297353CC}">
              <c16:uniqueId val="{00000006-A743-4982-8807-48BFAC0390B1}"/>
            </c:ext>
          </c:extLst>
        </c:ser>
        <c:ser>
          <c:idx val="7"/>
          <c:order val="4"/>
          <c:tx>
            <c:strRef>
              <c:f>PMPM!$A$37</c:f>
              <c:strCache>
                <c:ptCount val="1"/>
                <c:pt idx="0">
                  <c:v>Support</c:v>
                </c:pt>
              </c:strCache>
            </c:strRef>
          </c:tx>
          <c:spPr>
            <a:ln w="12700" cap="rnd">
              <a:solidFill>
                <a:schemeClr val="accent5">
                  <a:lumMod val="80000"/>
                  <a:lumOff val="20000"/>
                </a:schemeClr>
              </a:solidFill>
              <a:round/>
            </a:ln>
            <a:effectLst>
              <a:outerShdw blurRad="57150" dist="19050" dir="5400000" algn="ctr" rotWithShape="0">
                <a:srgbClr val="000000">
                  <a:alpha val="63000"/>
                </a:srgbClr>
              </a:outerShdw>
            </a:effectLst>
          </c:spPr>
          <c:marker>
            <c:symbol val="none"/>
          </c:marker>
          <c:cat>
            <c:numRef>
              <c:f>PMPM!$B$29:$Y$29</c:f>
              <c:numCache>
                <c:formatCode>mmm\-yy</c:formatCode>
                <c:ptCount val="24"/>
                <c:pt idx="0">
                  <c:v>41275</c:v>
                </c:pt>
                <c:pt idx="1">
                  <c:v>41306</c:v>
                </c:pt>
                <c:pt idx="2">
                  <c:v>41334</c:v>
                </c:pt>
                <c:pt idx="3">
                  <c:v>41365</c:v>
                </c:pt>
                <c:pt idx="4">
                  <c:v>41395</c:v>
                </c:pt>
                <c:pt idx="5">
                  <c:v>41426</c:v>
                </c:pt>
                <c:pt idx="6">
                  <c:v>41456</c:v>
                </c:pt>
                <c:pt idx="7">
                  <c:v>41487</c:v>
                </c:pt>
                <c:pt idx="8">
                  <c:v>41518</c:v>
                </c:pt>
                <c:pt idx="9">
                  <c:v>41548</c:v>
                </c:pt>
                <c:pt idx="10">
                  <c:v>41579</c:v>
                </c:pt>
                <c:pt idx="11">
                  <c:v>41609</c:v>
                </c:pt>
                <c:pt idx="12">
                  <c:v>41640</c:v>
                </c:pt>
                <c:pt idx="13">
                  <c:v>41671</c:v>
                </c:pt>
                <c:pt idx="14">
                  <c:v>41699</c:v>
                </c:pt>
                <c:pt idx="15">
                  <c:v>41730</c:v>
                </c:pt>
                <c:pt idx="16">
                  <c:v>41760</c:v>
                </c:pt>
                <c:pt idx="17">
                  <c:v>41791</c:v>
                </c:pt>
                <c:pt idx="18">
                  <c:v>41821</c:v>
                </c:pt>
                <c:pt idx="19">
                  <c:v>41852</c:v>
                </c:pt>
                <c:pt idx="20">
                  <c:v>41883</c:v>
                </c:pt>
                <c:pt idx="21">
                  <c:v>41913</c:v>
                </c:pt>
                <c:pt idx="22">
                  <c:v>41944</c:v>
                </c:pt>
                <c:pt idx="23">
                  <c:v>41974</c:v>
                </c:pt>
              </c:numCache>
            </c:numRef>
          </c:cat>
          <c:val>
            <c:numRef>
              <c:f>PMPM!$B$37:$Y$37</c:f>
              <c:numCache>
                <c:formatCode>_("$"* #,##0_);_("$"* \(#,##0\);_("$"* "-"??_);_(@_)</c:formatCode>
                <c:ptCount val="24"/>
                <c:pt idx="0">
                  <c:v>684.226146905988</c:v>
                </c:pt>
                <c:pt idx="1">
                  <c:v>625.485193661018</c:v>
                </c:pt>
                <c:pt idx="2">
                  <c:v>668.126397892922</c:v>
                </c:pt>
                <c:pt idx="3">
                  <c:v>666.51866444191899</c:v>
                </c:pt>
                <c:pt idx="4">
                  <c:v>658.67235895433305</c:v>
                </c:pt>
                <c:pt idx="5">
                  <c:v>617.48011374989699</c:v>
                </c:pt>
                <c:pt idx="6">
                  <c:v>618.66568055119501</c:v>
                </c:pt>
                <c:pt idx="7">
                  <c:v>601.91116219179196</c:v>
                </c:pt>
                <c:pt idx="8">
                  <c:v>564.58708842070905</c:v>
                </c:pt>
                <c:pt idx="9">
                  <c:v>563.95498031959596</c:v>
                </c:pt>
                <c:pt idx="10">
                  <c:v>498.27703911180299</c:v>
                </c:pt>
                <c:pt idx="11">
                  <c:v>465.60524634326799</c:v>
                </c:pt>
                <c:pt idx="12">
                  <c:v>582.245616966836</c:v>
                </c:pt>
                <c:pt idx="13">
                  <c:v>541.18803709802501</c:v>
                </c:pt>
                <c:pt idx="14">
                  <c:v>613.09010936207596</c:v>
                </c:pt>
                <c:pt idx="15">
                  <c:v>648.47282253600497</c:v>
                </c:pt>
                <c:pt idx="16">
                  <c:v>637.52191317181303</c:v>
                </c:pt>
                <c:pt idx="17">
                  <c:v>647.92811779939404</c:v>
                </c:pt>
                <c:pt idx="18">
                  <c:v>672.61040125391503</c:v>
                </c:pt>
                <c:pt idx="19">
                  <c:v>642.84650267666996</c:v>
                </c:pt>
                <c:pt idx="20">
                  <c:v>672.50676353850304</c:v>
                </c:pt>
                <c:pt idx="21">
                  <c:v>721.743657256853</c:v>
                </c:pt>
                <c:pt idx="22">
                  <c:v>638.79243845053804</c:v>
                </c:pt>
                <c:pt idx="23">
                  <c:v>769.51786635263102</c:v>
                </c:pt>
              </c:numCache>
            </c:numRef>
          </c:val>
          <c:smooth val="1"/>
          <c:extLst>
            <c:ext xmlns:c16="http://schemas.microsoft.com/office/drawing/2014/chart" uri="{C3380CC4-5D6E-409C-BE32-E72D297353CC}">
              <c16:uniqueId val="{00000007-A743-4982-8807-48BFAC0390B1}"/>
            </c:ext>
          </c:extLst>
        </c:ser>
        <c:ser>
          <c:idx val="8"/>
          <c:order val="5"/>
          <c:tx>
            <c:strRef>
              <c:f>PMPM!$A$38</c:f>
              <c:strCache>
                <c:ptCount val="1"/>
                <c:pt idx="0">
                  <c:v>Engagement</c:v>
                </c:pt>
              </c:strCache>
            </c:strRef>
          </c:tx>
          <c:spPr>
            <a:ln w="12700" cap="rnd">
              <a:solidFill>
                <a:schemeClr val="accent4">
                  <a:lumMod val="80000"/>
                  <a:lumOff val="20000"/>
                </a:schemeClr>
              </a:solidFill>
              <a:round/>
            </a:ln>
            <a:effectLst>
              <a:outerShdw blurRad="57150" dist="19050" dir="5400000" algn="ctr" rotWithShape="0">
                <a:srgbClr val="000000">
                  <a:alpha val="63000"/>
                </a:srgbClr>
              </a:outerShdw>
            </a:effectLst>
          </c:spPr>
          <c:marker>
            <c:symbol val="none"/>
          </c:marker>
          <c:cat>
            <c:numRef>
              <c:f>PMPM!$B$29:$Y$29</c:f>
              <c:numCache>
                <c:formatCode>mmm\-yy</c:formatCode>
                <c:ptCount val="24"/>
                <c:pt idx="0">
                  <c:v>41275</c:v>
                </c:pt>
                <c:pt idx="1">
                  <c:v>41306</c:v>
                </c:pt>
                <c:pt idx="2">
                  <c:v>41334</c:v>
                </c:pt>
                <c:pt idx="3">
                  <c:v>41365</c:v>
                </c:pt>
                <c:pt idx="4">
                  <c:v>41395</c:v>
                </c:pt>
                <c:pt idx="5">
                  <c:v>41426</c:v>
                </c:pt>
                <c:pt idx="6">
                  <c:v>41456</c:v>
                </c:pt>
                <c:pt idx="7">
                  <c:v>41487</c:v>
                </c:pt>
                <c:pt idx="8">
                  <c:v>41518</c:v>
                </c:pt>
                <c:pt idx="9">
                  <c:v>41548</c:v>
                </c:pt>
                <c:pt idx="10">
                  <c:v>41579</c:v>
                </c:pt>
                <c:pt idx="11">
                  <c:v>41609</c:v>
                </c:pt>
                <c:pt idx="12">
                  <c:v>41640</c:v>
                </c:pt>
                <c:pt idx="13">
                  <c:v>41671</c:v>
                </c:pt>
                <c:pt idx="14">
                  <c:v>41699</c:v>
                </c:pt>
                <c:pt idx="15">
                  <c:v>41730</c:v>
                </c:pt>
                <c:pt idx="16">
                  <c:v>41760</c:v>
                </c:pt>
                <c:pt idx="17">
                  <c:v>41791</c:v>
                </c:pt>
                <c:pt idx="18">
                  <c:v>41821</c:v>
                </c:pt>
                <c:pt idx="19">
                  <c:v>41852</c:v>
                </c:pt>
                <c:pt idx="20">
                  <c:v>41883</c:v>
                </c:pt>
                <c:pt idx="21">
                  <c:v>41913</c:v>
                </c:pt>
                <c:pt idx="22">
                  <c:v>41944</c:v>
                </c:pt>
                <c:pt idx="23">
                  <c:v>41974</c:v>
                </c:pt>
              </c:numCache>
            </c:numRef>
          </c:cat>
          <c:val>
            <c:numRef>
              <c:f>PMPM!$B$38:$Y$38</c:f>
              <c:numCache>
                <c:formatCode>_("$"* #,##0_);_("$"* \(#,##0\);_("$"* "-"??_);_(@_)</c:formatCode>
                <c:ptCount val="24"/>
                <c:pt idx="0">
                  <c:v>33.886230638155901</c:v>
                </c:pt>
                <c:pt idx="1">
                  <c:v>25.828311440116799</c:v>
                </c:pt>
                <c:pt idx="2">
                  <c:v>26.411682852127999</c:v>
                </c:pt>
                <c:pt idx="3">
                  <c:v>26.2474988377793</c:v>
                </c:pt>
                <c:pt idx="4">
                  <c:v>26.2915426124266</c:v>
                </c:pt>
                <c:pt idx="5">
                  <c:v>25.1677760442936</c:v>
                </c:pt>
                <c:pt idx="6">
                  <c:v>25.483161634227201</c:v>
                </c:pt>
                <c:pt idx="7">
                  <c:v>24.939678820770499</c:v>
                </c:pt>
                <c:pt idx="8">
                  <c:v>23.1142495275874</c:v>
                </c:pt>
                <c:pt idx="9">
                  <c:v>22.5128510956221</c:v>
                </c:pt>
                <c:pt idx="10">
                  <c:v>22.8147613357823</c:v>
                </c:pt>
                <c:pt idx="11">
                  <c:v>24.9137597205887</c:v>
                </c:pt>
                <c:pt idx="12">
                  <c:v>95.562693807667898</c:v>
                </c:pt>
                <c:pt idx="13">
                  <c:v>105.546746260611</c:v>
                </c:pt>
                <c:pt idx="14">
                  <c:v>131.720316660062</c:v>
                </c:pt>
                <c:pt idx="15">
                  <c:v>139.301755252992</c:v>
                </c:pt>
                <c:pt idx="16">
                  <c:v>141.23490659289899</c:v>
                </c:pt>
                <c:pt idx="17">
                  <c:v>138.765572939685</c:v>
                </c:pt>
                <c:pt idx="18">
                  <c:v>156.15013654583299</c:v>
                </c:pt>
                <c:pt idx="19">
                  <c:v>153.075298738963</c:v>
                </c:pt>
                <c:pt idx="20">
                  <c:v>163.35892567183899</c:v>
                </c:pt>
                <c:pt idx="21">
                  <c:v>176.381390391683</c:v>
                </c:pt>
                <c:pt idx="22">
                  <c:v>150.23105682449801</c:v>
                </c:pt>
                <c:pt idx="23">
                  <c:v>172.65405332400101</c:v>
                </c:pt>
              </c:numCache>
            </c:numRef>
          </c:val>
          <c:smooth val="1"/>
          <c:extLst>
            <c:ext xmlns:c16="http://schemas.microsoft.com/office/drawing/2014/chart" uri="{C3380CC4-5D6E-409C-BE32-E72D297353CC}">
              <c16:uniqueId val="{00000008-A743-4982-8807-48BFAC0390B1}"/>
            </c:ext>
          </c:extLst>
        </c:ser>
        <c:ser>
          <c:idx val="9"/>
          <c:order val="6"/>
          <c:tx>
            <c:strRef>
              <c:f>PMPM!$A$39</c:f>
              <c:strCache>
                <c:ptCount val="1"/>
                <c:pt idx="0">
                  <c:v>Prevention</c:v>
                </c:pt>
              </c:strCache>
            </c:strRef>
          </c:tx>
          <c:spPr>
            <a:ln w="12700" cap="rnd">
              <a:solidFill>
                <a:schemeClr val="accent6">
                  <a:lumMod val="80000"/>
                </a:schemeClr>
              </a:solidFill>
              <a:round/>
            </a:ln>
            <a:effectLst>
              <a:outerShdw blurRad="57150" dist="19050" dir="5400000" algn="ctr" rotWithShape="0">
                <a:srgbClr val="000000">
                  <a:alpha val="63000"/>
                </a:srgbClr>
              </a:outerShdw>
            </a:effectLst>
          </c:spPr>
          <c:marker>
            <c:symbol val="none"/>
          </c:marker>
          <c:cat>
            <c:numRef>
              <c:f>PMPM!$B$29:$Y$29</c:f>
              <c:numCache>
                <c:formatCode>mmm\-yy</c:formatCode>
                <c:ptCount val="24"/>
                <c:pt idx="0">
                  <c:v>41275</c:v>
                </c:pt>
                <c:pt idx="1">
                  <c:v>41306</c:v>
                </c:pt>
                <c:pt idx="2">
                  <c:v>41334</c:v>
                </c:pt>
                <c:pt idx="3">
                  <c:v>41365</c:v>
                </c:pt>
                <c:pt idx="4">
                  <c:v>41395</c:v>
                </c:pt>
                <c:pt idx="5">
                  <c:v>41426</c:v>
                </c:pt>
                <c:pt idx="6">
                  <c:v>41456</c:v>
                </c:pt>
                <c:pt idx="7">
                  <c:v>41487</c:v>
                </c:pt>
                <c:pt idx="8">
                  <c:v>41518</c:v>
                </c:pt>
                <c:pt idx="9">
                  <c:v>41548</c:v>
                </c:pt>
                <c:pt idx="10">
                  <c:v>41579</c:v>
                </c:pt>
                <c:pt idx="11">
                  <c:v>41609</c:v>
                </c:pt>
                <c:pt idx="12">
                  <c:v>41640</c:v>
                </c:pt>
                <c:pt idx="13">
                  <c:v>41671</c:v>
                </c:pt>
                <c:pt idx="14">
                  <c:v>41699</c:v>
                </c:pt>
                <c:pt idx="15">
                  <c:v>41730</c:v>
                </c:pt>
                <c:pt idx="16">
                  <c:v>41760</c:v>
                </c:pt>
                <c:pt idx="17">
                  <c:v>41791</c:v>
                </c:pt>
                <c:pt idx="18">
                  <c:v>41821</c:v>
                </c:pt>
                <c:pt idx="19">
                  <c:v>41852</c:v>
                </c:pt>
                <c:pt idx="20">
                  <c:v>41883</c:v>
                </c:pt>
                <c:pt idx="21">
                  <c:v>41913</c:v>
                </c:pt>
                <c:pt idx="22">
                  <c:v>41944</c:v>
                </c:pt>
                <c:pt idx="23">
                  <c:v>41974</c:v>
                </c:pt>
              </c:numCache>
            </c:numRef>
          </c:cat>
          <c:val>
            <c:numRef>
              <c:f>PMPM!$B$39:$Y$39</c:f>
              <c:numCache>
                <c:formatCode>_("$"* #,##0_);_("$"* \(#,##0\);_("$"* "-"??_);_(@_)</c:formatCode>
                <c:ptCount val="24"/>
                <c:pt idx="0">
                  <c:v>233.55418470023699</c:v>
                </c:pt>
                <c:pt idx="1">
                  <c:v>211.19203557460099</c:v>
                </c:pt>
                <c:pt idx="2">
                  <c:v>227.01490739145501</c:v>
                </c:pt>
                <c:pt idx="3">
                  <c:v>231.07289225816999</c:v>
                </c:pt>
                <c:pt idx="4">
                  <c:v>233.97428417843</c:v>
                </c:pt>
                <c:pt idx="5">
                  <c:v>220.16934112368</c:v>
                </c:pt>
                <c:pt idx="6">
                  <c:v>237.499237468383</c:v>
                </c:pt>
                <c:pt idx="7">
                  <c:v>239.00529846461899</c:v>
                </c:pt>
                <c:pt idx="8">
                  <c:v>224.61902331940399</c:v>
                </c:pt>
                <c:pt idx="9">
                  <c:v>250.08485180883901</c:v>
                </c:pt>
                <c:pt idx="10">
                  <c:v>229.51446189857501</c:v>
                </c:pt>
                <c:pt idx="11">
                  <c:v>209.00332850038899</c:v>
                </c:pt>
                <c:pt idx="12">
                  <c:v>260.53940557532201</c:v>
                </c:pt>
                <c:pt idx="13">
                  <c:v>249.914923586204</c:v>
                </c:pt>
                <c:pt idx="14">
                  <c:v>274.00590295971102</c:v>
                </c:pt>
                <c:pt idx="15">
                  <c:v>285.21581534035101</c:v>
                </c:pt>
                <c:pt idx="16">
                  <c:v>287.00718533416699</c:v>
                </c:pt>
                <c:pt idx="17">
                  <c:v>291.94382656536999</c:v>
                </c:pt>
                <c:pt idx="18">
                  <c:v>301.40959513603002</c:v>
                </c:pt>
                <c:pt idx="19">
                  <c:v>292.76287193616702</c:v>
                </c:pt>
                <c:pt idx="20">
                  <c:v>301.99990847070097</c:v>
                </c:pt>
                <c:pt idx="21">
                  <c:v>324.26425105831203</c:v>
                </c:pt>
                <c:pt idx="22">
                  <c:v>293.01458189016603</c:v>
                </c:pt>
                <c:pt idx="23">
                  <c:v>342.70962214588701</c:v>
                </c:pt>
              </c:numCache>
            </c:numRef>
          </c:val>
          <c:smooth val="1"/>
          <c:extLst>
            <c:ext xmlns:c16="http://schemas.microsoft.com/office/drawing/2014/chart" uri="{C3380CC4-5D6E-409C-BE32-E72D297353CC}">
              <c16:uniqueId val="{00000009-A743-4982-8807-48BFAC0390B1}"/>
            </c:ext>
          </c:extLst>
        </c:ser>
        <c:dLbls>
          <c:showLegendKey val="0"/>
          <c:showVal val="0"/>
          <c:showCatName val="0"/>
          <c:showSerName val="0"/>
          <c:showPercent val="0"/>
          <c:showBubbleSize val="0"/>
        </c:dLbls>
        <c:smooth val="0"/>
        <c:axId val="2101752664"/>
        <c:axId val="2101753976"/>
      </c:lineChart>
      <c:dateAx>
        <c:axId val="2101752664"/>
        <c:scaling>
          <c:orientation val="minMax"/>
        </c:scaling>
        <c:delete val="0"/>
        <c:axPos val="b"/>
        <c:numFmt formatCode="mmm\-yy" sourceLinked="1"/>
        <c:majorTickMark val="out"/>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1753976"/>
        <c:crosses val="autoZero"/>
        <c:auto val="1"/>
        <c:lblOffset val="100"/>
        <c:baseTimeUnit val="months"/>
      </c:dateAx>
      <c:valAx>
        <c:axId val="2101753976"/>
        <c:scaling>
          <c:orientation val="minMax"/>
        </c:scaling>
        <c:delete val="0"/>
        <c:axPos val="l"/>
        <c:majorGridlines>
          <c:spPr>
            <a:ln w="9525" cap="flat" cmpd="sng" algn="ctr">
              <a:solidFill>
                <a:schemeClr val="tx1">
                  <a:lumMod val="15000"/>
                  <a:lumOff val="85000"/>
                </a:schemeClr>
              </a:solidFill>
              <a:round/>
            </a:ln>
            <a:effectLst/>
          </c:spPr>
        </c:majorGridlines>
        <c:numFmt formatCode="_(&quot;$&quot;* #,##0_);_(&quot;$&quot;* \(#,##0\);_(&quot;$&quot;*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17526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US" dirty="0"/>
              <a:t>In-Crisis: Median vs. PMPM</a:t>
            </a:r>
          </a:p>
        </c:rich>
      </c:tx>
      <c:layout>
        <c:manualLayout>
          <c:xMode val="edge"/>
          <c:yMode val="edge"/>
          <c:x val="7.5913167104112014E-2"/>
          <c:y val="0"/>
        </c:manualLayout>
      </c:layout>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'Distribution Charts'!$A$2</c:f>
              <c:strCache>
                <c:ptCount val="1"/>
                <c:pt idx="0">
                  <c:v>2013Crisis Management</c:v>
                </c:pt>
              </c:strCache>
            </c:strRef>
          </c:tx>
          <c:spPr>
            <a:ln w="28575" cap="rnd">
              <a:solidFill>
                <a:schemeClr val="accent6"/>
              </a:solidFill>
              <a:round/>
            </a:ln>
            <a:effectLst/>
          </c:spPr>
          <c:marker>
            <c:symbol val="none"/>
          </c:marker>
          <c:val>
            <c:numRef>
              <c:f>'Distribution Charts'!$B$2:$Y$2</c:f>
              <c:numCache>
                <c:formatCode>_("$"* #,##0_);_("$"* \(#,##0\);_("$"* "-"??_);_(@_)</c:formatCode>
                <c:ptCount val="24"/>
                <c:pt idx="0">
                  <c:v>5416.2718249988757</c:v>
                </c:pt>
                <c:pt idx="1">
                  <c:v>6499.3652107467669</c:v>
                </c:pt>
                <c:pt idx="2">
                  <c:v>5227.4452481917742</c:v>
                </c:pt>
                <c:pt idx="3">
                  <c:v>5888.5965930489438</c:v>
                </c:pt>
                <c:pt idx="4">
                  <c:v>4996.906705409956</c:v>
                </c:pt>
                <c:pt idx="5">
                  <c:v>6496.7945078129478</c:v>
                </c:pt>
                <c:pt idx="6">
                  <c:v>6096.6942985019086</c:v>
                </c:pt>
                <c:pt idx="7">
                  <c:v>7787.9268913127435</c:v>
                </c:pt>
                <c:pt idx="8">
                  <c:v>8664.4664054093191</c:v>
                </c:pt>
                <c:pt idx="9">
                  <c:v>23473.812523106324</c:v>
                </c:pt>
                <c:pt idx="10">
                  <c:v>16760.063576037042</c:v>
                </c:pt>
                <c:pt idx="11">
                  <c:v>18425.29365974844</c:v>
                </c:pt>
                <c:pt idx="12">
                  <c:v>14594.372178038539</c:v>
                </c:pt>
                <c:pt idx="13">
                  <c:v>6578.0410253703794</c:v>
                </c:pt>
                <c:pt idx="14">
                  <c:v>5478.8568077673744</c:v>
                </c:pt>
                <c:pt idx="15">
                  <c:v>5770.3124991041477</c:v>
                </c:pt>
                <c:pt idx="16">
                  <c:v>6332.0029273092441</c:v>
                </c:pt>
                <c:pt idx="17">
                  <c:v>6657.0756883010217</c:v>
                </c:pt>
                <c:pt idx="18">
                  <c:v>3693.6497346822148</c:v>
                </c:pt>
                <c:pt idx="19">
                  <c:v>4549.2124000525264</c:v>
                </c:pt>
                <c:pt idx="20">
                  <c:v>7775.5664046364936</c:v>
                </c:pt>
                <c:pt idx="21">
                  <c:v>2964.9603226934696</c:v>
                </c:pt>
                <c:pt idx="22">
                  <c:v>2551.8668271748952</c:v>
                </c:pt>
                <c:pt idx="23">
                  <c:v>3503.641451133883</c:v>
                </c:pt>
              </c:numCache>
            </c:numRef>
          </c:val>
          <c:smooth val="1"/>
          <c:extLst>
            <c:ext xmlns:c16="http://schemas.microsoft.com/office/drawing/2014/chart" uri="{C3380CC4-5D6E-409C-BE32-E72D297353CC}">
              <c16:uniqueId val="{00000000-6010-4CA3-937D-A69C09926824}"/>
            </c:ext>
          </c:extLst>
        </c:ser>
        <c:ser>
          <c:idx val="1"/>
          <c:order val="1"/>
          <c:tx>
            <c:strRef>
              <c:f>'Distribution Charts'!$A$3</c:f>
              <c:strCache>
                <c:ptCount val="1"/>
                <c:pt idx="0">
                  <c:v>2014Crisis Management</c:v>
                </c:pt>
              </c:strCache>
            </c:strRef>
          </c:tx>
          <c:spPr>
            <a:ln w="28575" cap="rnd">
              <a:solidFill>
                <a:schemeClr val="accent5"/>
              </a:solidFill>
              <a:round/>
            </a:ln>
            <a:effectLst>
              <a:softEdge rad="0"/>
            </a:effectLst>
          </c:spPr>
          <c:marker>
            <c:symbol val="none"/>
          </c:marker>
          <c:val>
            <c:numRef>
              <c:f>'Distribution Charts'!$B$3:$Y$3</c:f>
              <c:numCache>
                <c:formatCode>_("$"* #,##0_);_("$"* \(#,##0\);_("$"* "-"??_);_(@_)</c:formatCode>
                <c:ptCount val="24"/>
                <c:pt idx="0">
                  <c:v>8528.6670558434016</c:v>
                </c:pt>
                <c:pt idx="1">
                  <c:v>5191.6787089166883</c:v>
                </c:pt>
                <c:pt idx="2">
                  <c:v>5216.9641031178971</c:v>
                </c:pt>
                <c:pt idx="3">
                  <c:v>4139.3597106098796</c:v>
                </c:pt>
                <c:pt idx="4">
                  <c:v>5390.7610775038465</c:v>
                </c:pt>
                <c:pt idx="5">
                  <c:v>4567.1776848205882</c:v>
                </c:pt>
                <c:pt idx="6">
                  <c:v>4431.2134002125722</c:v>
                </c:pt>
                <c:pt idx="7">
                  <c:v>10471.763523066416</c:v>
                </c:pt>
                <c:pt idx="8">
                  <c:v>10568.728648172206</c:v>
                </c:pt>
                <c:pt idx="9">
                  <c:v>14413.658871718364</c:v>
                </c:pt>
                <c:pt idx="10">
                  <c:v>18445.715003561272</c:v>
                </c:pt>
                <c:pt idx="11">
                  <c:v>21392.310735798874</c:v>
                </c:pt>
                <c:pt idx="12">
                  <c:v>6720.1500602386423</c:v>
                </c:pt>
                <c:pt idx="13">
                  <c:v>6645.0999161144964</c:v>
                </c:pt>
                <c:pt idx="14">
                  <c:v>5486.0537351749817</c:v>
                </c:pt>
                <c:pt idx="15">
                  <c:v>4660.7934166081177</c:v>
                </c:pt>
                <c:pt idx="16">
                  <c:v>5061.1665277107486</c:v>
                </c:pt>
                <c:pt idx="17">
                  <c:v>5391.6778539914658</c:v>
                </c:pt>
                <c:pt idx="18">
                  <c:v>3640.2736216832404</c:v>
                </c:pt>
                <c:pt idx="19">
                  <c:v>3131.9343561526903</c:v>
                </c:pt>
                <c:pt idx="20">
                  <c:v>4462.4441610244503</c:v>
                </c:pt>
                <c:pt idx="21">
                  <c:v>7055.6801646831345</c:v>
                </c:pt>
                <c:pt idx="22">
                  <c:v>3645.5961398931404</c:v>
                </c:pt>
                <c:pt idx="23">
                  <c:v>3158.7860180536045</c:v>
                </c:pt>
              </c:numCache>
            </c:numRef>
          </c:val>
          <c:smooth val="1"/>
          <c:extLst>
            <c:ext xmlns:c16="http://schemas.microsoft.com/office/drawing/2014/chart" uri="{C3380CC4-5D6E-409C-BE32-E72D297353CC}">
              <c16:uniqueId val="{00000001-6010-4CA3-937D-A69C09926824}"/>
            </c:ext>
          </c:extLst>
        </c:ser>
        <c:ser>
          <c:idx val="2"/>
          <c:order val="2"/>
          <c:tx>
            <c:strRef>
              <c:f>'Distribution Charts'!$A$4</c:f>
              <c:strCache>
                <c:ptCount val="1"/>
                <c:pt idx="0">
                  <c:v>MktScan Crisis Management</c:v>
                </c:pt>
              </c:strCache>
            </c:strRef>
          </c:tx>
          <c:spPr>
            <a:ln w="28575" cap="rnd">
              <a:solidFill>
                <a:schemeClr val="accent4"/>
              </a:solidFill>
              <a:round/>
            </a:ln>
            <a:effectLst/>
          </c:spPr>
          <c:marker>
            <c:symbol val="none"/>
          </c:marker>
          <c:val>
            <c:numRef>
              <c:f>'Distribution Charts'!$B$4:$Y$4</c:f>
              <c:numCache>
                <c:formatCode>_("$"* #,##0_);_("$"* \(#,##0\);_("$"* "-"??_);_(@_)</c:formatCode>
                <c:ptCount val="24"/>
                <c:pt idx="0">
                  <c:v>3869.4201787519</c:v>
                </c:pt>
                <c:pt idx="1">
                  <c:v>3775.7639967007199</c:v>
                </c:pt>
                <c:pt idx="2">
                  <c:v>4072.0690480305002</c:v>
                </c:pt>
                <c:pt idx="3">
                  <c:v>4560.9049828381503</c:v>
                </c:pt>
                <c:pt idx="4">
                  <c:v>5324.4341305486996</c:v>
                </c:pt>
                <c:pt idx="5">
                  <c:v>5093.3466408291297</c:v>
                </c:pt>
                <c:pt idx="6">
                  <c:v>6211.1059853135603</c:v>
                </c:pt>
                <c:pt idx="7">
                  <c:v>7011.7565768096902</c:v>
                </c:pt>
                <c:pt idx="8">
                  <c:v>8440.9434057782601</c:v>
                </c:pt>
                <c:pt idx="9">
                  <c:v>20170.902241644799</c:v>
                </c:pt>
                <c:pt idx="10">
                  <c:v>19633.535724441401</c:v>
                </c:pt>
                <c:pt idx="11">
                  <c:v>22228.7335192563</c:v>
                </c:pt>
                <c:pt idx="12">
                  <c:v>8863.7226465657695</c:v>
                </c:pt>
                <c:pt idx="13">
                  <c:v>6660.3692571039301</c:v>
                </c:pt>
                <c:pt idx="14">
                  <c:v>6640.0922239357096</c:v>
                </c:pt>
                <c:pt idx="15">
                  <c:v>6330.2194795985997</c:v>
                </c:pt>
                <c:pt idx="16">
                  <c:v>6099.5044936528802</c:v>
                </c:pt>
                <c:pt idx="17">
                  <c:v>5371.3876595029897</c:v>
                </c:pt>
                <c:pt idx="18">
                  <c:v>5448.6365320551804</c:v>
                </c:pt>
                <c:pt idx="19">
                  <c:v>5261.9021124434703</c:v>
                </c:pt>
                <c:pt idx="20">
                  <c:v>4889.91800682964</c:v>
                </c:pt>
                <c:pt idx="21">
                  <c:v>5142.6175723938004</c:v>
                </c:pt>
                <c:pt idx="22">
                  <c:v>4151.5393124564398</c:v>
                </c:pt>
                <c:pt idx="23">
                  <c:v>4487.1206089423004</c:v>
                </c:pt>
              </c:numCache>
            </c:numRef>
          </c:val>
          <c:smooth val="1"/>
          <c:extLst>
            <c:ext xmlns:c16="http://schemas.microsoft.com/office/drawing/2014/chart" uri="{C3380CC4-5D6E-409C-BE32-E72D297353CC}">
              <c16:uniqueId val="{00000002-6010-4CA3-937D-A69C09926824}"/>
            </c:ext>
          </c:extLst>
        </c:ser>
        <c:ser>
          <c:idx val="3"/>
          <c:order val="3"/>
          <c:tx>
            <c:strRef>
              <c:f>'Distribution Charts'!$A$5</c:f>
              <c:strCache>
                <c:ptCount val="1"/>
                <c:pt idx="0">
                  <c:v>MktScan Median</c:v>
                </c:pt>
              </c:strCache>
            </c:strRef>
          </c:tx>
          <c:spPr>
            <a:ln w="28575" cap="rnd">
              <a:solidFill>
                <a:schemeClr val="accent6">
                  <a:lumMod val="60000"/>
                </a:schemeClr>
              </a:solidFill>
              <a:round/>
            </a:ln>
            <a:effectLst/>
          </c:spPr>
          <c:marker>
            <c:symbol val="none"/>
          </c:marker>
          <c:val>
            <c:numRef>
              <c:f>'Distribution Charts'!$B$5:$Y$5</c:f>
              <c:numCache>
                <c:formatCode>_("$"* #,##0_);_("$"* \(#,##0\);_("$"* "-"??_);_(@_)</c:formatCode>
                <c:ptCount val="24"/>
                <c:pt idx="0">
                  <c:v>239.59995651200001</c:v>
                </c:pt>
                <c:pt idx="1">
                  <c:v>219.99993706000001</c:v>
                </c:pt>
                <c:pt idx="2">
                  <c:v>262.11984919999998</c:v>
                </c:pt>
                <c:pt idx="3">
                  <c:v>278.09994506999999</c:v>
                </c:pt>
                <c:pt idx="4">
                  <c:v>293.344955443</c:v>
                </c:pt>
                <c:pt idx="5">
                  <c:v>289.11993598999999</c:v>
                </c:pt>
                <c:pt idx="6">
                  <c:v>361.19489478999998</c:v>
                </c:pt>
                <c:pt idx="7">
                  <c:v>429.91991996500002</c:v>
                </c:pt>
                <c:pt idx="8">
                  <c:v>490.14982414000002</c:v>
                </c:pt>
                <c:pt idx="9">
                  <c:v>3043.28415963</c:v>
                </c:pt>
                <c:pt idx="10">
                  <c:v>4238.5089359000003</c:v>
                </c:pt>
                <c:pt idx="11">
                  <c:v>5881.5694885069997</c:v>
                </c:pt>
                <c:pt idx="12">
                  <c:v>1091.6145153</c:v>
                </c:pt>
                <c:pt idx="13">
                  <c:v>773.52982329999998</c:v>
                </c:pt>
                <c:pt idx="14">
                  <c:v>703.26986694000004</c:v>
                </c:pt>
                <c:pt idx="15">
                  <c:v>632.36968993999994</c:v>
                </c:pt>
                <c:pt idx="16">
                  <c:v>569.34476852499995</c:v>
                </c:pt>
                <c:pt idx="17">
                  <c:v>508.87982177999999</c:v>
                </c:pt>
                <c:pt idx="18">
                  <c:v>505.16979980000002</c:v>
                </c:pt>
                <c:pt idx="19">
                  <c:v>452.60990905599999</c:v>
                </c:pt>
                <c:pt idx="20">
                  <c:v>469.38483524550003</c:v>
                </c:pt>
                <c:pt idx="21">
                  <c:v>482.51988506999999</c:v>
                </c:pt>
                <c:pt idx="22">
                  <c:v>387.074855802</c:v>
                </c:pt>
                <c:pt idx="23">
                  <c:v>483.11989117100001</c:v>
                </c:pt>
              </c:numCache>
            </c:numRef>
          </c:val>
          <c:smooth val="1"/>
          <c:extLst>
            <c:ext xmlns:c16="http://schemas.microsoft.com/office/drawing/2014/chart" uri="{C3380CC4-5D6E-409C-BE32-E72D297353CC}">
              <c16:uniqueId val="{00000003-6010-4CA3-937D-A69C09926824}"/>
            </c:ext>
          </c:extLst>
        </c:ser>
        <c:dLbls>
          <c:showLegendKey val="0"/>
          <c:showVal val="0"/>
          <c:showCatName val="0"/>
          <c:showSerName val="0"/>
          <c:showPercent val="0"/>
          <c:showBubbleSize val="0"/>
        </c:dLbls>
        <c:smooth val="0"/>
        <c:axId val="1251762200"/>
        <c:axId val="1251762528"/>
      </c:lineChart>
      <c:catAx>
        <c:axId val="125176220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1762528"/>
        <c:crosses val="autoZero"/>
        <c:auto val="1"/>
        <c:lblAlgn val="ctr"/>
        <c:lblOffset val="100"/>
        <c:noMultiLvlLbl val="0"/>
      </c:catAx>
      <c:valAx>
        <c:axId val="1251762528"/>
        <c:scaling>
          <c:orientation val="minMax"/>
        </c:scaling>
        <c:delete val="0"/>
        <c:axPos val="l"/>
        <c:majorGridlines>
          <c:spPr>
            <a:ln w="9525" cap="flat" cmpd="sng" algn="ctr">
              <a:solidFill>
                <a:schemeClr val="tx1">
                  <a:lumMod val="15000"/>
                  <a:lumOff val="85000"/>
                </a:schemeClr>
              </a:solidFill>
              <a:round/>
            </a:ln>
            <a:effectLst/>
          </c:spPr>
        </c:majorGridlines>
        <c:numFmt formatCode="_(&quot;$&quot;* #,##0_);_(&quot;$&quot;* \(#,##0\);_(&quot;$&quot;*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17622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dirty="0"/>
              <a:t>Surveillance: Median vs. PMPM</a:t>
            </a:r>
          </a:p>
        </c:rich>
      </c:tx>
      <c:layout>
        <c:manualLayout>
          <c:xMode val="edge"/>
          <c:yMode val="edge"/>
          <c:x val="5.8600612423447045E-2"/>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'Distribution Charts'!$A$6</c:f>
              <c:strCache>
                <c:ptCount val="1"/>
                <c:pt idx="0">
                  <c:v>2013Surveillance</c:v>
                </c:pt>
              </c:strCache>
            </c:strRef>
          </c:tx>
          <c:spPr>
            <a:ln w="28575" cap="rnd">
              <a:solidFill>
                <a:schemeClr val="accent6"/>
              </a:solidFill>
              <a:round/>
            </a:ln>
            <a:effectLst/>
          </c:spPr>
          <c:marker>
            <c:symbol val="none"/>
          </c:marker>
          <c:val>
            <c:numRef>
              <c:f>'Distribution Charts'!$B$6:$Y$6</c:f>
              <c:numCache>
                <c:formatCode>_("$"* #,##0_);_("$"* \(#,##0\);_("$"* "-"??_);_(@_)</c:formatCode>
                <c:ptCount val="24"/>
                <c:pt idx="0">
                  <c:v>3711.5610629952562</c:v>
                </c:pt>
                <c:pt idx="1">
                  <c:v>3267.2044262284358</c:v>
                </c:pt>
                <c:pt idx="2">
                  <c:v>4193.0086332905976</c:v>
                </c:pt>
                <c:pt idx="3">
                  <c:v>3701.1144552893952</c:v>
                </c:pt>
                <c:pt idx="4">
                  <c:v>4429.8825133511136</c:v>
                </c:pt>
                <c:pt idx="5">
                  <c:v>5228.4772101855369</c:v>
                </c:pt>
                <c:pt idx="6">
                  <c:v>4813.3627971622482</c:v>
                </c:pt>
                <c:pt idx="7">
                  <c:v>4793.4141398357915</c:v>
                </c:pt>
                <c:pt idx="8">
                  <c:v>5039.0331445783668</c:v>
                </c:pt>
                <c:pt idx="9">
                  <c:v>6898.1773833014258</c:v>
                </c:pt>
                <c:pt idx="10">
                  <c:v>6018.0226386688528</c:v>
                </c:pt>
                <c:pt idx="11">
                  <c:v>6968.3690886616923</c:v>
                </c:pt>
                <c:pt idx="12">
                  <c:v>5354.4334566838097</c:v>
                </c:pt>
                <c:pt idx="13">
                  <c:v>4929.8419568426989</c:v>
                </c:pt>
                <c:pt idx="14">
                  <c:v>5134.9427331311526</c:v>
                </c:pt>
                <c:pt idx="15">
                  <c:v>4864.1825357449343</c:v>
                </c:pt>
                <c:pt idx="16">
                  <c:v>4624.2129923902421</c:v>
                </c:pt>
                <c:pt idx="17">
                  <c:v>4531.9323065516</c:v>
                </c:pt>
                <c:pt idx="18">
                  <c:v>4164.6979403006444</c:v>
                </c:pt>
                <c:pt idx="19">
                  <c:v>4520.1463527162887</c:v>
                </c:pt>
                <c:pt idx="20">
                  <c:v>3887.7855740035834</c:v>
                </c:pt>
                <c:pt idx="21">
                  <c:v>3994.2668736148862</c:v>
                </c:pt>
                <c:pt idx="22">
                  <c:v>3683.5585644795078</c:v>
                </c:pt>
                <c:pt idx="23">
                  <c:v>4040.8151973265503</c:v>
                </c:pt>
              </c:numCache>
            </c:numRef>
          </c:val>
          <c:smooth val="1"/>
          <c:extLst>
            <c:ext xmlns:c16="http://schemas.microsoft.com/office/drawing/2014/chart" uri="{C3380CC4-5D6E-409C-BE32-E72D297353CC}">
              <c16:uniqueId val="{00000000-72B4-4FAC-9881-317F8D065EBC}"/>
            </c:ext>
          </c:extLst>
        </c:ser>
        <c:ser>
          <c:idx val="1"/>
          <c:order val="1"/>
          <c:tx>
            <c:strRef>
              <c:f>'Distribution Charts'!$A$7</c:f>
              <c:strCache>
                <c:ptCount val="1"/>
                <c:pt idx="0">
                  <c:v>2014Surveillance</c:v>
                </c:pt>
              </c:strCache>
            </c:strRef>
          </c:tx>
          <c:spPr>
            <a:ln w="28575" cap="rnd">
              <a:solidFill>
                <a:schemeClr val="accent5"/>
              </a:solidFill>
              <a:round/>
            </a:ln>
            <a:effectLst>
              <a:softEdge rad="0"/>
            </a:effectLst>
          </c:spPr>
          <c:marker>
            <c:symbol val="none"/>
          </c:marker>
          <c:val>
            <c:numRef>
              <c:f>'Distribution Charts'!$B$7:$Y$7</c:f>
              <c:numCache>
                <c:formatCode>_("$"* #,##0_);_("$"* \(#,##0\);_("$"* "-"??_);_(@_)</c:formatCode>
                <c:ptCount val="24"/>
                <c:pt idx="0">
                  <c:v>3479.886205269695</c:v>
                </c:pt>
                <c:pt idx="1">
                  <c:v>3144.52114007717</c:v>
                </c:pt>
                <c:pt idx="2">
                  <c:v>4036.5070723269587</c:v>
                </c:pt>
                <c:pt idx="3">
                  <c:v>4546.2008889698564</c:v>
                </c:pt>
                <c:pt idx="4">
                  <c:v>3858.9295747858264</c:v>
                </c:pt>
                <c:pt idx="5">
                  <c:v>4705.9609257695047</c:v>
                </c:pt>
                <c:pt idx="6">
                  <c:v>5020.7147865103989</c:v>
                </c:pt>
                <c:pt idx="7">
                  <c:v>5565.0064183581444</c:v>
                </c:pt>
                <c:pt idx="8">
                  <c:v>6223.8503034694986</c:v>
                </c:pt>
                <c:pt idx="9">
                  <c:v>5788.0408560925807</c:v>
                </c:pt>
                <c:pt idx="10">
                  <c:v>5332.8885801806764</c:v>
                </c:pt>
                <c:pt idx="11">
                  <c:v>6168.3391182210617</c:v>
                </c:pt>
                <c:pt idx="12">
                  <c:v>4880.7826640946614</c:v>
                </c:pt>
                <c:pt idx="13">
                  <c:v>4237.7953043497992</c:v>
                </c:pt>
                <c:pt idx="14">
                  <c:v>4374.3582644856378</c:v>
                </c:pt>
                <c:pt idx="15">
                  <c:v>4785.0363296239666</c:v>
                </c:pt>
                <c:pt idx="16">
                  <c:v>4176.3411201544914</c:v>
                </c:pt>
                <c:pt idx="17">
                  <c:v>4310.0003319545822</c:v>
                </c:pt>
                <c:pt idx="18">
                  <c:v>4107.4031440930539</c:v>
                </c:pt>
                <c:pt idx="19">
                  <c:v>3603.9154689668999</c:v>
                </c:pt>
                <c:pt idx="20">
                  <c:v>3718.4657179261776</c:v>
                </c:pt>
                <c:pt idx="21">
                  <c:v>3857.3858276227038</c:v>
                </c:pt>
                <c:pt idx="22">
                  <c:v>3286.1383758369984</c:v>
                </c:pt>
                <c:pt idx="23">
                  <c:v>4228.9001140348264</c:v>
                </c:pt>
              </c:numCache>
            </c:numRef>
          </c:val>
          <c:smooth val="1"/>
          <c:extLst>
            <c:ext xmlns:c16="http://schemas.microsoft.com/office/drawing/2014/chart" uri="{C3380CC4-5D6E-409C-BE32-E72D297353CC}">
              <c16:uniqueId val="{00000001-72B4-4FAC-9881-317F8D065EBC}"/>
            </c:ext>
          </c:extLst>
        </c:ser>
        <c:ser>
          <c:idx val="2"/>
          <c:order val="2"/>
          <c:tx>
            <c:strRef>
              <c:f>'Distribution Charts'!$A$8</c:f>
              <c:strCache>
                <c:ptCount val="1"/>
                <c:pt idx="0">
                  <c:v>MktScan Surveillance</c:v>
                </c:pt>
              </c:strCache>
            </c:strRef>
          </c:tx>
          <c:spPr>
            <a:ln w="28575" cap="rnd">
              <a:solidFill>
                <a:schemeClr val="accent4"/>
              </a:solidFill>
              <a:round/>
            </a:ln>
            <a:effectLst/>
          </c:spPr>
          <c:marker>
            <c:symbol val="none"/>
          </c:marker>
          <c:val>
            <c:numRef>
              <c:f>'Distribution Charts'!$B$8:$Y$8</c:f>
              <c:numCache>
                <c:formatCode>_("$"* #,##0_);_("$"* \(#,##0\);_("$"* "-"??_);_(@_)</c:formatCode>
                <c:ptCount val="24"/>
                <c:pt idx="0">
                  <c:v>4071.8241023473101</c:v>
                </c:pt>
                <c:pt idx="1">
                  <c:v>4047.32056964506</c:v>
                </c:pt>
                <c:pt idx="2">
                  <c:v>4490.2908673728098</c:v>
                </c:pt>
                <c:pt idx="3">
                  <c:v>4811.8747305172001</c:v>
                </c:pt>
                <c:pt idx="4">
                  <c:v>5301.1612038048697</c:v>
                </c:pt>
                <c:pt idx="5">
                  <c:v>5124.5835499926097</c:v>
                </c:pt>
                <c:pt idx="6">
                  <c:v>5995.3762974829797</c:v>
                </c:pt>
                <c:pt idx="7">
                  <c:v>6484.8184465050999</c:v>
                </c:pt>
                <c:pt idx="8">
                  <c:v>6894.1193562835697</c:v>
                </c:pt>
                <c:pt idx="9">
                  <c:v>8456.2647026529703</c:v>
                </c:pt>
                <c:pt idx="10">
                  <c:v>7765.91929037715</c:v>
                </c:pt>
                <c:pt idx="11">
                  <c:v>7894.4505826732802</c:v>
                </c:pt>
                <c:pt idx="12">
                  <c:v>7272.1091130925997</c:v>
                </c:pt>
                <c:pt idx="13">
                  <c:v>6473.8021290337401</c:v>
                </c:pt>
                <c:pt idx="14">
                  <c:v>6142.6868918056898</c:v>
                </c:pt>
                <c:pt idx="15">
                  <c:v>5628.7354374562201</c:v>
                </c:pt>
                <c:pt idx="16">
                  <c:v>5503.9804379073403</c:v>
                </c:pt>
                <c:pt idx="17">
                  <c:v>5208.21171719825</c:v>
                </c:pt>
                <c:pt idx="18">
                  <c:v>5432.8465371024604</c:v>
                </c:pt>
                <c:pt idx="19">
                  <c:v>4789.5295022895498</c:v>
                </c:pt>
                <c:pt idx="20">
                  <c:v>4724.8713194550201</c:v>
                </c:pt>
                <c:pt idx="21">
                  <c:v>4861.2043056822204</c:v>
                </c:pt>
                <c:pt idx="22">
                  <c:v>4286.0109906233001</c:v>
                </c:pt>
                <c:pt idx="23">
                  <c:v>4802.8247760573604</c:v>
                </c:pt>
              </c:numCache>
            </c:numRef>
          </c:val>
          <c:smooth val="1"/>
          <c:extLst>
            <c:ext xmlns:c16="http://schemas.microsoft.com/office/drawing/2014/chart" uri="{C3380CC4-5D6E-409C-BE32-E72D297353CC}">
              <c16:uniqueId val="{00000002-72B4-4FAC-9881-317F8D065EBC}"/>
            </c:ext>
          </c:extLst>
        </c:ser>
        <c:ser>
          <c:idx val="3"/>
          <c:order val="3"/>
          <c:tx>
            <c:strRef>
              <c:f>'Distribution Charts'!$A$9</c:f>
              <c:strCache>
                <c:ptCount val="1"/>
                <c:pt idx="0">
                  <c:v>MktScan Median</c:v>
                </c:pt>
              </c:strCache>
            </c:strRef>
          </c:tx>
          <c:spPr>
            <a:ln w="28575" cap="rnd">
              <a:solidFill>
                <a:schemeClr val="accent6">
                  <a:lumMod val="60000"/>
                </a:schemeClr>
              </a:solidFill>
              <a:round/>
            </a:ln>
            <a:effectLst/>
          </c:spPr>
          <c:marker>
            <c:symbol val="none"/>
          </c:marker>
          <c:dLbls>
            <c:dLbl>
              <c:idx val="0"/>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72B4-4FAC-9881-317F8D065EBC}"/>
                </c:ext>
              </c:extLst>
            </c:dLbl>
            <c:dLbl>
              <c:idx val="11"/>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72B4-4FAC-9881-317F8D065EBC}"/>
                </c:ext>
              </c:extLst>
            </c:dLbl>
            <c:dLbl>
              <c:idx val="23"/>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72B4-4FAC-9881-317F8D065EB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'Distribution Charts'!$B$9:$Y$9</c:f>
              <c:numCache>
                <c:formatCode>_("$"* #,##0_);_("$"* \(#,##0\);_("$"* "-"??_);_(@_)</c:formatCode>
                <c:ptCount val="24"/>
                <c:pt idx="0">
                  <c:v>372.21984672000002</c:v>
                </c:pt>
                <c:pt idx="1">
                  <c:v>346.96975708000002</c:v>
                </c:pt>
                <c:pt idx="2">
                  <c:v>427.8998909</c:v>
                </c:pt>
                <c:pt idx="3">
                  <c:v>511.75985527249998</c:v>
                </c:pt>
                <c:pt idx="4">
                  <c:v>556</c:v>
                </c:pt>
                <c:pt idx="5">
                  <c:v>582.69977623249997</c:v>
                </c:pt>
                <c:pt idx="6">
                  <c:v>824.95974731900003</c:v>
                </c:pt>
                <c:pt idx="7">
                  <c:v>1032.1396331799999</c:v>
                </c:pt>
                <c:pt idx="8">
                  <c:v>1278.5696258999999</c:v>
                </c:pt>
                <c:pt idx="9">
                  <c:v>2489.2195511</c:v>
                </c:pt>
                <c:pt idx="10">
                  <c:v>2139.1193733324999</c:v>
                </c:pt>
                <c:pt idx="11">
                  <c:v>2084.0244879900001</c:v>
                </c:pt>
                <c:pt idx="12">
                  <c:v>1142.8046350499999</c:v>
                </c:pt>
                <c:pt idx="13">
                  <c:v>836.88978290499995</c:v>
                </c:pt>
                <c:pt idx="14">
                  <c:v>869.72969819000002</c:v>
                </c:pt>
                <c:pt idx="15">
                  <c:v>800.50978087999999</c:v>
                </c:pt>
                <c:pt idx="16">
                  <c:v>736.91978454000002</c:v>
                </c:pt>
                <c:pt idx="17">
                  <c:v>703.42978668000001</c:v>
                </c:pt>
                <c:pt idx="18">
                  <c:v>675.14976501499996</c:v>
                </c:pt>
                <c:pt idx="19">
                  <c:v>605.11980818999996</c:v>
                </c:pt>
                <c:pt idx="20">
                  <c:v>620.52981566999995</c:v>
                </c:pt>
                <c:pt idx="21">
                  <c:v>693.07463455000004</c:v>
                </c:pt>
                <c:pt idx="22">
                  <c:v>517.59982491000005</c:v>
                </c:pt>
                <c:pt idx="23">
                  <c:v>649.70950316999995</c:v>
                </c:pt>
              </c:numCache>
            </c:numRef>
          </c:val>
          <c:smooth val="1"/>
          <c:extLst>
            <c:ext xmlns:c16="http://schemas.microsoft.com/office/drawing/2014/chart" uri="{C3380CC4-5D6E-409C-BE32-E72D297353CC}">
              <c16:uniqueId val="{00000006-72B4-4FAC-9881-317F8D065EBC}"/>
            </c:ext>
          </c:extLst>
        </c:ser>
        <c:dLbls>
          <c:showLegendKey val="0"/>
          <c:showVal val="0"/>
          <c:showCatName val="0"/>
          <c:showSerName val="0"/>
          <c:showPercent val="0"/>
          <c:showBubbleSize val="0"/>
        </c:dLbls>
        <c:smooth val="0"/>
        <c:axId val="1251762200"/>
        <c:axId val="1251762528"/>
      </c:lineChart>
      <c:catAx>
        <c:axId val="125176220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1762528"/>
        <c:crosses val="autoZero"/>
        <c:auto val="1"/>
        <c:lblAlgn val="ctr"/>
        <c:lblOffset val="100"/>
        <c:noMultiLvlLbl val="0"/>
      </c:catAx>
      <c:valAx>
        <c:axId val="1251762528"/>
        <c:scaling>
          <c:orientation val="minMax"/>
        </c:scaling>
        <c:delete val="0"/>
        <c:axPos val="l"/>
        <c:majorGridlines>
          <c:spPr>
            <a:ln w="9525" cap="flat" cmpd="sng" algn="ctr">
              <a:solidFill>
                <a:schemeClr val="tx1">
                  <a:lumMod val="15000"/>
                  <a:lumOff val="85000"/>
                </a:schemeClr>
              </a:solidFill>
              <a:round/>
            </a:ln>
            <a:effectLst/>
          </c:spPr>
        </c:majorGridlines>
        <c:numFmt formatCode="_(&quot;$&quot;* #,##0_);_(&quot;$&quot;* \(#,##0\);_(&quot;$&quot;*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17622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Rebalancing: Median vs. PMPM</a:t>
            </a:r>
          </a:p>
        </c:rich>
      </c:tx>
      <c:layout>
        <c:manualLayout>
          <c:xMode val="edge"/>
          <c:yMode val="edge"/>
          <c:x val="5.8899278215223123E-2"/>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'Distribution Charts'!$A$10</c:f>
              <c:strCache>
                <c:ptCount val="1"/>
                <c:pt idx="0">
                  <c:v>2013Rebalancing</c:v>
                </c:pt>
              </c:strCache>
            </c:strRef>
          </c:tx>
          <c:spPr>
            <a:ln w="28575" cap="rnd">
              <a:solidFill>
                <a:schemeClr val="accent6"/>
              </a:solidFill>
              <a:round/>
            </a:ln>
            <a:effectLst/>
          </c:spPr>
          <c:marker>
            <c:symbol val="none"/>
          </c:marker>
          <c:val>
            <c:numRef>
              <c:f>'Distribution Charts'!$B$10:$Y$10</c:f>
              <c:numCache>
                <c:formatCode>_("$"* #,##0_);_("$"* \(#,##0\);_("$"* "-"??_);_(@_)</c:formatCode>
                <c:ptCount val="24"/>
                <c:pt idx="0">
                  <c:v>934.85573352228585</c:v>
                </c:pt>
                <c:pt idx="1">
                  <c:v>673.33645928063788</c:v>
                </c:pt>
                <c:pt idx="2">
                  <c:v>647.46822952971218</c:v>
                </c:pt>
                <c:pt idx="3">
                  <c:v>700.17814636836999</c:v>
                </c:pt>
                <c:pt idx="4">
                  <c:v>747.67627332362269</c:v>
                </c:pt>
                <c:pt idx="5">
                  <c:v>673.14172413401207</c:v>
                </c:pt>
                <c:pt idx="6">
                  <c:v>771.37509487885018</c:v>
                </c:pt>
                <c:pt idx="7">
                  <c:v>619.04377560782723</c:v>
                </c:pt>
                <c:pt idx="8">
                  <c:v>1322.6917992756732</c:v>
                </c:pt>
                <c:pt idx="9">
                  <c:v>2493.063623765036</c:v>
                </c:pt>
                <c:pt idx="10">
                  <c:v>1723.4198631673996</c:v>
                </c:pt>
                <c:pt idx="11">
                  <c:v>2253.8419024112659</c:v>
                </c:pt>
                <c:pt idx="12">
                  <c:v>1280.7433851133335</c:v>
                </c:pt>
                <c:pt idx="13">
                  <c:v>1304.5978261408852</c:v>
                </c:pt>
                <c:pt idx="14">
                  <c:v>1153.81808575214</c:v>
                </c:pt>
                <c:pt idx="15">
                  <c:v>1424.2256694787152</c:v>
                </c:pt>
                <c:pt idx="16">
                  <c:v>1115.5507478044287</c:v>
                </c:pt>
                <c:pt idx="17">
                  <c:v>1135.3615112882999</c:v>
                </c:pt>
                <c:pt idx="18">
                  <c:v>1007.825161191466</c:v>
                </c:pt>
                <c:pt idx="19">
                  <c:v>927.77573244717871</c:v>
                </c:pt>
                <c:pt idx="20">
                  <c:v>939.46747276091742</c:v>
                </c:pt>
                <c:pt idx="21">
                  <c:v>920.3022207431062</c:v>
                </c:pt>
                <c:pt idx="22">
                  <c:v>915.66906372856465</c:v>
                </c:pt>
                <c:pt idx="23">
                  <c:v>1134.5172824530569</c:v>
                </c:pt>
              </c:numCache>
            </c:numRef>
          </c:val>
          <c:smooth val="1"/>
          <c:extLst>
            <c:ext xmlns:c16="http://schemas.microsoft.com/office/drawing/2014/chart" uri="{C3380CC4-5D6E-409C-BE32-E72D297353CC}">
              <c16:uniqueId val="{00000000-B808-46D6-96D1-3FDEED6C8FA0}"/>
            </c:ext>
          </c:extLst>
        </c:ser>
        <c:ser>
          <c:idx val="1"/>
          <c:order val="1"/>
          <c:tx>
            <c:strRef>
              <c:f>'Distribution Charts'!$A$11</c:f>
              <c:strCache>
                <c:ptCount val="1"/>
                <c:pt idx="0">
                  <c:v>2014Rebalancing</c:v>
                </c:pt>
              </c:strCache>
            </c:strRef>
          </c:tx>
          <c:spPr>
            <a:ln w="28575" cap="rnd">
              <a:solidFill>
                <a:schemeClr val="accent5"/>
              </a:solidFill>
              <a:round/>
            </a:ln>
            <a:effectLst>
              <a:softEdge rad="0"/>
            </a:effectLst>
          </c:spPr>
          <c:marker>
            <c:symbol val="none"/>
          </c:marker>
          <c:val>
            <c:numRef>
              <c:f>'Distribution Charts'!$B$11:$Y$11</c:f>
              <c:numCache>
                <c:formatCode>_("$"* #,##0_);_("$"* \(#,##0\);_("$"* "-"??_);_(@_)</c:formatCode>
                <c:ptCount val="24"/>
                <c:pt idx="0">
                  <c:v>771.71881294491334</c:v>
                </c:pt>
                <c:pt idx="1">
                  <c:v>820.21040068632954</c:v>
                </c:pt>
                <c:pt idx="2">
                  <c:v>695.15057893755306</c:v>
                </c:pt>
                <c:pt idx="3">
                  <c:v>763.25230341026099</c:v>
                </c:pt>
                <c:pt idx="4">
                  <c:v>810.74056873366044</c:v>
                </c:pt>
                <c:pt idx="5">
                  <c:v>1319.5201579694851</c:v>
                </c:pt>
                <c:pt idx="6">
                  <c:v>947.4732079144743</c:v>
                </c:pt>
                <c:pt idx="7">
                  <c:v>873.88832410800762</c:v>
                </c:pt>
                <c:pt idx="8">
                  <c:v>1717.222320017017</c:v>
                </c:pt>
                <c:pt idx="9">
                  <c:v>2545.1957873167453</c:v>
                </c:pt>
                <c:pt idx="10">
                  <c:v>1954.5179723463546</c:v>
                </c:pt>
                <c:pt idx="11">
                  <c:v>2246.3568268767376</c:v>
                </c:pt>
                <c:pt idx="12">
                  <c:v>1347.890341693995</c:v>
                </c:pt>
                <c:pt idx="13">
                  <c:v>965.36989219521217</c:v>
                </c:pt>
                <c:pt idx="14">
                  <c:v>1101.7359570507024</c:v>
                </c:pt>
                <c:pt idx="15">
                  <c:v>1154.1443080943068</c:v>
                </c:pt>
                <c:pt idx="16">
                  <c:v>1042.9412314805863</c:v>
                </c:pt>
                <c:pt idx="17">
                  <c:v>1186.0127371541605</c:v>
                </c:pt>
                <c:pt idx="18">
                  <c:v>1119.827677075795</c:v>
                </c:pt>
                <c:pt idx="19">
                  <c:v>1019.6732340866245</c:v>
                </c:pt>
                <c:pt idx="20">
                  <c:v>969.84876753830304</c:v>
                </c:pt>
                <c:pt idx="21">
                  <c:v>1373.0558365129946</c:v>
                </c:pt>
                <c:pt idx="22">
                  <c:v>995.21905168189983</c:v>
                </c:pt>
                <c:pt idx="23">
                  <c:v>1185.6652890363732</c:v>
                </c:pt>
              </c:numCache>
            </c:numRef>
          </c:val>
          <c:smooth val="1"/>
          <c:extLst>
            <c:ext xmlns:c16="http://schemas.microsoft.com/office/drawing/2014/chart" uri="{C3380CC4-5D6E-409C-BE32-E72D297353CC}">
              <c16:uniqueId val="{00000001-B808-46D6-96D1-3FDEED6C8FA0}"/>
            </c:ext>
          </c:extLst>
        </c:ser>
        <c:ser>
          <c:idx val="2"/>
          <c:order val="2"/>
          <c:tx>
            <c:strRef>
              <c:f>'Distribution Charts'!$A$12</c:f>
              <c:strCache>
                <c:ptCount val="1"/>
                <c:pt idx="0">
                  <c:v>MktScan Rebalancing</c:v>
                </c:pt>
              </c:strCache>
            </c:strRef>
          </c:tx>
          <c:spPr>
            <a:ln w="28575" cap="rnd">
              <a:solidFill>
                <a:schemeClr val="accent4"/>
              </a:solidFill>
              <a:round/>
            </a:ln>
            <a:effectLst/>
          </c:spPr>
          <c:marker>
            <c:symbol val="none"/>
          </c:marker>
          <c:val>
            <c:numRef>
              <c:f>'Distribution Charts'!$B$12:$Y$12</c:f>
              <c:numCache>
                <c:formatCode>_("$"* #,##0_);_("$"* \(#,##0\);_("$"* "-"??_);_(@_)</c:formatCode>
                <c:ptCount val="24"/>
                <c:pt idx="0">
                  <c:v>762.63779245217995</c:v>
                </c:pt>
                <c:pt idx="1">
                  <c:v>648.87789183721804</c:v>
                </c:pt>
                <c:pt idx="2">
                  <c:v>698.60021201715904</c:v>
                </c:pt>
                <c:pt idx="3">
                  <c:v>724.61583586677705</c:v>
                </c:pt>
                <c:pt idx="4">
                  <c:v>735.551094974428</c:v>
                </c:pt>
                <c:pt idx="5">
                  <c:v>692.27037207341198</c:v>
                </c:pt>
                <c:pt idx="6">
                  <c:v>891.54705515158105</c:v>
                </c:pt>
                <c:pt idx="7">
                  <c:v>1006.0139234691</c:v>
                </c:pt>
                <c:pt idx="8">
                  <c:v>1196.37772499722</c:v>
                </c:pt>
                <c:pt idx="9">
                  <c:v>1936.9938855405501</c:v>
                </c:pt>
                <c:pt idx="10">
                  <c:v>1796.04715757144</c:v>
                </c:pt>
                <c:pt idx="11">
                  <c:v>1958.8438847740599</c:v>
                </c:pt>
                <c:pt idx="12">
                  <c:v>1252.6723181289699</c:v>
                </c:pt>
                <c:pt idx="13">
                  <c:v>1018.33562859419</c:v>
                </c:pt>
                <c:pt idx="14">
                  <c:v>1072.6138759693799</c:v>
                </c:pt>
                <c:pt idx="15">
                  <c:v>1008.78749886477</c:v>
                </c:pt>
                <c:pt idx="16">
                  <c:v>1006.32028075946</c:v>
                </c:pt>
                <c:pt idx="17">
                  <c:v>936.78172527943298</c:v>
                </c:pt>
                <c:pt idx="18">
                  <c:v>929.39420161305998</c:v>
                </c:pt>
                <c:pt idx="19">
                  <c:v>907.00495197429598</c:v>
                </c:pt>
                <c:pt idx="20">
                  <c:v>911.5433591835</c:v>
                </c:pt>
                <c:pt idx="21">
                  <c:v>978.20509494992496</c:v>
                </c:pt>
                <c:pt idx="22">
                  <c:v>875.21698158815195</c:v>
                </c:pt>
                <c:pt idx="23">
                  <c:v>992.29936752363994</c:v>
                </c:pt>
              </c:numCache>
            </c:numRef>
          </c:val>
          <c:smooth val="1"/>
          <c:extLst>
            <c:ext xmlns:c16="http://schemas.microsoft.com/office/drawing/2014/chart" uri="{C3380CC4-5D6E-409C-BE32-E72D297353CC}">
              <c16:uniqueId val="{00000002-B808-46D6-96D1-3FDEED6C8FA0}"/>
            </c:ext>
          </c:extLst>
        </c:ser>
        <c:ser>
          <c:idx val="3"/>
          <c:order val="3"/>
          <c:tx>
            <c:strRef>
              <c:f>'Distribution Charts'!$A$13</c:f>
              <c:strCache>
                <c:ptCount val="1"/>
                <c:pt idx="0">
                  <c:v>MktScan Median</c:v>
                </c:pt>
              </c:strCache>
            </c:strRef>
          </c:tx>
          <c:spPr>
            <a:ln w="28575" cap="rnd">
              <a:solidFill>
                <a:schemeClr val="accent6">
                  <a:lumMod val="60000"/>
                </a:schemeClr>
              </a:solidFill>
              <a:round/>
            </a:ln>
            <a:effectLst/>
          </c:spPr>
          <c:marker>
            <c:symbol val="none"/>
          </c:marker>
          <c:dLbls>
            <c:dLbl>
              <c:idx val="0"/>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808-46D6-96D1-3FDEED6C8FA0}"/>
                </c:ext>
              </c:extLst>
            </c:dLbl>
            <c:dLbl>
              <c:idx val="11"/>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B808-46D6-96D1-3FDEED6C8FA0}"/>
                </c:ext>
              </c:extLst>
            </c:dLbl>
            <c:dLbl>
              <c:idx val="23"/>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808-46D6-96D1-3FDEED6C8FA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'Distribution Charts'!$B$13:$Y$13</c:f>
              <c:numCache>
                <c:formatCode>_("$"* #,##0_);_("$"* \(#,##0\);_("$"* "-"??_);_(@_)</c:formatCode>
                <c:ptCount val="24"/>
                <c:pt idx="0">
                  <c:v>48.089992522999999</c:v>
                </c:pt>
                <c:pt idx="1">
                  <c:v>27.249986648499998</c:v>
                </c:pt>
                <c:pt idx="2">
                  <c:v>41.869979858500002</c:v>
                </c:pt>
                <c:pt idx="3">
                  <c:v>45.099990845000001</c:v>
                </c:pt>
                <c:pt idx="4">
                  <c:v>44.879981995000001</c:v>
                </c:pt>
                <c:pt idx="5">
                  <c:v>26.809982300000001</c:v>
                </c:pt>
                <c:pt idx="6">
                  <c:v>35.539978026999997</c:v>
                </c:pt>
                <c:pt idx="7">
                  <c:v>46.859985352000002</c:v>
                </c:pt>
                <c:pt idx="8">
                  <c:v>56.449981688999998</c:v>
                </c:pt>
                <c:pt idx="9">
                  <c:v>232.97992229600001</c:v>
                </c:pt>
                <c:pt idx="10">
                  <c:v>235.81986236629999</c:v>
                </c:pt>
                <c:pt idx="11">
                  <c:v>242.94995116999999</c:v>
                </c:pt>
                <c:pt idx="12">
                  <c:v>116.35998535</c:v>
                </c:pt>
                <c:pt idx="13">
                  <c:v>86.959960937999995</c:v>
                </c:pt>
                <c:pt idx="14">
                  <c:v>96.839988708000007</c:v>
                </c:pt>
                <c:pt idx="15">
                  <c:v>96.949962616099995</c:v>
                </c:pt>
                <c:pt idx="16">
                  <c:v>89.414962768500004</c:v>
                </c:pt>
                <c:pt idx="17">
                  <c:v>82.354980468999997</c:v>
                </c:pt>
                <c:pt idx="18">
                  <c:v>80.409942627000007</c:v>
                </c:pt>
                <c:pt idx="19">
                  <c:v>75.169975281000006</c:v>
                </c:pt>
                <c:pt idx="20">
                  <c:v>85.5199775695</c:v>
                </c:pt>
                <c:pt idx="21">
                  <c:v>107.854978563</c:v>
                </c:pt>
                <c:pt idx="22">
                  <c:v>85.084968566499995</c:v>
                </c:pt>
                <c:pt idx="23">
                  <c:v>111</c:v>
                </c:pt>
              </c:numCache>
            </c:numRef>
          </c:val>
          <c:smooth val="1"/>
          <c:extLst>
            <c:ext xmlns:c16="http://schemas.microsoft.com/office/drawing/2014/chart" uri="{C3380CC4-5D6E-409C-BE32-E72D297353CC}">
              <c16:uniqueId val="{00000006-B808-46D6-96D1-3FDEED6C8FA0}"/>
            </c:ext>
          </c:extLst>
        </c:ser>
        <c:dLbls>
          <c:showLegendKey val="0"/>
          <c:showVal val="0"/>
          <c:showCatName val="0"/>
          <c:showSerName val="0"/>
          <c:showPercent val="0"/>
          <c:showBubbleSize val="0"/>
        </c:dLbls>
        <c:smooth val="0"/>
        <c:axId val="1251762200"/>
        <c:axId val="1251762528"/>
      </c:lineChart>
      <c:catAx>
        <c:axId val="125176220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1762528"/>
        <c:crosses val="autoZero"/>
        <c:auto val="1"/>
        <c:lblAlgn val="ctr"/>
        <c:lblOffset val="100"/>
        <c:noMultiLvlLbl val="0"/>
      </c:catAx>
      <c:valAx>
        <c:axId val="1251762528"/>
        <c:scaling>
          <c:orientation val="minMax"/>
        </c:scaling>
        <c:delete val="0"/>
        <c:axPos val="l"/>
        <c:majorGridlines>
          <c:spPr>
            <a:ln w="9525" cap="flat" cmpd="sng" algn="ctr">
              <a:solidFill>
                <a:schemeClr val="tx1">
                  <a:lumMod val="15000"/>
                  <a:lumOff val="85000"/>
                </a:schemeClr>
              </a:solidFill>
              <a:round/>
            </a:ln>
            <a:effectLst/>
          </c:spPr>
        </c:majorGridlines>
        <c:numFmt formatCode="_(&quot;$&quot;* #,##0_);_(&quot;$&quot;* \(#,##0\);_(&quot;$&quot;*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17622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Recovery Guidance: Median vs. PMPM</a:t>
            </a:r>
          </a:p>
        </c:rich>
      </c:tx>
      <c:layout>
        <c:manualLayout>
          <c:xMode val="edge"/>
          <c:yMode val="edge"/>
          <c:x val="6.6458333333333328E-2"/>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'Distribution Charts'!$A$14</c:f>
              <c:strCache>
                <c:ptCount val="1"/>
                <c:pt idx="0">
                  <c:v>2013Recovery Guidance</c:v>
                </c:pt>
              </c:strCache>
            </c:strRef>
          </c:tx>
          <c:spPr>
            <a:ln w="28575" cap="rnd">
              <a:solidFill>
                <a:schemeClr val="accent6"/>
              </a:solidFill>
              <a:round/>
            </a:ln>
            <a:effectLst/>
          </c:spPr>
          <c:marker>
            <c:symbol val="none"/>
          </c:marker>
          <c:val>
            <c:numRef>
              <c:f>'Distribution Charts'!$B$14:$Y$14</c:f>
              <c:numCache>
                <c:formatCode>_("$"* #,##0_);_("$"* \(#,##0\);_("$"* "-"??_);_(@_)</c:formatCode>
                <c:ptCount val="24"/>
                <c:pt idx="0">
                  <c:v>801.24740828555286</c:v>
                </c:pt>
                <c:pt idx="1">
                  <c:v>968.94625059635314</c:v>
                </c:pt>
                <c:pt idx="2">
                  <c:v>976.03233373128683</c:v>
                </c:pt>
                <c:pt idx="3">
                  <c:v>1983.3705707873407</c:v>
                </c:pt>
                <c:pt idx="4">
                  <c:v>1108.2309073615622</c:v>
                </c:pt>
                <c:pt idx="5">
                  <c:v>1533.9979124821987</c:v>
                </c:pt>
                <c:pt idx="6">
                  <c:v>2085.7603113461882</c:v>
                </c:pt>
                <c:pt idx="7">
                  <c:v>1833.7937191914093</c:v>
                </c:pt>
                <c:pt idx="8">
                  <c:v>1804.1221511197411</c:v>
                </c:pt>
                <c:pt idx="9">
                  <c:v>2661.1539068434417</c:v>
                </c:pt>
                <c:pt idx="10">
                  <c:v>3459.1162590695053</c:v>
                </c:pt>
                <c:pt idx="11">
                  <c:v>17220.876580671775</c:v>
                </c:pt>
                <c:pt idx="12">
                  <c:v>2456.4509122454388</c:v>
                </c:pt>
                <c:pt idx="13">
                  <c:v>2142.10013511327</c:v>
                </c:pt>
                <c:pt idx="14">
                  <c:v>2672.4344436476299</c:v>
                </c:pt>
                <c:pt idx="15">
                  <c:v>2141.8534200660579</c:v>
                </c:pt>
                <c:pt idx="16">
                  <c:v>1762.9077406570268</c:v>
                </c:pt>
                <c:pt idx="17">
                  <c:v>1559.7141722724509</c:v>
                </c:pt>
                <c:pt idx="18">
                  <c:v>1814.765024341154</c:v>
                </c:pt>
                <c:pt idx="19">
                  <c:v>1769.9322555238939</c:v>
                </c:pt>
                <c:pt idx="20">
                  <c:v>1431.5295335365968</c:v>
                </c:pt>
                <c:pt idx="21">
                  <c:v>1493.1210234578593</c:v>
                </c:pt>
                <c:pt idx="22">
                  <c:v>856.87314898226259</c:v>
                </c:pt>
                <c:pt idx="23">
                  <c:v>1523.2285603269706</c:v>
                </c:pt>
              </c:numCache>
            </c:numRef>
          </c:val>
          <c:smooth val="1"/>
          <c:extLst>
            <c:ext xmlns:c16="http://schemas.microsoft.com/office/drawing/2014/chart" uri="{C3380CC4-5D6E-409C-BE32-E72D297353CC}">
              <c16:uniqueId val="{00000000-124E-44DF-94F0-070332DFC152}"/>
            </c:ext>
          </c:extLst>
        </c:ser>
        <c:ser>
          <c:idx val="1"/>
          <c:order val="1"/>
          <c:tx>
            <c:strRef>
              <c:f>'Distribution Charts'!$A$15</c:f>
              <c:strCache>
                <c:ptCount val="1"/>
                <c:pt idx="0">
                  <c:v>2014Recovery Guidance</c:v>
                </c:pt>
              </c:strCache>
            </c:strRef>
          </c:tx>
          <c:spPr>
            <a:ln w="28575" cap="rnd">
              <a:solidFill>
                <a:schemeClr val="accent5"/>
              </a:solidFill>
              <a:round/>
            </a:ln>
            <a:effectLst>
              <a:softEdge rad="0"/>
            </a:effectLst>
          </c:spPr>
          <c:marker>
            <c:symbol val="none"/>
          </c:marker>
          <c:val>
            <c:numRef>
              <c:f>'Distribution Charts'!$B$15:$Y$15</c:f>
              <c:numCache>
                <c:formatCode>_("$"* #,##0_);_("$"* \(#,##0\);_("$"* "-"??_);_(@_)</c:formatCode>
                <c:ptCount val="24"/>
                <c:pt idx="0">
                  <c:v>746.04067228461429</c:v>
                </c:pt>
                <c:pt idx="1">
                  <c:v>585.42034983975589</c:v>
                </c:pt>
                <c:pt idx="2">
                  <c:v>734.228188994005</c:v>
                </c:pt>
                <c:pt idx="3">
                  <c:v>1288.6826358484782</c:v>
                </c:pt>
                <c:pt idx="4">
                  <c:v>1776.8228150006717</c:v>
                </c:pt>
                <c:pt idx="5">
                  <c:v>1512.9948917031727</c:v>
                </c:pt>
                <c:pt idx="6">
                  <c:v>1091.4854769666374</c:v>
                </c:pt>
                <c:pt idx="7">
                  <c:v>1090.6390172926911</c:v>
                </c:pt>
                <c:pt idx="8">
                  <c:v>1189.248894609309</c:v>
                </c:pt>
                <c:pt idx="9">
                  <c:v>1888.3343239703038</c:v>
                </c:pt>
                <c:pt idx="10">
                  <c:v>2982.8497995764824</c:v>
                </c:pt>
                <c:pt idx="11">
                  <c:v>15064.305801777335</c:v>
                </c:pt>
                <c:pt idx="12">
                  <c:v>2245.0459756061532</c:v>
                </c:pt>
                <c:pt idx="13">
                  <c:v>1929.8838839227908</c:v>
                </c:pt>
                <c:pt idx="14">
                  <c:v>1555.0601443153303</c:v>
                </c:pt>
                <c:pt idx="15">
                  <c:v>1305.5229378450213</c:v>
                </c:pt>
                <c:pt idx="16">
                  <c:v>1302.7676825139583</c:v>
                </c:pt>
                <c:pt idx="17">
                  <c:v>1137.7000589452894</c:v>
                </c:pt>
                <c:pt idx="18">
                  <c:v>1018.7704516127612</c:v>
                </c:pt>
                <c:pt idx="19">
                  <c:v>934.58645090754453</c:v>
                </c:pt>
                <c:pt idx="20">
                  <c:v>1070.3194613904004</c:v>
                </c:pt>
                <c:pt idx="21">
                  <c:v>2180.335662562024</c:v>
                </c:pt>
                <c:pt idx="22">
                  <c:v>2132.5884286611554</c:v>
                </c:pt>
                <c:pt idx="23">
                  <c:v>1721.6007301518905</c:v>
                </c:pt>
              </c:numCache>
            </c:numRef>
          </c:val>
          <c:smooth val="1"/>
          <c:extLst>
            <c:ext xmlns:c16="http://schemas.microsoft.com/office/drawing/2014/chart" uri="{C3380CC4-5D6E-409C-BE32-E72D297353CC}">
              <c16:uniqueId val="{00000001-124E-44DF-94F0-070332DFC152}"/>
            </c:ext>
          </c:extLst>
        </c:ser>
        <c:ser>
          <c:idx val="2"/>
          <c:order val="2"/>
          <c:tx>
            <c:strRef>
              <c:f>'Distribution Charts'!$A$16</c:f>
              <c:strCache>
                <c:ptCount val="1"/>
                <c:pt idx="0">
                  <c:v>MktScanRecovery Guidance</c:v>
                </c:pt>
              </c:strCache>
            </c:strRef>
          </c:tx>
          <c:spPr>
            <a:ln w="28575" cap="rnd">
              <a:solidFill>
                <a:schemeClr val="accent4"/>
              </a:solidFill>
              <a:round/>
            </a:ln>
            <a:effectLst/>
          </c:spPr>
          <c:marker>
            <c:symbol val="none"/>
          </c:marker>
          <c:val>
            <c:numRef>
              <c:f>'Distribution Charts'!$B$16:$Y$16</c:f>
              <c:numCache>
                <c:formatCode>_("$"* #,##0_);_("$"* \(#,##0\);_("$"* "-"??_);_(@_)</c:formatCode>
                <c:ptCount val="24"/>
                <c:pt idx="0">
                  <c:v>1147.1459060330999</c:v>
                </c:pt>
                <c:pt idx="1">
                  <c:v>1258.5667924639899</c:v>
                </c:pt>
                <c:pt idx="2">
                  <c:v>1266.19223210072</c:v>
                </c:pt>
                <c:pt idx="3">
                  <c:v>1464.8675570624</c:v>
                </c:pt>
                <c:pt idx="4">
                  <c:v>1323.5824340797501</c:v>
                </c:pt>
                <c:pt idx="5">
                  <c:v>1326.1096664302599</c:v>
                </c:pt>
                <c:pt idx="6">
                  <c:v>1421.76859019483</c:v>
                </c:pt>
                <c:pt idx="7">
                  <c:v>1352.2866572267401</c:v>
                </c:pt>
                <c:pt idx="8">
                  <c:v>1535.4111487347</c:v>
                </c:pt>
                <c:pt idx="9">
                  <c:v>1808.17167131678</c:v>
                </c:pt>
                <c:pt idx="10">
                  <c:v>3976.7327785119101</c:v>
                </c:pt>
                <c:pt idx="11">
                  <c:v>18336.071869696199</c:v>
                </c:pt>
                <c:pt idx="12">
                  <c:v>1912.33722386213</c:v>
                </c:pt>
                <c:pt idx="13">
                  <c:v>1403.1074801106299</c:v>
                </c:pt>
                <c:pt idx="14">
                  <c:v>1445.4635476866099</c:v>
                </c:pt>
                <c:pt idx="15">
                  <c:v>1203.2251494386201</c:v>
                </c:pt>
                <c:pt idx="16">
                  <c:v>1158.8922963207799</c:v>
                </c:pt>
                <c:pt idx="17">
                  <c:v>1225.4607445849299</c:v>
                </c:pt>
                <c:pt idx="18">
                  <c:v>1173.92011029079</c:v>
                </c:pt>
                <c:pt idx="19">
                  <c:v>1214.0129262176799</c:v>
                </c:pt>
                <c:pt idx="20">
                  <c:v>1071.9347911739401</c:v>
                </c:pt>
                <c:pt idx="21">
                  <c:v>1186.0301258857701</c:v>
                </c:pt>
                <c:pt idx="22">
                  <c:v>1127.4430645211601</c:v>
                </c:pt>
                <c:pt idx="23">
                  <c:v>1294.47735601932</c:v>
                </c:pt>
              </c:numCache>
            </c:numRef>
          </c:val>
          <c:smooth val="1"/>
          <c:extLst>
            <c:ext xmlns:c16="http://schemas.microsoft.com/office/drawing/2014/chart" uri="{C3380CC4-5D6E-409C-BE32-E72D297353CC}">
              <c16:uniqueId val="{00000002-124E-44DF-94F0-070332DFC152}"/>
            </c:ext>
          </c:extLst>
        </c:ser>
        <c:ser>
          <c:idx val="3"/>
          <c:order val="3"/>
          <c:tx>
            <c:strRef>
              <c:f>'Distribution Charts'!$A$17</c:f>
              <c:strCache>
                <c:ptCount val="1"/>
                <c:pt idx="0">
                  <c:v>MktScan Median</c:v>
                </c:pt>
              </c:strCache>
            </c:strRef>
          </c:tx>
          <c:spPr>
            <a:ln w="28575" cap="rnd">
              <a:solidFill>
                <a:schemeClr val="accent6">
                  <a:lumMod val="60000"/>
                </a:schemeClr>
              </a:solidFill>
              <a:round/>
            </a:ln>
            <a:effectLst/>
          </c:spPr>
          <c:marker>
            <c:symbol val="none"/>
          </c:marker>
          <c:dLbls>
            <c:dLbl>
              <c:idx val="0"/>
              <c:layout>
                <c:manualLayout>
                  <c:x val="-2.612704918032787E-2"/>
                  <c:y val="6.162657502863688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124E-44DF-94F0-070332DFC152}"/>
                </c:ext>
              </c:extLst>
            </c:dLbl>
            <c:dLbl>
              <c:idx val="11"/>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124E-44DF-94F0-070332DFC152}"/>
                </c:ext>
              </c:extLst>
            </c:dLbl>
            <c:dLbl>
              <c:idx val="23"/>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124E-44DF-94F0-070332DFC15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'Distribution Charts'!$B$17:$Y$17</c:f>
              <c:numCache>
                <c:formatCode>_("$"* #,##0_);_("$"* \(#,##0\);_("$"* "-"??_);_(@_)</c:formatCode>
                <c:ptCount val="24"/>
                <c:pt idx="0">
                  <c:v>77</c:v>
                </c:pt>
                <c:pt idx="1">
                  <c:v>53.574985503999997</c:v>
                </c:pt>
                <c:pt idx="2">
                  <c:v>67.319946289000001</c:v>
                </c:pt>
                <c:pt idx="3">
                  <c:v>139.40998363</c:v>
                </c:pt>
                <c:pt idx="4">
                  <c:v>257.00989722899999</c:v>
                </c:pt>
                <c:pt idx="5">
                  <c:v>179.65995407</c:v>
                </c:pt>
                <c:pt idx="6">
                  <c:v>222.75490569999999</c:v>
                </c:pt>
                <c:pt idx="7">
                  <c:v>206.4849567375</c:v>
                </c:pt>
                <c:pt idx="8">
                  <c:v>166.61999512</c:v>
                </c:pt>
                <c:pt idx="9">
                  <c:v>228.249950407</c:v>
                </c:pt>
                <c:pt idx="10">
                  <c:v>403.79493284199998</c:v>
                </c:pt>
                <c:pt idx="11">
                  <c:v>12667.129991455</c:v>
                </c:pt>
                <c:pt idx="12">
                  <c:v>186.784927372</c:v>
                </c:pt>
                <c:pt idx="13">
                  <c:v>142.20498656999999</c:v>
                </c:pt>
                <c:pt idx="14">
                  <c:v>93.569938660000005</c:v>
                </c:pt>
                <c:pt idx="15">
                  <c:v>100.37496948499999</c:v>
                </c:pt>
                <c:pt idx="16">
                  <c:v>70.499992371000005</c:v>
                </c:pt>
                <c:pt idx="17">
                  <c:v>89.589965820000003</c:v>
                </c:pt>
                <c:pt idx="18">
                  <c:v>58.509979248</c:v>
                </c:pt>
                <c:pt idx="19">
                  <c:v>51.924976348999998</c:v>
                </c:pt>
                <c:pt idx="20">
                  <c:v>77.704976558699997</c:v>
                </c:pt>
                <c:pt idx="21">
                  <c:v>77.434967040999993</c:v>
                </c:pt>
                <c:pt idx="22">
                  <c:v>48.949981688999998</c:v>
                </c:pt>
                <c:pt idx="23">
                  <c:v>99.299987793</c:v>
                </c:pt>
              </c:numCache>
            </c:numRef>
          </c:val>
          <c:smooth val="1"/>
          <c:extLst>
            <c:ext xmlns:c16="http://schemas.microsoft.com/office/drawing/2014/chart" uri="{C3380CC4-5D6E-409C-BE32-E72D297353CC}">
              <c16:uniqueId val="{00000006-124E-44DF-94F0-070332DFC152}"/>
            </c:ext>
          </c:extLst>
        </c:ser>
        <c:dLbls>
          <c:showLegendKey val="0"/>
          <c:showVal val="0"/>
          <c:showCatName val="0"/>
          <c:showSerName val="0"/>
          <c:showPercent val="0"/>
          <c:showBubbleSize val="0"/>
        </c:dLbls>
        <c:smooth val="0"/>
        <c:axId val="1251762200"/>
        <c:axId val="1251762528"/>
      </c:lineChart>
      <c:catAx>
        <c:axId val="125176220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1762528"/>
        <c:crosses val="autoZero"/>
        <c:auto val="1"/>
        <c:lblAlgn val="ctr"/>
        <c:lblOffset val="100"/>
        <c:noMultiLvlLbl val="0"/>
      </c:catAx>
      <c:valAx>
        <c:axId val="1251762528"/>
        <c:scaling>
          <c:orientation val="minMax"/>
        </c:scaling>
        <c:delete val="0"/>
        <c:axPos val="l"/>
        <c:majorGridlines>
          <c:spPr>
            <a:ln w="9525" cap="flat" cmpd="sng" algn="ctr">
              <a:solidFill>
                <a:schemeClr val="tx1">
                  <a:lumMod val="15000"/>
                  <a:lumOff val="85000"/>
                </a:schemeClr>
              </a:solidFill>
              <a:round/>
            </a:ln>
            <a:effectLst/>
          </c:spPr>
        </c:majorGridlines>
        <c:numFmt formatCode="_(&quot;$&quot;* #,##0_);_(&quot;$&quot;* \(#,##0\);_(&quot;$&quot;*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17622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dirty="0"/>
              <a:t>Monitoring: Median vs. PMPM</a:t>
            </a:r>
          </a:p>
        </c:rich>
      </c:tx>
      <c:layout>
        <c:manualLayout>
          <c:xMode val="edge"/>
          <c:yMode val="edge"/>
          <c:x val="4.9503390201224851E-2"/>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'Distribution Charts'!$A$18</c:f>
              <c:strCache>
                <c:ptCount val="1"/>
                <c:pt idx="0">
                  <c:v>2013Monitoring</c:v>
                </c:pt>
              </c:strCache>
            </c:strRef>
          </c:tx>
          <c:spPr>
            <a:ln w="28575" cap="rnd">
              <a:solidFill>
                <a:schemeClr val="accent6"/>
              </a:solidFill>
              <a:round/>
            </a:ln>
            <a:effectLst/>
          </c:spPr>
          <c:marker>
            <c:symbol val="none"/>
          </c:marker>
          <c:val>
            <c:numRef>
              <c:f>'Distribution Charts'!$B$18:$Y$18</c:f>
              <c:numCache>
                <c:formatCode>_("$"* #,##0_);_("$"* \(#,##0\);_("$"* "-"??_);_(@_)</c:formatCode>
                <c:ptCount val="24"/>
                <c:pt idx="0">
                  <c:v>1679.0938038674794</c:v>
                </c:pt>
                <c:pt idx="1">
                  <c:v>1521.0534730022293</c:v>
                </c:pt>
                <c:pt idx="2">
                  <c:v>1778.4701689732854</c:v>
                </c:pt>
                <c:pt idx="3">
                  <c:v>1661.1631618492445</c:v>
                </c:pt>
                <c:pt idx="4">
                  <c:v>2025.9375325421108</c:v>
                </c:pt>
                <c:pt idx="5">
                  <c:v>2554.4091508696838</c:v>
                </c:pt>
                <c:pt idx="6">
                  <c:v>3023.6646084407539</c:v>
                </c:pt>
                <c:pt idx="7">
                  <c:v>2678.4996203882042</c:v>
                </c:pt>
                <c:pt idx="8">
                  <c:v>2201.6284931323171</c:v>
                </c:pt>
                <c:pt idx="9">
                  <c:v>1712.2509731886455</c:v>
                </c:pt>
                <c:pt idx="10">
                  <c:v>1480.5195992730357</c:v>
                </c:pt>
                <c:pt idx="11">
                  <c:v>1541.2707119351505</c:v>
                </c:pt>
                <c:pt idx="12">
                  <c:v>1665.3947912853471</c:v>
                </c:pt>
                <c:pt idx="13">
                  <c:v>1373.2174362639935</c:v>
                </c:pt>
                <c:pt idx="14">
                  <c:v>1739.8999034072804</c:v>
                </c:pt>
                <c:pt idx="15">
                  <c:v>1508.9169219312716</c:v>
                </c:pt>
                <c:pt idx="16">
                  <c:v>1383.9952755506258</c:v>
                </c:pt>
                <c:pt idx="17">
                  <c:v>1514.6601542240851</c:v>
                </c:pt>
                <c:pt idx="18">
                  <c:v>1970.5586078126257</c:v>
                </c:pt>
                <c:pt idx="19">
                  <c:v>1548.1219969740494</c:v>
                </c:pt>
                <c:pt idx="20">
                  <c:v>2247.6978483316566</c:v>
                </c:pt>
                <c:pt idx="21">
                  <c:v>1528.0036162126835</c:v>
                </c:pt>
                <c:pt idx="22">
                  <c:v>1514.5560878318431</c:v>
                </c:pt>
                <c:pt idx="23">
                  <c:v>1701.400464254762</c:v>
                </c:pt>
              </c:numCache>
            </c:numRef>
          </c:val>
          <c:smooth val="1"/>
          <c:extLst>
            <c:ext xmlns:c16="http://schemas.microsoft.com/office/drawing/2014/chart" uri="{C3380CC4-5D6E-409C-BE32-E72D297353CC}">
              <c16:uniqueId val="{00000000-3418-49BA-998A-637555BC9684}"/>
            </c:ext>
          </c:extLst>
        </c:ser>
        <c:ser>
          <c:idx val="1"/>
          <c:order val="1"/>
          <c:tx>
            <c:strRef>
              <c:f>'Distribution Charts'!$A$19</c:f>
              <c:strCache>
                <c:ptCount val="1"/>
                <c:pt idx="0">
                  <c:v>2014Monitoring</c:v>
                </c:pt>
              </c:strCache>
            </c:strRef>
          </c:tx>
          <c:spPr>
            <a:ln w="28575" cap="rnd">
              <a:solidFill>
                <a:schemeClr val="accent5"/>
              </a:solidFill>
              <a:round/>
            </a:ln>
            <a:effectLst>
              <a:softEdge rad="0"/>
            </a:effectLst>
          </c:spPr>
          <c:marker>
            <c:symbol val="none"/>
          </c:marker>
          <c:val>
            <c:numRef>
              <c:f>'Distribution Charts'!$B$19:$Y$19</c:f>
              <c:numCache>
                <c:formatCode>_("$"* #,##0_);_("$"* \(#,##0\);_("$"* "-"??_);_(@_)</c:formatCode>
                <c:ptCount val="24"/>
                <c:pt idx="0">
                  <c:v>1741.8658412968814</c:v>
                </c:pt>
                <c:pt idx="1">
                  <c:v>1664.4270605399795</c:v>
                </c:pt>
                <c:pt idx="2">
                  <c:v>1883.59117119547</c:v>
                </c:pt>
                <c:pt idx="3">
                  <c:v>1986.7715907609909</c:v>
                </c:pt>
                <c:pt idx="4">
                  <c:v>1976.9775009287478</c:v>
                </c:pt>
                <c:pt idx="5">
                  <c:v>2040.7487264207346</c:v>
                </c:pt>
                <c:pt idx="6">
                  <c:v>2814.469477108189</c:v>
                </c:pt>
                <c:pt idx="7">
                  <c:v>2230.0427449140402</c:v>
                </c:pt>
                <c:pt idx="8">
                  <c:v>2533.0827118151001</c:v>
                </c:pt>
                <c:pt idx="9">
                  <c:v>1572.1502961580898</c:v>
                </c:pt>
                <c:pt idx="10">
                  <c:v>1326.8334529516919</c:v>
                </c:pt>
                <c:pt idx="11">
                  <c:v>1662.6296881959424</c:v>
                </c:pt>
                <c:pt idx="12">
                  <c:v>1643.7332645551865</c:v>
                </c:pt>
                <c:pt idx="13">
                  <c:v>1358.5896930753042</c:v>
                </c:pt>
                <c:pt idx="14">
                  <c:v>1785.7886687128034</c:v>
                </c:pt>
                <c:pt idx="15">
                  <c:v>1623.1670641119181</c:v>
                </c:pt>
                <c:pt idx="16">
                  <c:v>1404.318861042824</c:v>
                </c:pt>
                <c:pt idx="17">
                  <c:v>1525.0997099306037</c:v>
                </c:pt>
                <c:pt idx="18">
                  <c:v>1537.2259288478026</c:v>
                </c:pt>
                <c:pt idx="19">
                  <c:v>1704.7508295409675</c:v>
                </c:pt>
                <c:pt idx="20">
                  <c:v>1638.2619652782341</c:v>
                </c:pt>
                <c:pt idx="21">
                  <c:v>1702.9453617217348</c:v>
                </c:pt>
                <c:pt idx="22">
                  <c:v>1531.1214085600368</c:v>
                </c:pt>
                <c:pt idx="23">
                  <c:v>2036.9623712401055</c:v>
                </c:pt>
              </c:numCache>
            </c:numRef>
          </c:val>
          <c:smooth val="1"/>
          <c:extLst>
            <c:ext xmlns:c16="http://schemas.microsoft.com/office/drawing/2014/chart" uri="{C3380CC4-5D6E-409C-BE32-E72D297353CC}">
              <c16:uniqueId val="{00000001-3418-49BA-998A-637555BC9684}"/>
            </c:ext>
          </c:extLst>
        </c:ser>
        <c:ser>
          <c:idx val="2"/>
          <c:order val="2"/>
          <c:tx>
            <c:strRef>
              <c:f>'Distribution Charts'!$A$20</c:f>
              <c:strCache>
                <c:ptCount val="1"/>
                <c:pt idx="0">
                  <c:v>MktScan Monitoring</c:v>
                </c:pt>
              </c:strCache>
            </c:strRef>
          </c:tx>
          <c:spPr>
            <a:ln w="28575" cap="rnd">
              <a:solidFill>
                <a:schemeClr val="accent4"/>
              </a:solidFill>
              <a:round/>
            </a:ln>
            <a:effectLst/>
          </c:spPr>
          <c:marker>
            <c:symbol val="none"/>
          </c:marker>
          <c:val>
            <c:numRef>
              <c:f>'Distribution Charts'!$B$20:$Y$20</c:f>
              <c:numCache>
                <c:formatCode>_("$"* #,##0_);_("$"* \(#,##0\);_("$"* "-"??_);_(@_)</c:formatCode>
                <c:ptCount val="24"/>
                <c:pt idx="0">
                  <c:v>1597.5767216336601</c:v>
                </c:pt>
                <c:pt idx="1">
                  <c:v>1531.62546445354</c:v>
                </c:pt>
                <c:pt idx="2">
                  <c:v>1682.3540853090601</c:v>
                </c:pt>
                <c:pt idx="3">
                  <c:v>1808.3206314786901</c:v>
                </c:pt>
                <c:pt idx="4">
                  <c:v>1947.91564296557</c:v>
                </c:pt>
                <c:pt idx="5">
                  <c:v>1961.1012317345601</c:v>
                </c:pt>
                <c:pt idx="6">
                  <c:v>2458.5660502250998</c:v>
                </c:pt>
                <c:pt idx="7">
                  <c:v>2395.8102474984298</c:v>
                </c:pt>
                <c:pt idx="8">
                  <c:v>2223.3164273058101</c:v>
                </c:pt>
                <c:pt idx="9">
                  <c:v>1648.7280817087899</c:v>
                </c:pt>
                <c:pt idx="10">
                  <c:v>1406.47869500569</c:v>
                </c:pt>
                <c:pt idx="11">
                  <c:v>1431.6056231596799</c:v>
                </c:pt>
                <c:pt idx="12">
                  <c:v>1628.96541122961</c:v>
                </c:pt>
                <c:pt idx="13">
                  <c:v>1492.23352684774</c:v>
                </c:pt>
                <c:pt idx="14">
                  <c:v>1687.37782912486</c:v>
                </c:pt>
                <c:pt idx="15">
                  <c:v>1650.8886154454599</c:v>
                </c:pt>
                <c:pt idx="16">
                  <c:v>1626.1548843870501</c:v>
                </c:pt>
                <c:pt idx="17">
                  <c:v>1619.8058035966601</c:v>
                </c:pt>
                <c:pt idx="18">
                  <c:v>1697.38462052159</c:v>
                </c:pt>
                <c:pt idx="19">
                  <c:v>1704.548369314</c:v>
                </c:pt>
                <c:pt idx="20">
                  <c:v>1638.06693879554</c:v>
                </c:pt>
                <c:pt idx="21">
                  <c:v>1799.56142949948</c:v>
                </c:pt>
                <c:pt idx="22">
                  <c:v>1509.35988109304</c:v>
                </c:pt>
                <c:pt idx="23">
                  <c:v>1755.70732724562</c:v>
                </c:pt>
              </c:numCache>
            </c:numRef>
          </c:val>
          <c:smooth val="1"/>
          <c:extLst>
            <c:ext xmlns:c16="http://schemas.microsoft.com/office/drawing/2014/chart" uri="{C3380CC4-5D6E-409C-BE32-E72D297353CC}">
              <c16:uniqueId val="{00000002-3418-49BA-998A-637555BC9684}"/>
            </c:ext>
          </c:extLst>
        </c:ser>
        <c:ser>
          <c:idx val="3"/>
          <c:order val="3"/>
          <c:tx>
            <c:strRef>
              <c:f>'Distribution Charts'!$A$21</c:f>
              <c:strCache>
                <c:ptCount val="1"/>
                <c:pt idx="0">
                  <c:v>MktScan Median</c:v>
                </c:pt>
              </c:strCache>
            </c:strRef>
          </c:tx>
          <c:spPr>
            <a:ln w="28575" cap="rnd">
              <a:solidFill>
                <a:schemeClr val="accent6">
                  <a:lumMod val="60000"/>
                </a:schemeClr>
              </a:solidFill>
              <a:round/>
            </a:ln>
            <a:effectLst/>
          </c:spPr>
          <c:marker>
            <c:symbol val="none"/>
          </c:marker>
          <c:dLbls>
            <c:dLbl>
              <c:idx val="0"/>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3418-49BA-998A-637555BC9684}"/>
                </c:ext>
              </c:extLst>
            </c:dLbl>
            <c:dLbl>
              <c:idx val="11"/>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3418-49BA-998A-637555BC9684}"/>
                </c:ext>
              </c:extLst>
            </c:dLbl>
            <c:dLbl>
              <c:idx val="23"/>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3418-49BA-998A-637555BC968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'Distribution Charts'!$B$21:$Y$21</c:f>
              <c:numCache>
                <c:formatCode>_("$"* #,##0_);_("$"* \(#,##0\);_("$"* "-"??_);_(@_)</c:formatCode>
                <c:ptCount val="24"/>
                <c:pt idx="0">
                  <c:v>269.91490554749998</c:v>
                </c:pt>
                <c:pt idx="1">
                  <c:v>238.36991309999999</c:v>
                </c:pt>
                <c:pt idx="2">
                  <c:v>267.58992386</c:v>
                </c:pt>
                <c:pt idx="3">
                  <c:v>298.84991454999999</c:v>
                </c:pt>
                <c:pt idx="4">
                  <c:v>323.96991730000002</c:v>
                </c:pt>
                <c:pt idx="5">
                  <c:v>301.85991287000002</c:v>
                </c:pt>
                <c:pt idx="6">
                  <c:v>365.44995498499998</c:v>
                </c:pt>
                <c:pt idx="7">
                  <c:v>383.91986846999998</c:v>
                </c:pt>
                <c:pt idx="8">
                  <c:v>369.2299489975</c:v>
                </c:pt>
                <c:pt idx="9">
                  <c:v>390.49990081800001</c:v>
                </c:pt>
                <c:pt idx="10">
                  <c:v>326.36997222999997</c:v>
                </c:pt>
                <c:pt idx="11">
                  <c:v>332.23992728799999</c:v>
                </c:pt>
                <c:pt idx="12">
                  <c:v>292.10998534999999</c:v>
                </c:pt>
                <c:pt idx="13">
                  <c:v>261.08992767699999</c:v>
                </c:pt>
                <c:pt idx="14">
                  <c:v>293.68999481200001</c:v>
                </c:pt>
                <c:pt idx="15">
                  <c:v>293.83990096899998</c:v>
                </c:pt>
                <c:pt idx="16">
                  <c:v>290.61492920000001</c:v>
                </c:pt>
                <c:pt idx="17">
                  <c:v>280.0599060015</c:v>
                </c:pt>
                <c:pt idx="18">
                  <c:v>291.38982867850001</c:v>
                </c:pt>
                <c:pt idx="19">
                  <c:v>279.44995117000002</c:v>
                </c:pt>
                <c:pt idx="20">
                  <c:v>290.849918366</c:v>
                </c:pt>
                <c:pt idx="21">
                  <c:v>317.21986293399999</c:v>
                </c:pt>
                <c:pt idx="22">
                  <c:v>261.59992123000001</c:v>
                </c:pt>
                <c:pt idx="23">
                  <c:v>308.63986205999998</c:v>
                </c:pt>
              </c:numCache>
            </c:numRef>
          </c:val>
          <c:smooth val="1"/>
          <c:extLst>
            <c:ext xmlns:c16="http://schemas.microsoft.com/office/drawing/2014/chart" uri="{C3380CC4-5D6E-409C-BE32-E72D297353CC}">
              <c16:uniqueId val="{00000006-3418-49BA-998A-637555BC9684}"/>
            </c:ext>
          </c:extLst>
        </c:ser>
        <c:dLbls>
          <c:showLegendKey val="0"/>
          <c:showVal val="0"/>
          <c:showCatName val="0"/>
          <c:showSerName val="0"/>
          <c:showPercent val="0"/>
          <c:showBubbleSize val="0"/>
        </c:dLbls>
        <c:smooth val="0"/>
        <c:axId val="1251762200"/>
        <c:axId val="1251762528"/>
      </c:lineChart>
      <c:catAx>
        <c:axId val="125176220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1762528"/>
        <c:crosses val="autoZero"/>
        <c:auto val="1"/>
        <c:lblAlgn val="ctr"/>
        <c:lblOffset val="100"/>
        <c:noMultiLvlLbl val="0"/>
      </c:catAx>
      <c:valAx>
        <c:axId val="1251762528"/>
        <c:scaling>
          <c:orientation val="minMax"/>
        </c:scaling>
        <c:delete val="0"/>
        <c:axPos val="l"/>
        <c:majorGridlines>
          <c:spPr>
            <a:ln w="9525" cap="flat" cmpd="sng" algn="ctr">
              <a:solidFill>
                <a:schemeClr val="tx1">
                  <a:lumMod val="15000"/>
                  <a:lumOff val="85000"/>
                </a:schemeClr>
              </a:solidFill>
              <a:round/>
            </a:ln>
            <a:effectLst/>
          </c:spPr>
        </c:majorGridlines>
        <c:numFmt formatCode="_(&quot;$&quot;* #,##0_);_(&quot;$&quot;* \(#,##0\);_(&quot;$&quot;*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17622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dirty="0"/>
              <a:t>Coordination: Median vs. PMPM</a:t>
            </a:r>
          </a:p>
        </c:rich>
      </c:tx>
      <c:layout>
        <c:manualLayout>
          <c:xMode val="edge"/>
          <c:yMode val="edge"/>
          <c:x val="4.2545056867891479E-2"/>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'Distribution Charts'!$A$22</c:f>
              <c:strCache>
                <c:ptCount val="1"/>
                <c:pt idx="0">
                  <c:v>2013Coordination</c:v>
                </c:pt>
              </c:strCache>
            </c:strRef>
          </c:tx>
          <c:spPr>
            <a:ln w="28575" cap="rnd">
              <a:solidFill>
                <a:schemeClr val="accent6"/>
              </a:solidFill>
              <a:round/>
            </a:ln>
            <a:effectLst/>
          </c:spPr>
          <c:marker>
            <c:symbol val="none"/>
          </c:marker>
          <c:val>
            <c:numRef>
              <c:f>'Distribution Charts'!$B$22:$Y$22</c:f>
              <c:numCache>
                <c:formatCode>_("$"* #,##0_);_("$"* \(#,##0\);_("$"* "-"??_);_(@_)</c:formatCode>
                <c:ptCount val="24"/>
                <c:pt idx="0">
                  <c:v>2509.2369207337629</c:v>
                </c:pt>
                <c:pt idx="1">
                  <c:v>2565.5634459032885</c:v>
                </c:pt>
                <c:pt idx="2">
                  <c:v>3154.6667979582926</c:v>
                </c:pt>
                <c:pt idx="3">
                  <c:v>2810.261785595912</c:v>
                </c:pt>
                <c:pt idx="4">
                  <c:v>3344.6598798504833</c:v>
                </c:pt>
                <c:pt idx="5">
                  <c:v>2394.5406512790387</c:v>
                </c:pt>
                <c:pt idx="6">
                  <c:v>2113.9077858210735</c:v>
                </c:pt>
                <c:pt idx="7">
                  <c:v>2520.3002086271513</c:v>
                </c:pt>
                <c:pt idx="8">
                  <c:v>2156.667460217996</c:v>
                </c:pt>
                <c:pt idx="9">
                  <c:v>1838.5910463595519</c:v>
                </c:pt>
                <c:pt idx="10">
                  <c:v>1911.7936954504264</c:v>
                </c:pt>
                <c:pt idx="11">
                  <c:v>1533.2732696826163</c:v>
                </c:pt>
                <c:pt idx="12">
                  <c:v>1742.4680202241761</c:v>
                </c:pt>
                <c:pt idx="13">
                  <c:v>1788.8472096890316</c:v>
                </c:pt>
                <c:pt idx="14">
                  <c:v>1779.6400340126709</c:v>
                </c:pt>
                <c:pt idx="15">
                  <c:v>2089.3999031865983</c:v>
                </c:pt>
                <c:pt idx="16">
                  <c:v>1753.1905640269949</c:v>
                </c:pt>
                <c:pt idx="17">
                  <c:v>1777.2356611221298</c:v>
                </c:pt>
                <c:pt idx="18">
                  <c:v>2208.8383731904723</c:v>
                </c:pt>
                <c:pt idx="19">
                  <c:v>2017.3754083303957</c:v>
                </c:pt>
                <c:pt idx="20">
                  <c:v>2887.4903291643072</c:v>
                </c:pt>
                <c:pt idx="21">
                  <c:v>2375.3646112219276</c:v>
                </c:pt>
                <c:pt idx="22">
                  <c:v>2057.656767417644</c:v>
                </c:pt>
                <c:pt idx="23">
                  <c:v>2450.0641522525739</c:v>
                </c:pt>
              </c:numCache>
            </c:numRef>
          </c:val>
          <c:smooth val="1"/>
          <c:extLst>
            <c:ext xmlns:c16="http://schemas.microsoft.com/office/drawing/2014/chart" uri="{C3380CC4-5D6E-409C-BE32-E72D297353CC}">
              <c16:uniqueId val="{00000000-B00D-4F5C-ABE7-555214A1CD2C}"/>
            </c:ext>
          </c:extLst>
        </c:ser>
        <c:ser>
          <c:idx val="1"/>
          <c:order val="1"/>
          <c:tx>
            <c:strRef>
              <c:f>'Distribution Charts'!$A$23</c:f>
              <c:strCache>
                <c:ptCount val="1"/>
                <c:pt idx="0">
                  <c:v>2014Coordination</c:v>
                </c:pt>
              </c:strCache>
            </c:strRef>
          </c:tx>
          <c:spPr>
            <a:ln w="28575" cap="rnd">
              <a:solidFill>
                <a:schemeClr val="accent5"/>
              </a:solidFill>
              <a:round/>
            </a:ln>
            <a:effectLst>
              <a:softEdge rad="0"/>
            </a:effectLst>
          </c:spPr>
          <c:marker>
            <c:symbol val="none"/>
          </c:marker>
          <c:val>
            <c:numRef>
              <c:f>'Distribution Charts'!$B$23:$Y$23</c:f>
              <c:numCache>
                <c:formatCode>_("$"* #,##0_);_("$"* \(#,##0\);_("$"* "-"??_);_(@_)</c:formatCode>
                <c:ptCount val="24"/>
                <c:pt idx="0">
                  <c:v>2220.7848365038076</c:v>
                </c:pt>
                <c:pt idx="1">
                  <c:v>2048.2795308039622</c:v>
                </c:pt>
                <c:pt idx="2">
                  <c:v>2430.4938239009543</c:v>
                </c:pt>
                <c:pt idx="3">
                  <c:v>2338.3757365423394</c:v>
                </c:pt>
                <c:pt idx="4">
                  <c:v>2049.3437800355778</c:v>
                </c:pt>
                <c:pt idx="5">
                  <c:v>2275.887916824448</c:v>
                </c:pt>
                <c:pt idx="6">
                  <c:v>2144.0570848219509</c:v>
                </c:pt>
                <c:pt idx="7">
                  <c:v>2132.0270607812308</c:v>
                </c:pt>
                <c:pt idx="8">
                  <c:v>2119.7747734693544</c:v>
                </c:pt>
                <c:pt idx="9">
                  <c:v>2018.3390381067566</c:v>
                </c:pt>
                <c:pt idx="10">
                  <c:v>1740.219042839364</c:v>
                </c:pt>
                <c:pt idx="11">
                  <c:v>1912.3051832423184</c:v>
                </c:pt>
                <c:pt idx="12">
                  <c:v>1674.1547562576282</c:v>
                </c:pt>
                <c:pt idx="13">
                  <c:v>1659.6680478014921</c:v>
                </c:pt>
                <c:pt idx="14">
                  <c:v>1720.814687523522</c:v>
                </c:pt>
                <c:pt idx="15">
                  <c:v>1785.1793721745605</c:v>
                </c:pt>
                <c:pt idx="16">
                  <c:v>1605.6915964458778</c:v>
                </c:pt>
                <c:pt idx="17">
                  <c:v>2360.8269432163006</c:v>
                </c:pt>
                <c:pt idx="18">
                  <c:v>1960.3069692020488</c:v>
                </c:pt>
                <c:pt idx="19">
                  <c:v>2066.1639526870931</c:v>
                </c:pt>
                <c:pt idx="20">
                  <c:v>2026.6148106413148</c:v>
                </c:pt>
                <c:pt idx="21">
                  <c:v>2377.0743583437652</c:v>
                </c:pt>
                <c:pt idx="22">
                  <c:v>1865.157088432966</c:v>
                </c:pt>
                <c:pt idx="23">
                  <c:v>2257.8209678497537</c:v>
                </c:pt>
              </c:numCache>
            </c:numRef>
          </c:val>
          <c:smooth val="1"/>
          <c:extLst>
            <c:ext xmlns:c16="http://schemas.microsoft.com/office/drawing/2014/chart" uri="{C3380CC4-5D6E-409C-BE32-E72D297353CC}">
              <c16:uniqueId val="{00000001-B00D-4F5C-ABE7-555214A1CD2C}"/>
            </c:ext>
          </c:extLst>
        </c:ser>
        <c:ser>
          <c:idx val="2"/>
          <c:order val="2"/>
          <c:tx>
            <c:strRef>
              <c:f>'Distribution Charts'!$A$24</c:f>
              <c:strCache>
                <c:ptCount val="1"/>
                <c:pt idx="0">
                  <c:v>MktScan Coordination</c:v>
                </c:pt>
              </c:strCache>
            </c:strRef>
          </c:tx>
          <c:spPr>
            <a:ln w="28575" cap="rnd">
              <a:solidFill>
                <a:schemeClr val="accent4"/>
              </a:solidFill>
              <a:round/>
            </a:ln>
            <a:effectLst/>
          </c:spPr>
          <c:marker>
            <c:symbol val="none"/>
          </c:marker>
          <c:val>
            <c:numRef>
              <c:f>'Distribution Charts'!$B$24:$Y$24</c:f>
              <c:numCache>
                <c:formatCode>_("$"* #,##0_);_("$"* \(#,##0\);_("$"* "-"??_);_(@_)</c:formatCode>
                <c:ptCount val="24"/>
                <c:pt idx="0">
                  <c:v>2030.67604967956</c:v>
                </c:pt>
                <c:pt idx="1">
                  <c:v>1984.32621407949</c:v>
                </c:pt>
                <c:pt idx="2">
                  <c:v>2008.73304393231</c:v>
                </c:pt>
                <c:pt idx="3">
                  <c:v>2117.8230752071599</c:v>
                </c:pt>
                <c:pt idx="4">
                  <c:v>2049.8075974188</c:v>
                </c:pt>
                <c:pt idx="5">
                  <c:v>1881.53903414622</c:v>
                </c:pt>
                <c:pt idx="6">
                  <c:v>1851.5443388915</c:v>
                </c:pt>
                <c:pt idx="7">
                  <c:v>1776.27867148583</c:v>
                </c:pt>
                <c:pt idx="8">
                  <c:v>1632.06769941212</c:v>
                </c:pt>
                <c:pt idx="9">
                  <c:v>1594.8242153538599</c:v>
                </c:pt>
                <c:pt idx="10">
                  <c:v>1366.10040409987</c:v>
                </c:pt>
                <c:pt idx="11">
                  <c:v>1200.1488782594399</c:v>
                </c:pt>
                <c:pt idx="12">
                  <c:v>1472.0575406501</c:v>
                </c:pt>
                <c:pt idx="13">
                  <c:v>1387.3143090988101</c:v>
                </c:pt>
                <c:pt idx="14">
                  <c:v>1531.6377099404201</c:v>
                </c:pt>
                <c:pt idx="15">
                  <c:v>1582.46421328059</c:v>
                </c:pt>
                <c:pt idx="16">
                  <c:v>1586.1825242324801</c:v>
                </c:pt>
                <c:pt idx="17">
                  <c:v>1615.30032447289</c:v>
                </c:pt>
                <c:pt idx="18">
                  <c:v>1664.7078147181001</c:v>
                </c:pt>
                <c:pt idx="19">
                  <c:v>1604.89907688979</c:v>
                </c:pt>
                <c:pt idx="20">
                  <c:v>1639.6380095289601</c:v>
                </c:pt>
                <c:pt idx="21">
                  <c:v>1714.4727297178199</c:v>
                </c:pt>
                <c:pt idx="22">
                  <c:v>1517.8022060191799</c:v>
                </c:pt>
                <c:pt idx="23">
                  <c:v>1833.5425747351801</c:v>
                </c:pt>
              </c:numCache>
            </c:numRef>
          </c:val>
          <c:smooth val="1"/>
          <c:extLst>
            <c:ext xmlns:c16="http://schemas.microsoft.com/office/drawing/2014/chart" uri="{C3380CC4-5D6E-409C-BE32-E72D297353CC}">
              <c16:uniqueId val="{00000002-B00D-4F5C-ABE7-555214A1CD2C}"/>
            </c:ext>
          </c:extLst>
        </c:ser>
        <c:ser>
          <c:idx val="3"/>
          <c:order val="3"/>
          <c:tx>
            <c:strRef>
              <c:f>'Distribution Charts'!$A$25</c:f>
              <c:strCache>
                <c:ptCount val="1"/>
                <c:pt idx="0">
                  <c:v>MktScan Median</c:v>
                </c:pt>
              </c:strCache>
            </c:strRef>
          </c:tx>
          <c:spPr>
            <a:ln w="28575" cap="rnd">
              <a:solidFill>
                <a:schemeClr val="accent6">
                  <a:lumMod val="60000"/>
                </a:schemeClr>
              </a:solidFill>
              <a:round/>
            </a:ln>
            <a:effectLst/>
          </c:spPr>
          <c:marker>
            <c:symbol val="none"/>
          </c:marker>
          <c:dLbls>
            <c:dLbl>
              <c:idx val="0"/>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00D-4F5C-ABE7-555214A1CD2C}"/>
                </c:ext>
              </c:extLst>
            </c:dLbl>
            <c:dLbl>
              <c:idx val="11"/>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B00D-4F5C-ABE7-555214A1CD2C}"/>
                </c:ext>
              </c:extLst>
            </c:dLbl>
            <c:dLbl>
              <c:idx val="23"/>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00D-4F5C-ABE7-555214A1CD2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'Distribution Charts'!$B$25:$Y$25</c:f>
              <c:numCache>
                <c:formatCode>_("$"* #,##0_);_("$"* \(#,##0\);_("$"* "-"??_);_(@_)</c:formatCode>
                <c:ptCount val="24"/>
                <c:pt idx="0">
                  <c:v>351.80994415499998</c:v>
                </c:pt>
                <c:pt idx="1">
                  <c:v>320.96997320999998</c:v>
                </c:pt>
                <c:pt idx="2">
                  <c:v>360.84991454999999</c:v>
                </c:pt>
                <c:pt idx="3">
                  <c:v>388.84986114999998</c:v>
                </c:pt>
                <c:pt idx="4">
                  <c:v>384.55992888999998</c:v>
                </c:pt>
                <c:pt idx="5">
                  <c:v>352.40982056000001</c:v>
                </c:pt>
                <c:pt idx="6">
                  <c:v>398.23989869000002</c:v>
                </c:pt>
                <c:pt idx="7">
                  <c:v>398.41987085</c:v>
                </c:pt>
                <c:pt idx="8">
                  <c:v>373.56986999399999</c:v>
                </c:pt>
                <c:pt idx="9">
                  <c:v>421.79486274999999</c:v>
                </c:pt>
                <c:pt idx="10">
                  <c:v>356.74983978</c:v>
                </c:pt>
                <c:pt idx="11">
                  <c:v>366.45986366205</c:v>
                </c:pt>
                <c:pt idx="12">
                  <c:v>324.83993912</c:v>
                </c:pt>
                <c:pt idx="13">
                  <c:v>289.16984177</c:v>
                </c:pt>
                <c:pt idx="14">
                  <c:v>340.96997069999998</c:v>
                </c:pt>
                <c:pt idx="15">
                  <c:v>338.9299469</c:v>
                </c:pt>
                <c:pt idx="16">
                  <c:v>335.07992744500001</c:v>
                </c:pt>
                <c:pt idx="17">
                  <c:v>338.479979517</c:v>
                </c:pt>
                <c:pt idx="18">
                  <c:v>345.21987915</c:v>
                </c:pt>
                <c:pt idx="19">
                  <c:v>331.10993480450003</c:v>
                </c:pt>
                <c:pt idx="20">
                  <c:v>350.13988303999997</c:v>
                </c:pt>
                <c:pt idx="21">
                  <c:v>379.56484984999997</c:v>
                </c:pt>
                <c:pt idx="22">
                  <c:v>315.45996093700001</c:v>
                </c:pt>
                <c:pt idx="23">
                  <c:v>378.10998534999999</c:v>
                </c:pt>
              </c:numCache>
            </c:numRef>
          </c:val>
          <c:smooth val="1"/>
          <c:extLst>
            <c:ext xmlns:c16="http://schemas.microsoft.com/office/drawing/2014/chart" uri="{C3380CC4-5D6E-409C-BE32-E72D297353CC}">
              <c16:uniqueId val="{00000006-B00D-4F5C-ABE7-555214A1CD2C}"/>
            </c:ext>
          </c:extLst>
        </c:ser>
        <c:dLbls>
          <c:showLegendKey val="0"/>
          <c:showVal val="0"/>
          <c:showCatName val="0"/>
          <c:showSerName val="0"/>
          <c:showPercent val="0"/>
          <c:showBubbleSize val="0"/>
        </c:dLbls>
        <c:smooth val="0"/>
        <c:axId val="1251762200"/>
        <c:axId val="1251762528"/>
      </c:lineChart>
      <c:catAx>
        <c:axId val="125176220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1762528"/>
        <c:crosses val="autoZero"/>
        <c:auto val="1"/>
        <c:lblAlgn val="ctr"/>
        <c:lblOffset val="100"/>
        <c:noMultiLvlLbl val="0"/>
      </c:catAx>
      <c:valAx>
        <c:axId val="1251762528"/>
        <c:scaling>
          <c:orientation val="minMax"/>
        </c:scaling>
        <c:delete val="0"/>
        <c:axPos val="l"/>
        <c:majorGridlines>
          <c:spPr>
            <a:ln w="9525" cap="flat" cmpd="sng" algn="ctr">
              <a:solidFill>
                <a:schemeClr val="tx1">
                  <a:lumMod val="15000"/>
                  <a:lumOff val="85000"/>
                </a:schemeClr>
              </a:solidFill>
              <a:round/>
            </a:ln>
            <a:effectLst/>
          </c:spPr>
        </c:majorGridlines>
        <c:numFmt formatCode="_(&quot;$&quot;* #,##0_);_(&quot;$&quot;* \(#,##0\);_(&quot;$&quot;*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17622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4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_rels/drawing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png"/></Relationships>
</file>

<file path=word/drawings/_rels/drawing2.xml.rels><?xml version="1.0" encoding="UTF-8" standalone="yes"?>
<Relationships xmlns="http://schemas.openxmlformats.org/package/2006/relationships"><Relationship Id="rId1" Type="http://schemas.openxmlformats.org/officeDocument/2006/relationships/image" Target="../media/image5.png"/></Relationships>
</file>

<file path=word/drawings/_rels/drawing3.xml.rels><?xml version="1.0" encoding="UTF-8" standalone="yes"?>
<Relationships xmlns="http://schemas.openxmlformats.org/package/2006/relationships"><Relationship Id="rId1" Type="http://schemas.openxmlformats.org/officeDocument/2006/relationships/image" Target="../media/image6.png"/></Relationships>
</file>

<file path=word/drawings/_rels/drawing4.xml.rels><?xml version="1.0" encoding="UTF-8" standalone="yes"?>
<Relationships xmlns="http://schemas.openxmlformats.org/package/2006/relationships"><Relationship Id="rId1" Type="http://schemas.openxmlformats.org/officeDocument/2006/relationships/image" Target="../media/image7.png"/></Relationships>
</file>

<file path=word/drawings/_rels/drawing5.xml.rels><?xml version="1.0" encoding="UTF-8" standalone="yes"?>
<Relationships xmlns="http://schemas.openxmlformats.org/package/2006/relationships"><Relationship Id="rId1" Type="http://schemas.openxmlformats.org/officeDocument/2006/relationships/image" Target="../media/image8.png"/></Relationships>
</file>

<file path=word/drawings/_rels/drawing6.xml.rels><?xml version="1.0" encoding="UTF-8" standalone="yes"?>
<Relationships xmlns="http://schemas.openxmlformats.org/package/2006/relationships"><Relationship Id="rId1" Type="http://schemas.openxmlformats.org/officeDocument/2006/relationships/image" Target="../media/image9.png"/></Relationships>
</file>

<file path=word/drawings/_rels/drawing7.xml.rels><?xml version="1.0" encoding="UTF-8" standalone="yes"?>
<Relationships xmlns="http://schemas.openxmlformats.org/package/2006/relationships"><Relationship Id="rId1" Type="http://schemas.openxmlformats.org/officeDocument/2006/relationships/image" Target="../media/image10.png"/></Relationships>
</file>

<file path=word/drawings/drawing1.xml><?xml version="1.0" encoding="utf-8"?>
<c:userShapes xmlns:c="http://schemas.openxmlformats.org/drawingml/2006/chart">
  <cdr:relSizeAnchor xmlns:cdr="http://schemas.openxmlformats.org/drawingml/2006/chartDrawing">
    <cdr:from>
      <cdr:x>0.5686</cdr:x>
      <cdr:y>1.86478E-7</cdr:y>
    </cdr:from>
    <cdr:to>
      <cdr:x>1</cdr:x>
      <cdr:y>0.35524</cdr:y>
    </cdr:to>
    <cdr:pic>
      <cdr:nvPicPr>
        <cdr:cNvPr id="2" name="chart">
          <a:extLst xmlns:a="http://schemas.openxmlformats.org/drawingml/2006/main">
            <a:ext uri="{FF2B5EF4-FFF2-40B4-BE49-F238E27FC236}">
              <a16:creationId xmlns:a16="http://schemas.microsoft.com/office/drawing/2014/main" id="{5452D924-E73A-441D-A85E-A8FEA5F25EA4}"/>
            </a:ext>
          </a:extLst>
        </cdr:cNvPr>
        <cdr:cNvPicPr>
          <a:picLocks xmlns:a="http://schemas.openxmlformats.org/drawingml/2006/main" noChangeAspect="1"/>
        </cdr:cNvPicPr>
      </cdr:nvPicPr>
      <cdr:blipFill>
        <a:blip xmlns:a="http://schemas.openxmlformats.org/drawingml/2006/main" xmlns:r="http://schemas.openxmlformats.org/officeDocument/2006/relationships" r:embed="rId1">
          <a:extLst>
            <a:ext uri="{BEBA8EAE-BF5A-486C-A8C5-ECC9F3942E4B}">
              <a14:imgProps xmlns:a14="http://schemas.microsoft.com/office/drawing/2010/main">
                <a14:imgLayer r:embed="rId2">
                  <a14:imgEffect>
                    <a14:saturation sat="102000"/>
                  </a14:imgEffect>
                </a14:imgLayer>
              </a14:imgProps>
            </a:ext>
          </a:extLst>
        </a:blip>
        <a:stretch xmlns:a="http://schemas.openxmlformats.org/drawingml/2006/main">
          <a:fillRect/>
        </a:stretch>
      </cdr:blipFill>
      <cdr:spPr>
        <a:xfrm xmlns:a="http://schemas.openxmlformats.org/drawingml/2006/main">
          <a:off x="5199302" y="1"/>
          <a:ext cx="3944698" cy="1905000"/>
        </a:xfrm>
        <a:prstGeom xmlns:a="http://schemas.openxmlformats.org/drawingml/2006/main" prst="rect">
          <a:avLst/>
        </a:prstGeom>
      </cdr:spPr>
    </cdr:pic>
  </cdr:relSizeAnchor>
</c:userShapes>
</file>

<file path=word/drawings/drawing2.xml><?xml version="1.0" encoding="utf-8"?>
<c:userShapes xmlns:c="http://schemas.openxmlformats.org/drawingml/2006/chart">
  <cdr:relSizeAnchor xmlns:cdr="http://schemas.openxmlformats.org/drawingml/2006/chartDrawing">
    <cdr:from>
      <cdr:x>0.56667</cdr:x>
      <cdr:y>0.00383</cdr:y>
    </cdr:from>
    <cdr:to>
      <cdr:x>0.99744</cdr:x>
      <cdr:y>0.4326</cdr:y>
    </cdr:to>
    <cdr:pic>
      <cdr:nvPicPr>
        <cdr:cNvPr id="2" name="chart">
          <a:extLst xmlns:a="http://schemas.openxmlformats.org/drawingml/2006/main">
            <a:ext uri="{FF2B5EF4-FFF2-40B4-BE49-F238E27FC236}">
              <a16:creationId xmlns:a16="http://schemas.microsoft.com/office/drawing/2014/main" id="{4971E057-2DDC-464F-85A8-13858220BF90}"/>
            </a:ext>
          </a:extLst>
        </cdr:cNvPr>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5181600" y="20515"/>
          <a:ext cx="3938954" cy="2299325"/>
        </a:xfrm>
        <a:prstGeom xmlns:a="http://schemas.openxmlformats.org/drawingml/2006/main" prst="rect">
          <a:avLst/>
        </a:prstGeom>
      </cdr:spPr>
    </cdr:pic>
  </cdr:relSizeAnchor>
</c:userShapes>
</file>

<file path=word/drawings/drawing3.xml><?xml version="1.0" encoding="utf-8"?>
<c:userShapes xmlns:c="http://schemas.openxmlformats.org/drawingml/2006/chart">
  <cdr:relSizeAnchor xmlns:cdr="http://schemas.openxmlformats.org/drawingml/2006/chartDrawing">
    <cdr:from>
      <cdr:x>0.55</cdr:x>
      <cdr:y>0.00328</cdr:y>
    </cdr:from>
    <cdr:to>
      <cdr:x>1</cdr:x>
      <cdr:y>0.40004</cdr:y>
    </cdr:to>
    <cdr:pic>
      <cdr:nvPicPr>
        <cdr:cNvPr id="2" name="chart">
          <a:extLst xmlns:a="http://schemas.openxmlformats.org/drawingml/2006/main">
            <a:ext uri="{FF2B5EF4-FFF2-40B4-BE49-F238E27FC236}">
              <a16:creationId xmlns:a16="http://schemas.microsoft.com/office/drawing/2014/main" id="{9DB77A0D-978C-488C-9422-445307401B92}"/>
            </a:ext>
          </a:extLst>
        </cdr:cNvPr>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5029200" y="17585"/>
          <a:ext cx="4114800" cy="2127652"/>
        </a:xfrm>
        <a:prstGeom xmlns:a="http://schemas.openxmlformats.org/drawingml/2006/main" prst="rect">
          <a:avLst/>
        </a:prstGeom>
      </cdr:spPr>
    </cdr:pic>
  </cdr:relSizeAnchor>
</c:userShapes>
</file>

<file path=word/drawings/drawing4.xml><?xml version="1.0" encoding="utf-8"?>
<c:userShapes xmlns:c="http://schemas.openxmlformats.org/drawingml/2006/chart">
  <cdr:relSizeAnchor xmlns:cdr="http://schemas.openxmlformats.org/drawingml/2006/chartDrawing">
    <cdr:from>
      <cdr:x>0.55128</cdr:x>
      <cdr:y>0</cdr:y>
    </cdr:from>
    <cdr:to>
      <cdr:x>1</cdr:x>
      <cdr:y>0.39563</cdr:y>
    </cdr:to>
    <cdr:pic>
      <cdr:nvPicPr>
        <cdr:cNvPr id="2" name="chart">
          <a:extLst xmlns:a="http://schemas.openxmlformats.org/drawingml/2006/main">
            <a:ext uri="{FF2B5EF4-FFF2-40B4-BE49-F238E27FC236}">
              <a16:creationId xmlns:a16="http://schemas.microsoft.com/office/drawing/2014/main" id="{9EBB54B1-01D1-4CB4-BF34-5D3997B4D7A1}"/>
            </a:ext>
          </a:extLst>
        </cdr:cNvPr>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2995137" y="0"/>
          <a:ext cx="2437923" cy="1190807"/>
        </a:xfrm>
        <a:prstGeom xmlns:a="http://schemas.openxmlformats.org/drawingml/2006/main" prst="rect">
          <a:avLst/>
        </a:prstGeom>
      </cdr:spPr>
    </cdr:pic>
  </cdr:relSizeAnchor>
</c:userShapes>
</file>

<file path=word/drawings/drawing5.xml><?xml version="1.0" encoding="utf-8"?>
<c:userShapes xmlns:c="http://schemas.openxmlformats.org/drawingml/2006/chart">
  <cdr:relSizeAnchor xmlns:cdr="http://schemas.openxmlformats.org/drawingml/2006/chartDrawing">
    <cdr:from>
      <cdr:x>0.56486</cdr:x>
      <cdr:y>0</cdr:y>
    </cdr:from>
    <cdr:to>
      <cdr:x>1</cdr:x>
      <cdr:y>0.38366</cdr:y>
    </cdr:to>
    <cdr:pic>
      <cdr:nvPicPr>
        <cdr:cNvPr id="2" name="chart">
          <a:extLst xmlns:a="http://schemas.openxmlformats.org/drawingml/2006/main">
            <a:ext uri="{FF2B5EF4-FFF2-40B4-BE49-F238E27FC236}">
              <a16:creationId xmlns:a16="http://schemas.microsoft.com/office/drawing/2014/main" id="{876A203D-BACC-4CD6-9674-9E05BD1660E3}"/>
            </a:ext>
          </a:extLst>
        </cdr:cNvPr>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3357302" y="-914400"/>
          <a:ext cx="2586298" cy="1337253"/>
        </a:xfrm>
        <a:prstGeom xmlns:a="http://schemas.openxmlformats.org/drawingml/2006/main" prst="rect">
          <a:avLst/>
        </a:prstGeom>
      </cdr:spPr>
    </cdr:pic>
  </cdr:relSizeAnchor>
</c:userShapes>
</file>

<file path=word/drawings/drawing6.xml><?xml version="1.0" encoding="utf-8"?>
<c:userShapes xmlns:c="http://schemas.openxmlformats.org/drawingml/2006/chart">
  <cdr:relSizeAnchor xmlns:cdr="http://schemas.openxmlformats.org/drawingml/2006/chartDrawing">
    <cdr:from>
      <cdr:x>0.525</cdr:x>
      <cdr:y>0.00328</cdr:y>
    </cdr:from>
    <cdr:to>
      <cdr:x>0.98333</cdr:x>
      <cdr:y>0.4141</cdr:y>
    </cdr:to>
    <cdr:pic>
      <cdr:nvPicPr>
        <cdr:cNvPr id="2" name="chart">
          <a:extLst xmlns:a="http://schemas.openxmlformats.org/drawingml/2006/main">
            <a:ext uri="{FF2B5EF4-FFF2-40B4-BE49-F238E27FC236}">
              <a16:creationId xmlns:a16="http://schemas.microsoft.com/office/drawing/2014/main" id="{DD361044-EAFC-4811-8AF3-8F25AE7BB381}"/>
            </a:ext>
          </a:extLst>
        </cdr:cNvPr>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4800600" y="17585"/>
          <a:ext cx="4191000" cy="2203056"/>
        </a:xfrm>
        <a:prstGeom xmlns:a="http://schemas.openxmlformats.org/drawingml/2006/main" prst="rect">
          <a:avLst/>
        </a:prstGeom>
      </cdr:spPr>
    </cdr:pic>
  </cdr:relSizeAnchor>
</c:userShapes>
</file>

<file path=word/drawings/drawing7.xml><?xml version="1.0" encoding="utf-8"?>
<c:userShapes xmlns:c="http://schemas.openxmlformats.org/drawingml/2006/chart">
  <cdr:relSizeAnchor xmlns:cdr="http://schemas.openxmlformats.org/drawingml/2006/chartDrawing">
    <cdr:from>
      <cdr:x>0.05</cdr:x>
      <cdr:y>0</cdr:y>
    </cdr:from>
    <cdr:to>
      <cdr:x>0.525</cdr:x>
      <cdr:y>0.39566</cdr:y>
    </cdr:to>
    <cdr:pic>
      <cdr:nvPicPr>
        <cdr:cNvPr id="2" name="chart">
          <a:extLst xmlns:a="http://schemas.openxmlformats.org/drawingml/2006/main">
            <a:ext uri="{FF2B5EF4-FFF2-40B4-BE49-F238E27FC236}">
              <a16:creationId xmlns:a16="http://schemas.microsoft.com/office/drawing/2014/main" id="{7F30372B-6861-4AD3-937C-E1495867BCB7}"/>
            </a:ext>
          </a:extLst>
        </cdr:cNvPr>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457200" y="0"/>
          <a:ext cx="4343400" cy="2121731"/>
        </a:xfrm>
        <a:prstGeom xmlns:a="http://schemas.openxmlformats.org/drawingml/2006/main" prst="rect">
          <a:avLst/>
        </a:prstGeom>
      </cdr:spPr>
    </cdr:pic>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1760</TotalTime>
  <Pages>14</Pages>
  <Words>2268</Words>
  <Characters>12929</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Alter</dc:creator>
  <cp:keywords/>
  <dc:description/>
  <cp:lastModifiedBy>George Sirbu</cp:lastModifiedBy>
  <cp:revision>16</cp:revision>
  <dcterms:created xsi:type="dcterms:W3CDTF">2018-02-08T15:10:00Z</dcterms:created>
  <dcterms:modified xsi:type="dcterms:W3CDTF">2018-02-26T14:06:00Z</dcterms:modified>
</cp:coreProperties>
</file>