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chapter_14_research_architecture_ced8f9"/>
      <w:r>
        <w:rPr>
          <w:rFonts w:eastAsia="source serif 4" w:cs="source serif 4" w:ascii="source serif 4" w:hAnsi="source serif 4"/>
          <w:b/>
          <w:color w:val="000000"/>
          <w:sz w:val="39"/>
        </w:rPr>
        <w:t xml:space="preserve">Chapter 14 Research Architecture: What Actually Works?</w:t>
      </w:r>
      <w:bookmarkEnd w:id="0"/>
    </w:p>
    <w:p>
      <w:pPr>
        <w:spacing w:line="360" w:before="315" w:after="105" w:lineRule="auto"/>
        <w:ind w:left="-30"/>
        <w:jc w:val="left"/>
      </w:pPr>
      <w:bookmarkStart w:id="1" w:name="overview"/>
      <w:r>
        <w:rPr>
          <w:rFonts w:eastAsia="source serif 4" w:cs="source serif 4" w:ascii="source serif 4" w:hAnsi="source serif 4"/>
          <w:b/>
          <w:color w:val="000000"/>
          <w:sz w:val="24"/>
        </w:rPr>
        <w:t xml:space="preserve">Overview</w:t>
      </w:r>
      <w:bookmarkEnd w:id="1"/>
    </w:p>
    <w:p>
      <w:pPr>
        <w:spacing w:line="360" w:after="210" w:lineRule="auto"/>
      </w:pPr>
      <w:r>
        <w:rPr>
          <w:rFonts w:eastAsia="source serif 4" w:cs="source serif 4" w:ascii="source serif 4" w:hAnsi="source serif 4"/>
          <w:color w:val="000000"/>
        </w:rPr>
        <w:t xml:space="preserve">This report translates the conceptual plan for Chapter 14 into a preliminary research architecture for intervention evidence across preconception to age 3.</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outlines core evaluative frameworks, identifies landmark programs, and maps key controversies and gaps that the chapter must explicitly address.[</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p>
    <w:p>
      <w:pPr>
        <w:spacing w:line="360" w:before="315" w:after="105" w:lineRule="auto"/>
        <w:ind w:left="-30"/>
        <w:jc w:val="left"/>
      </w:pPr>
      <w:bookmarkStart w:id="2" w:name="core_intervention_evaluation_framework"/>
      <w:r>
        <w:rPr>
          <w:rFonts w:eastAsia="source serif 4" w:cs="source serif 4" w:ascii="source serif 4" w:hAnsi="source serif 4"/>
          <w:b/>
          <w:color w:val="000000"/>
          <w:sz w:val="24"/>
        </w:rPr>
        <w:t xml:space="preserve">Core Intervention Evaluation Framework</w:t>
      </w:r>
      <w:bookmarkEnd w:id="2"/>
    </w:p>
    <w:p>
      <w:pPr>
        <w:spacing w:line="360" w:after="210" w:lineRule="auto"/>
      </w:pPr>
      <w:r>
        <w:rPr>
          <w:rFonts w:eastAsia="source serif 4" w:cs="source serif 4" w:ascii="source serif 4" w:hAnsi="source serif 4"/>
          <w:color w:val="000000"/>
        </w:rPr>
        <w:t xml:space="preserve">Developmental intervention evidence in this chapter should be organized around five layers: mechanism, efficacy, effectiveness, scalability, and persistence.[^2]</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These layers distinguish whether an intervention can work under ideal conditions from whether it does work in real-world settings, at scale, and over time.[^3]</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Layer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Definition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Typical Designs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Mechanism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What specific process or exposure the intervention targets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Mechanistic RCTs, mediation analyses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Efficacy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Effects under controlled, high-fidelity conditions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Explanatory RCTs, tightly monitored pilots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Effectiveness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Effects in routine practice and heterogeneous populations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Pragmatic RCTs, quasi-experiments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Scalability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Effects when programs are replicated or expanded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Multi-site trials, implementation studies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Persistence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Trajectories of effects over months, years, or decades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Longitudinal follow-up, registry linkage</w:t>
            </w:r>
          </w:p>
        </w:tc>
      </w:tr>
    </w:tbl>
    <w:p>
      <w:pPr>
        <w:spacing w:lineRule="auto"/>
      </w:pPr>
    </w:p>
    <w:p>
      <w:pPr>
        <w:spacing w:line="360" w:before="315" w:after="105" w:lineRule="auto"/>
        <w:ind w:left="-30"/>
        <w:jc w:val="left"/>
      </w:pPr>
      <w:bookmarkStart w:id="3" w:name="landmark_home_visiting_programs"/>
      <w:r>
        <w:rPr>
          <w:rFonts w:eastAsia="source serif 4" w:cs="source serif 4" w:ascii="source serif 4" w:hAnsi="source serif 4"/>
          <w:b/>
          <w:color w:val="000000"/>
          <w:sz w:val="24"/>
        </w:rPr>
        <w:t xml:space="preserve">Landmark Home-Visiting Programs</w:t>
      </w:r>
      <w:bookmarkEnd w:id="3"/>
    </w:p>
    <w:p>
      <w:pPr>
        <w:spacing w:line="360" w:before="315" w:after="105" w:lineRule="auto"/>
        <w:ind w:left="-30"/>
        <w:jc w:val="left"/>
      </w:pPr>
      <w:bookmarkStart w:id="4" w:name="nurse_family_partnership_and_fami_e34c9b"/>
      <w:r>
        <w:rPr>
          <w:rFonts w:eastAsia="source serif 4" w:cs="source serif 4" w:ascii="source serif 4" w:hAnsi="source serif 4"/>
          <w:b/>
          <w:color w:val="000000"/>
          <w:sz w:val="24"/>
        </w:rPr>
        <w:t xml:space="preserve">Nurse-Family Partnership and Family Nurse Partnership</w:t>
      </w:r>
      <w:bookmarkEnd w:id="4"/>
    </w:p>
    <w:p>
      <w:pPr>
        <w:spacing w:line="360" w:after="210" w:lineRule="auto"/>
      </w:pPr>
      <w:r>
        <w:rPr>
          <w:rFonts w:eastAsia="source serif 4" w:cs="source serif 4" w:ascii="source serif 4" w:hAnsi="source serif 4"/>
          <w:color w:val="000000"/>
        </w:rPr>
        <w:t xml:space="preserve">Nurse-Family Partnership (NFP) is one of the most rigorously evaluated early home-visiting programs, with three foundational randomized trials in the US targeting low-income, first-time mothers and nurse-led prenatal and postnatal home visits through age 2.[</w:t>
      </w:r>
      <w:r>
        <w:rPr>
          <w:rFonts w:eastAsia="source serif 4" w:cs="source serif 4" w:ascii="source serif 4" w:hAnsi="source serif 4"/>
          <w:color w:val="000000"/>
          <w:vertAlign w:val="superscript"/>
        </w:rPr>
        <w:t xml:space="preserve">4][</w:t>
      </w:r>
      <w:r>
        <w:rPr>
          <w:rFonts w:eastAsia="source serif 4" w:cs="source serif 4" w:ascii="source serif 4" w:hAnsi="source serif 4"/>
          <w:color w:val="000000"/>
        </w:rPr>
        <w:t xml:space="preserve">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Trials show reduced prenatal smoking, fewer early injuries, and long-term reductions in child maltreatment and criminal involvement, with economic benefits extending into adolescence and early adulthood.[</w:t>
      </w:r>
      <w:r>
        <w:rPr>
          <w:rFonts w:eastAsia="source serif 4" w:cs="source serif 4" w:ascii="source serif 4" w:hAnsi="source serif 4"/>
          <w:color w:val="000000"/>
          <w:vertAlign w:val="superscript"/>
        </w:rPr>
        <w:t xml:space="preserve">5][</w:t>
      </w:r>
      <w:r>
        <w:rPr>
          <w:rFonts w:eastAsia="source serif 4" w:cs="source serif 4" w:ascii="source serif 4" w:hAnsi="source serif 4"/>
          <w:color w:val="000000"/>
        </w:rPr>
        <w:t xml:space="preserve">6][^1]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Effect sizes attenuate in routine replication relative to the trials, with one modelling study estimating around a 20% decline linked to fewer visits, underscoring a central scaling theme for Chapter 14.[^1]</w:t>
      </w:r>
    </w:p>
    <w:p>
      <w:pPr>
        <w:spacing w:line="360" w:after="210" w:lineRule="auto"/>
      </w:pPr>
      <w:r>
        <w:rPr>
          <w:rFonts w:eastAsia="source serif 4" w:cs="source serif 4" w:ascii="source serif 4" w:hAnsi="source serif 4"/>
          <w:color w:val="000000"/>
        </w:rPr>
        <w:t xml:space="preserve">Family Nurse Partnership (FNP) in the UK adapts NFP to a different health and welfare context; trial evidence to date shows more modest or mixed impacts, highlighting implementation and system-contingent effects despite a shared model.[</w:t>
      </w:r>
      <w:r>
        <w:rPr>
          <w:rFonts w:eastAsia="source serif 4" w:cs="source serif 4" w:ascii="source serif 4" w:hAnsi="source serif 4"/>
          <w:color w:val="000000"/>
          <w:vertAlign w:val="superscript"/>
        </w:rPr>
        <w:t xml:space="preserve">7][</w:t>
      </w:r>
      <w:r>
        <w:rPr>
          <w:rFonts w:eastAsia="source serif 4" w:cs="source serif 4" w:ascii="source serif 4" w:hAnsi="source serif 4"/>
          <w:color w:val="000000"/>
        </w:rPr>
        <w:t xml:space="preserve">8]</w:t>
      </w:r>
    </w:p>
    <w:p>
      <w:pPr>
        <w:spacing w:line="360" w:before="315" w:after="105" w:lineRule="auto"/>
        <w:ind w:left="-30"/>
        <w:jc w:val="left"/>
      </w:pPr>
      <w:bookmarkStart w:id="5" w:name="landmark_early_education_interventions"/>
      <w:r>
        <w:rPr>
          <w:rFonts w:eastAsia="source serif 4" w:cs="source serif 4" w:ascii="source serif 4" w:hAnsi="source serif 4"/>
          <w:b/>
          <w:color w:val="000000"/>
          <w:sz w:val="24"/>
        </w:rPr>
        <w:t xml:space="preserve">Landmark Early-Education Interventions</w:t>
      </w:r>
      <w:bookmarkEnd w:id="5"/>
    </w:p>
    <w:p>
      <w:pPr>
        <w:spacing w:line="360" w:before="315" w:after="105" w:lineRule="auto"/>
        <w:ind w:left="-30"/>
        <w:jc w:val="left"/>
      </w:pPr>
      <w:bookmarkStart w:id="6" w:name="perry_preschool_project"/>
      <w:r>
        <w:rPr>
          <w:rFonts w:eastAsia="source serif 4" w:cs="source serif 4" w:ascii="source serif 4" w:hAnsi="source serif 4"/>
          <w:b/>
          <w:color w:val="000000"/>
          <w:sz w:val="24"/>
        </w:rPr>
        <w:t xml:space="preserve">Perry Preschool Project</w:t>
      </w:r>
      <w:bookmarkEnd w:id="6"/>
    </w:p>
    <w:p>
      <w:pPr>
        <w:spacing w:line="360" w:after="210" w:lineRule="auto"/>
      </w:pPr>
      <w:r>
        <w:rPr>
          <w:rFonts w:eastAsia="source serif 4" w:cs="source serif 4" w:ascii="source serif 4" w:hAnsi="source serif 4"/>
          <w:color w:val="000000"/>
        </w:rPr>
        <w:t xml:space="preserve">The Perry Preschool Project is a small, high-intensity preschool RCT for socioeconomically disadvantaged African American children in the 1960s.[^9]</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Long-term follow-ups into late midlife report enduring effects on income, employment, crime, health, and some non-cognitive skills, despite modest or fading short-term IQ gains, with particularly strong benefits for males.[</w:t>
      </w:r>
      <w:r>
        <w:rPr>
          <w:rFonts w:eastAsia="source serif 4" w:cs="source serif 4" w:ascii="source serif 4" w:hAnsi="source serif 4"/>
          <w:color w:val="000000"/>
          <w:vertAlign w:val="superscript"/>
        </w:rPr>
        <w:t xml:space="preserve">10][</w:t>
      </w:r>
      <w:r>
        <w:rPr>
          <w:rFonts w:eastAsia="source serif 4" w:cs="source serif 4" w:ascii="source serif 4" w:hAnsi="source serif 4"/>
          <w:color w:val="000000"/>
        </w:rPr>
        <w:t xml:space="preserve">9][^3]</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These findings illustrate that early cognitive test gains can fade while broader life-course outcomes remain affected, a key example for the chapter’s persistence and fadeout section.</w:t>
      </w:r>
    </w:p>
    <w:p>
      <w:pPr>
        <w:spacing w:line="360" w:before="315" w:after="105" w:lineRule="auto"/>
        <w:ind w:left="-30"/>
        <w:jc w:val="left"/>
      </w:pPr>
      <w:bookmarkStart w:id="7" w:name="abecedarian_project"/>
      <w:r>
        <w:rPr>
          <w:rFonts w:eastAsia="source serif 4" w:cs="source serif 4" w:ascii="source serif 4" w:hAnsi="source serif 4"/>
          <w:b/>
          <w:color w:val="000000"/>
          <w:sz w:val="24"/>
        </w:rPr>
        <w:t xml:space="preserve">Abecedarian Project</w:t>
      </w:r>
      <w:bookmarkEnd w:id="7"/>
    </w:p>
    <w:p>
      <w:pPr>
        <w:spacing w:line="360" w:after="210" w:lineRule="auto"/>
      </w:pPr>
      <w:r>
        <w:rPr>
          <w:rFonts w:eastAsia="source serif 4" w:cs="source serif 4" w:ascii="source serif 4" w:hAnsi="source serif 4"/>
          <w:color w:val="000000"/>
        </w:rPr>
        <w:t xml:space="preserve">The Abecedarian Project randomly assigned high-risk infants to full-time, high-quality educational childcare from infancy to age 5, often coupled with health and nutritional supports.[</w:t>
      </w:r>
      <w:r>
        <w:rPr>
          <w:rFonts w:eastAsia="source serif 4" w:cs="source serif 4" w:ascii="source serif 4" w:hAnsi="source serif 4"/>
          <w:color w:val="000000"/>
          <w:vertAlign w:val="superscript"/>
        </w:rPr>
        <w:t xml:space="preserve">11][</w:t>
      </w:r>
      <w:r>
        <w:rPr>
          <w:rFonts w:eastAsia="source serif 4" w:cs="source serif 4" w:ascii="source serif 4" w:hAnsi="source serif 4"/>
          <w:color w:val="000000"/>
        </w:rPr>
        <w:t xml:space="preserve">12]</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Longitudinal data show durable advantages in cognitive performance, educational attainment, and several adult health indicators, with some variation by gender and dosage, and limited effects on criminal behavior.[</w:t>
      </w:r>
      <w:r>
        <w:rPr>
          <w:rFonts w:eastAsia="source serif 4" w:cs="source serif 4" w:ascii="source serif 4" w:hAnsi="source serif 4"/>
          <w:color w:val="000000"/>
          <w:vertAlign w:val="superscript"/>
        </w:rPr>
        <w:t xml:space="preserve">11][</w:t>
      </w:r>
      <w:r>
        <w:rPr>
          <w:rFonts w:eastAsia="source serif 4" w:cs="source serif 4" w:ascii="source serif 4" w:hAnsi="source serif 4"/>
          <w:color w:val="000000"/>
        </w:rPr>
        <w:t xml:space="preserve">2][^3]</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Collectively, Abecedarian and its replications provide strong causal evidence that intensive, high-quality early education can shift developmental trajectories, while also illustrating limits on comprehensive life-course transformation.[^2]</w:t>
      </w:r>
    </w:p>
    <w:p>
      <w:pPr>
        <w:spacing w:line="360" w:before="315" w:after="105" w:lineRule="auto"/>
        <w:ind w:left="-30"/>
        <w:jc w:val="left"/>
      </w:pPr>
      <w:bookmarkStart w:id="8" w:name="landmark_responsive_caregiving_programs"/>
      <w:r>
        <w:rPr>
          <w:rFonts w:eastAsia="source serif 4" w:cs="source serif 4" w:ascii="source serif 4" w:hAnsi="source serif 4"/>
          <w:b/>
          <w:color w:val="000000"/>
          <w:sz w:val="24"/>
        </w:rPr>
        <w:t xml:space="preserve">Landmark Responsive-Caregiving Programs</w:t>
      </w:r>
      <w:bookmarkEnd w:id="8"/>
    </w:p>
    <w:p>
      <w:pPr>
        <w:spacing w:line="360" w:before="315" w:after="105" w:lineRule="auto"/>
        <w:ind w:left="-30"/>
        <w:jc w:val="left"/>
      </w:pPr>
      <w:bookmarkStart w:id="9" w:name="video_feedback_intervention_to_pr_cb6b65"/>
      <w:r>
        <w:rPr>
          <w:rFonts w:eastAsia="source serif 4" w:cs="source serif 4" w:ascii="source serif 4" w:hAnsi="source serif 4"/>
          <w:b/>
          <w:color w:val="000000"/>
          <w:sz w:val="24"/>
        </w:rPr>
        <w:t xml:space="preserve">Video-feedback Intervention to Promote Positive Parenting (VIPP)</w:t>
      </w:r>
      <w:bookmarkEnd w:id="9"/>
    </w:p>
    <w:p>
      <w:pPr>
        <w:spacing w:line="360" w:after="210" w:lineRule="auto"/>
      </w:pPr>
      <w:r>
        <w:rPr>
          <w:rFonts w:eastAsia="source serif 4" w:cs="source serif 4" w:ascii="source serif 4" w:hAnsi="source serif 4"/>
          <w:color w:val="000000"/>
        </w:rPr>
        <w:t xml:space="preserve">VIPP and its variants (VIPP-SD, VIPP-FC, VIPP-AUTI, VIPP-Twins) are brief, attachment-based video-feedback programs that target parental sensitivity and discipline strategies.[</w:t>
      </w:r>
      <w:r>
        <w:rPr>
          <w:rFonts w:eastAsia="source serif 4" w:cs="source serif 4" w:ascii="source serif 4" w:hAnsi="source serif 4"/>
          <w:color w:val="000000"/>
          <w:vertAlign w:val="superscript"/>
        </w:rPr>
        <w:t xml:space="preserve">13][</w:t>
      </w:r>
      <w:r>
        <w:rPr>
          <w:rFonts w:eastAsia="source serif 4" w:cs="source serif 4" w:ascii="source serif 4" w:hAnsi="source serif 4"/>
          <w:color w:val="000000"/>
        </w:rPr>
        <w:t xml:space="preserve">14][^15]</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Meta-analytic synthesis of roughly 25 randomized trials involving more than 2,000 families shows small-to-moderate combined effects on parenting behavior (correlations around 0.18) and child attachment security (around 0.23, roughly d ≈ 0.4–0.5), with weaker or nonsignificant pooled effects on externalizing behavior.[</w:t>
      </w:r>
      <w:r>
        <w:rPr>
          <w:rFonts w:eastAsia="source serif 4" w:cs="source serif 4" w:ascii="source serif 4" w:hAnsi="source serif 4"/>
          <w:color w:val="000000"/>
          <w:vertAlign w:val="superscript"/>
        </w:rPr>
        <w:t xml:space="preserve">16][</w:t>
      </w:r>
      <w:r>
        <w:rPr>
          <w:rFonts w:eastAsia="source serif 4" w:cs="source serif 4" w:ascii="source serif 4" w:hAnsi="source serif 4"/>
          <w:color w:val="000000"/>
        </w:rPr>
        <w:t xml:space="preserve">17][^18]</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Individual RCTs, such as the Vilnius VIPP trial, report large sensitivity gains (d ≈ 0.78) in low-sensitive mothers without robust immediate effects on attachment security, underscoring that changes in caregiving processes do not always translate directly into short-term measured child outcomes.[^13]</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Recent work is testing online VIPP delivery, with power calculations based on meta-analytic effect sizes, providing an entry point for the chapter’s digital-intervention module.[^19]</w:t>
      </w:r>
    </w:p>
    <w:p>
      <w:pPr>
        <w:spacing w:line="360" w:before="315" w:after="105" w:lineRule="auto"/>
        <w:ind w:left="-30"/>
        <w:jc w:val="left"/>
      </w:pPr>
      <w:bookmarkStart w:id="10" w:name="attachment_and_biobehavioral_catc_d4fecf"/>
      <w:r>
        <w:rPr>
          <w:rFonts w:eastAsia="source serif 4" w:cs="source serif 4" w:ascii="source serif 4" w:hAnsi="source serif 4"/>
          <w:b/>
          <w:color w:val="000000"/>
          <w:sz w:val="24"/>
        </w:rPr>
        <w:t xml:space="preserve">Attachment and Biobehavioral Catch-up (ABC)</w:t>
      </w:r>
      <w:bookmarkEnd w:id="10"/>
    </w:p>
    <w:p>
      <w:pPr>
        <w:spacing w:line="360" w:after="210" w:lineRule="auto"/>
      </w:pPr>
      <w:r>
        <w:rPr>
          <w:rFonts w:eastAsia="source serif 4" w:cs="source serif 4" w:ascii="source serif 4" w:hAnsi="source serif 4"/>
          <w:color w:val="000000"/>
        </w:rPr>
        <w:t xml:space="preserve">ABC is a manualized, home-based intervention designed to increase nurturing, synchronous caregiving and reduce frightening or intrusive behaviors, especially in foster care and child welfare contexts.[^20]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Randomized trials show effects on children’s stress physiology (e.g., more normative cortisol patterns) and, in at least one trial, higher receptive vocabulary at 36 months for infants receiving ABC compared with controls.[^20]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ABC therefore exemplifies a responsive-caregiving program with measured downstream effects on biobehavioral regulation and language, albeit in high-risk samples and with limited evidence on long-term general-population outcomes.</w:t>
      </w:r>
    </w:p>
    <w:p>
      <w:pPr>
        <w:spacing w:line="360" w:before="315" w:after="105" w:lineRule="auto"/>
        <w:ind w:left="-30"/>
        <w:jc w:val="left"/>
      </w:pPr>
      <w:bookmarkStart w:id="11" w:name="parenting_programs_and_parent_training"/>
      <w:r>
        <w:rPr>
          <w:rFonts w:eastAsia="source serif 4" w:cs="source serif 4" w:ascii="source serif 4" w:hAnsi="source serif 4"/>
          <w:b/>
          <w:color w:val="000000"/>
          <w:sz w:val="24"/>
        </w:rPr>
        <w:t xml:space="preserve">Parenting Programs and Parent Training</w:t>
      </w:r>
      <w:bookmarkEnd w:id="11"/>
    </w:p>
    <w:p>
      <w:pPr>
        <w:spacing w:line="360" w:before="315" w:after="105" w:lineRule="auto"/>
        <w:ind w:left="-30"/>
        <w:jc w:val="left"/>
      </w:pPr>
      <w:bookmarkStart w:id="12" w:name="incredible_years"/>
      <w:r>
        <w:rPr>
          <w:rFonts w:eastAsia="source serif 4" w:cs="source serif 4" w:ascii="source serif 4" w:hAnsi="source serif 4"/>
          <w:b/>
          <w:color w:val="000000"/>
          <w:sz w:val="24"/>
        </w:rPr>
        <w:t xml:space="preserve">Incredible Years</w:t>
      </w:r>
      <w:bookmarkEnd w:id="12"/>
    </w:p>
    <w:p>
      <w:pPr>
        <w:spacing w:line="360" w:after="210" w:lineRule="auto"/>
      </w:pPr>
      <w:r>
        <w:rPr>
          <w:rFonts w:eastAsia="source serif 4" w:cs="source serif 4" w:ascii="source serif 4" w:hAnsi="source serif 4"/>
          <w:color w:val="000000"/>
        </w:rPr>
        <w:t xml:space="preserve">Incredible Years (IY) is a family of behavioral parent-training programs originally developed for disruptive behavior in preschool and early school-age children, with infant and toddler variants increasingly tested in the first three years.[</w:t>
      </w:r>
      <w:r>
        <w:rPr>
          <w:rFonts w:eastAsia="source serif 4" w:cs="source serif 4" w:ascii="source serif 4" w:hAnsi="source serif 4"/>
          <w:color w:val="000000"/>
          <w:vertAlign w:val="superscript"/>
        </w:rPr>
        <w:t xml:space="preserve">21][</w:t>
      </w:r>
      <w:r>
        <w:rPr>
          <w:rFonts w:eastAsia="source serif 4" w:cs="source serif 4" w:ascii="source serif 4" w:hAnsi="source serif 4"/>
          <w:color w:val="000000"/>
        </w:rPr>
        <w:t xml:space="preserve">22]</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Meta-analytic reviews of IY across nearly 50–60 studies report small-to-moderate effects on disruptive child behavior (mean d ≈ 0.27 across informants, with larger effects in treatment samples than in indicated or universal prevention) and stronger effects when baseline child problems are more severe.[</w:t>
      </w:r>
      <w:r>
        <w:rPr>
          <w:rFonts w:eastAsia="source serif 4" w:cs="source serif 4" w:ascii="source serif 4" w:hAnsi="source serif 4"/>
          <w:color w:val="000000"/>
          <w:vertAlign w:val="superscript"/>
        </w:rPr>
        <w:t xml:space="preserve">23][</w:t>
      </w:r>
      <w:r>
        <w:rPr>
          <w:rFonts w:eastAsia="source serif 4" w:cs="source serif 4" w:ascii="source serif 4" w:hAnsi="source serif 4"/>
          <w:color w:val="000000"/>
        </w:rPr>
        <w:t xml:space="preserve">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Some pooled analyses find minimal impact on parental depression, stress, or child emotional problems, emphasizing that parent training does not consistently improve caregiver mental health or broader child adjustment.[^24]</w:t>
      </w:r>
    </w:p>
    <w:p>
      <w:pPr>
        <w:spacing w:line="360" w:before="315" w:after="105" w:lineRule="auto"/>
        <w:ind w:left="-30"/>
        <w:jc w:val="left"/>
      </w:pPr>
      <w:bookmarkStart w:id="13" w:name="triple_p_and_parent_child_interac_c513db"/>
      <w:r>
        <w:rPr>
          <w:rFonts w:eastAsia="source serif 4" w:cs="source serif 4" w:ascii="source serif 4" w:hAnsi="source serif 4"/>
          <w:b/>
          <w:color w:val="000000"/>
          <w:sz w:val="24"/>
        </w:rPr>
        <w:t xml:space="preserve">Triple P and Parent-Child Interaction Therapy (PCIT)</w:t>
      </w:r>
      <w:bookmarkEnd w:id="13"/>
    </w:p>
    <w:p>
      <w:pPr>
        <w:spacing w:line="360" w:after="210" w:lineRule="auto"/>
      </w:pPr>
      <w:r>
        <w:rPr>
          <w:rFonts w:eastAsia="source serif 4" w:cs="source serif 4" w:ascii="source serif 4" w:hAnsi="source serif 4"/>
          <w:color w:val="000000"/>
        </w:rPr>
        <w:t xml:space="preserve">Triple P (Positive Parenting Program) is a multi-level system ranging from brief advice to intensive training, with meta-analytic syntheses of more than 100 studies reporting significant short- and longer-term improvements in child social, emotional, and behavioral outcomes, parenting practices, parenting satisfaction and self-efficacy, and parental adjustment, with larger effects in younger children and higher initial problem severity.[</w:t>
      </w:r>
      <w:r>
        <w:rPr>
          <w:rFonts w:eastAsia="source serif 4" w:cs="source serif 4" w:ascii="source serif 4" w:hAnsi="source serif 4"/>
          <w:color w:val="000000"/>
          <w:vertAlign w:val="superscript"/>
        </w:rPr>
        <w:t xml:space="preserve">25][</w:t>
      </w:r>
      <w:r>
        <w:rPr>
          <w:rFonts w:eastAsia="source serif 4" w:cs="source serif 4" w:ascii="source serif 4" w:hAnsi="source serif 4"/>
          <w:color w:val="000000"/>
        </w:rPr>
        <w:t xml:space="preserve">23]</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PCIT, a live-coaching intervention emphasizing sensitive play and consistent discipline, contributes to the broader parent-training evidence base, though the bulk of PCIT trials focus on preschoolers and older children; its direct evidence for under-3 outcomes is more limited and should be treated cautiously in this chapter.</w:t>
      </w:r>
    </w:p>
    <w:p>
      <w:pPr>
        <w:spacing w:line="360" w:after="210" w:lineRule="auto"/>
      </w:pPr>
      <w:r>
        <w:rPr>
          <w:rFonts w:eastAsia="source serif 4" w:cs="source serif 4" w:ascii="source serif 4" w:hAnsi="source serif 4"/>
          <w:color w:val="000000"/>
        </w:rPr>
        <w:t xml:space="preserve">Overall meta-meta-analytic work on parent-based interventions suggests moderate effects on child externalizing behavior (standardized mean difference around 0.45), with stability into follow-up and substantial heterogeneity by program, risk level, and measurement source.[^23]</w:t>
      </w:r>
    </w:p>
    <w:p>
      <w:pPr>
        <w:spacing w:line="360" w:before="315" w:after="105" w:lineRule="auto"/>
        <w:ind w:left="-30"/>
        <w:jc w:val="left"/>
      </w:pPr>
      <w:bookmarkStart w:id="14" w:name="perinatal_mental_health_interventions"/>
      <w:r>
        <w:rPr>
          <w:rFonts w:eastAsia="source serif 4" w:cs="source serif 4" w:ascii="source serif 4" w:hAnsi="source serif 4"/>
          <w:b/>
          <w:color w:val="000000"/>
          <w:sz w:val="24"/>
        </w:rPr>
        <w:t xml:space="preserve">Perinatal Mental-Health Interventions</w:t>
      </w:r>
      <w:bookmarkEnd w:id="14"/>
    </w:p>
    <w:p>
      <w:pPr>
        <w:spacing w:line="360" w:after="210" w:lineRule="auto"/>
      </w:pPr>
      <w:r>
        <w:rPr>
          <w:rFonts w:eastAsia="source serif 4" w:cs="source serif 4" w:ascii="source serif 4" w:hAnsi="source serif 4"/>
          <w:color w:val="000000"/>
        </w:rPr>
        <w:t xml:space="preserve">Systematic review evidence on perinatal depression and anxiety treatment suggests that several modalities—including interpersonal psychotherapy (IPT), cognitive-behavioral therapy (CBT), massage, maternal–child interaction guidance, and psychotherapeutic group support—can produce meaningful improvements in parenting (e.g., sensitivity, adjustment, perceived competence) and selected child outcomes (e.g., behavior, cortisol regulation).[^26]</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However, long-term follow-ups of specific programs such as the Thinking Healthy Programme show that early reductions in maternal depression do not necessarily translate into durable differences in child cognitive, socioemotional, or physical development at 7 years compared with depressed mothers in control conditions, even though children of never-depressed mothers fare better.[</w:t>
      </w:r>
      <w:r>
        <w:rPr>
          <w:rFonts w:eastAsia="source serif 4" w:cs="source serif 4" w:ascii="source serif 4" w:hAnsi="source serif 4"/>
          <w:color w:val="000000"/>
          <w:vertAlign w:val="superscript"/>
        </w:rPr>
        <w:t xml:space="preserve">27][</w:t>
      </w:r>
      <w:r>
        <w:rPr>
          <w:rFonts w:eastAsia="source serif 4" w:cs="source serif 4" w:ascii="source serif 4" w:hAnsi="source serif 4"/>
          <w:color w:val="000000"/>
        </w:rPr>
        <w:t xml:space="preserve">28]</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These findings highlight that parental symptom improvement is an important goal in itself but may have more modest or domain-specific developmental spillovers than short-term studies sometimes imply.</w:t>
      </w:r>
    </w:p>
    <w:p>
      <w:pPr>
        <w:spacing w:line="360" w:before="315" w:after="105" w:lineRule="auto"/>
        <w:ind w:left="-30"/>
        <w:jc w:val="left"/>
      </w:pPr>
      <w:bookmarkStart w:id="15" w:name="early_education_fadeout_and_persistence"/>
      <w:r>
        <w:rPr>
          <w:rFonts w:eastAsia="source serif 4" w:cs="source serif 4" w:ascii="source serif 4" w:hAnsi="source serif 4"/>
          <w:b/>
          <w:color w:val="000000"/>
          <w:sz w:val="24"/>
        </w:rPr>
        <w:t xml:space="preserve">Early-Education Fadeout and Persistence</w:t>
      </w:r>
      <w:bookmarkEnd w:id="15"/>
    </w:p>
    <w:p>
      <w:pPr>
        <w:spacing w:line="360" w:after="210" w:lineRule="auto"/>
      </w:pPr>
      <w:r>
        <w:rPr>
          <w:rFonts w:eastAsia="source serif 4" w:cs="source serif 4" w:ascii="source serif 4" w:hAnsi="source serif 4"/>
          <w:color w:val="000000"/>
        </w:rPr>
        <w:t xml:space="preserve">Evidence from Perry and Abecedarian illustrates that early test-score gains often attenuate in the years after program end, yet life-course outcomes such as educational attainment, employment, and criminal involvement can remain affected decades later.[</w:t>
      </w:r>
      <w:r>
        <w:rPr>
          <w:rFonts w:eastAsia="source serif 4" w:cs="source serif 4" w:ascii="source serif 4" w:hAnsi="source serif 4"/>
          <w:color w:val="000000"/>
          <w:vertAlign w:val="superscript"/>
        </w:rPr>
        <w:t xml:space="preserve">9][</w:t>
      </w:r>
      <w:r>
        <w:rPr>
          <w:rFonts w:eastAsia="source serif 4" w:cs="source serif 4" w:ascii="source serif 4" w:hAnsi="source serif 4"/>
          <w:color w:val="000000"/>
        </w:rPr>
        <w:t xml:space="preserve">3]</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Meta-analyses of broader preschool and early-learning programs (beyond the landmark trials) typically show initial improvements in cognitive and academic measures that diminish through primary school, with variation by program intensity, quality, and subsequent schooling environments.[^2]</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For Chapter 14, this pattern supports the claim that persistence depends strongly on mechanism and ecological reinforcement, rather than being a simple function of intervention timing alone.</w:t>
      </w:r>
    </w:p>
    <w:p>
      <w:pPr>
        <w:spacing w:line="360" w:before="315" w:after="105" w:lineRule="auto"/>
        <w:ind w:left="-30"/>
        <w:jc w:val="left"/>
      </w:pPr>
      <w:bookmarkStart w:id="16" w:name="scaling_implementation_and_effect_97009e"/>
      <w:r>
        <w:rPr>
          <w:rFonts w:eastAsia="source serif 4" w:cs="source serif 4" w:ascii="source serif 4" w:hAnsi="source serif 4"/>
          <w:b/>
          <w:color w:val="000000"/>
          <w:sz w:val="24"/>
        </w:rPr>
        <w:t xml:space="preserve">Scaling, Implementation, and Effect-Size Attenuation</w:t>
      </w:r>
      <w:bookmarkEnd w:id="16"/>
    </w:p>
    <w:p>
      <w:pPr>
        <w:spacing w:line="360" w:after="210" w:lineRule="auto"/>
      </w:pPr>
      <w:r>
        <w:rPr>
          <w:rFonts w:eastAsia="source serif 4" w:cs="source serif 4" w:ascii="source serif 4" w:hAnsi="source serif 4"/>
          <w:color w:val="000000"/>
        </w:rPr>
        <w:t xml:space="preserve">Several syntheses of NFP and related home-visiting programs document smaller effect sizes when models are replicated in new jurisdictions with routine implementation compared with their original trials, attributed to lower visit dosage, staff turnover, and contextual differences.[</w:t>
      </w:r>
      <w:r>
        <w:rPr>
          <w:rFonts w:eastAsia="source serif 4" w:cs="source serif 4" w:ascii="source serif 4" w:hAnsi="source serif 4"/>
          <w:color w:val="000000"/>
          <w:vertAlign w:val="superscript"/>
        </w:rPr>
        <w:t xml:space="preserve">29][</w:t>
      </w:r>
      <w:r>
        <w:rPr>
          <w:rFonts w:eastAsia="source serif 4" w:cs="source serif 4" w:ascii="source serif 4" w:hAnsi="source serif 4"/>
          <w:color w:val="000000"/>
        </w:rPr>
        <w:t xml:space="preserve">5][^1]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Implementation-science literature on early childhood programs emphasizes fidelity–adaptation trade-offs, local capacity, and system-level supports as major determinants of whether proven interventions retain their impact at scale.[^2]</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body of work underpins Chapter 14’s claim that scaling often reduces effect sizes and that the ecology of services, workforce, and policy is itself a causal condition.</w:t>
      </w:r>
    </w:p>
    <w:p>
      <w:pPr>
        <w:spacing w:line="360" w:before="315" w:after="105" w:lineRule="auto"/>
        <w:ind w:left="-30"/>
        <w:jc w:val="left"/>
      </w:pPr>
      <w:bookmarkStart w:id="17" w:name="equity_heterogeneity_and_differen_d2771d"/>
      <w:r>
        <w:rPr>
          <w:rFonts w:eastAsia="source serif 4" w:cs="source serif 4" w:ascii="source serif 4" w:hAnsi="source serif 4"/>
          <w:b/>
          <w:color w:val="000000"/>
          <w:sz w:val="24"/>
        </w:rPr>
        <w:t xml:space="preserve">Equity, Heterogeneity, and Differential Effects</w:t>
      </w:r>
      <w:bookmarkEnd w:id="17"/>
    </w:p>
    <w:p>
      <w:pPr>
        <w:spacing w:line="360" w:after="210" w:lineRule="auto"/>
      </w:pPr>
      <w:r>
        <w:rPr>
          <w:rFonts w:eastAsia="source serif 4" w:cs="source serif 4" w:ascii="source serif 4" w:hAnsi="source serif 4"/>
          <w:color w:val="000000"/>
        </w:rPr>
        <w:t xml:space="preserve">Many landmark programs, including Perry, Abecedarian, and NFP, primarily serve socioeconomically disadvantaged families, and their effect sizes are often largest for high-risk groups (e.g., boys in Perry, families with higher baseline adversity in Abecedarian).[</w:t>
      </w:r>
      <w:r>
        <w:rPr>
          <w:rFonts w:eastAsia="source serif 4" w:cs="source serif 4" w:ascii="source serif 4" w:hAnsi="source serif 4"/>
          <w:color w:val="000000"/>
          <w:vertAlign w:val="superscript"/>
        </w:rPr>
        <w:t xml:space="preserve">3][</w:t>
      </w:r>
      <w:r>
        <w:rPr>
          <w:rFonts w:eastAsia="source serif 4" w:cs="source serif 4" w:ascii="source serif 4" w:hAnsi="source serif 4"/>
          <w:color w:val="000000"/>
        </w:rPr>
        <w:t xml:space="preserve">9][^2]</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Meta-analytic work on parent-training programs shows greater benefits when children begin with more severe behavioral difficulties, and smaller or null effects in universal, low-risk samples.[</w:t>
      </w:r>
      <w:r>
        <w:rPr>
          <w:rFonts w:eastAsia="source serif 4" w:cs="source serif 4" w:ascii="source serif 4" w:hAnsi="source serif 4"/>
          <w:color w:val="000000"/>
          <w:vertAlign w:val="superscript"/>
        </w:rPr>
        <w:t xml:space="preserve">21][</w:t>
      </w:r>
      <w:r>
        <w:rPr>
          <w:rFonts w:eastAsia="source serif 4" w:cs="source serif 4" w:ascii="source serif 4" w:hAnsi="source serif 4"/>
          <w:color w:val="000000"/>
        </w:rPr>
        <w:t xml:space="preserve">23]</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For Chapter 14, equity analysis must therefore track not only average effects but also which subgroups gain, which see little change, and who remains excluded from access or effective implementation.</w:t>
      </w:r>
    </w:p>
    <w:p>
      <w:pPr>
        <w:spacing w:line="360" w:before="315" w:after="105" w:lineRule="auto"/>
        <w:ind w:left="-30"/>
        <w:jc w:val="left"/>
      </w:pPr>
      <w:bookmarkStart w:id="18" w:name="preliminary_mapping_to_claim_register"/>
      <w:r>
        <w:rPr>
          <w:rFonts w:eastAsia="source serif 4" w:cs="source serif 4" w:ascii="source serif 4" w:hAnsi="source serif 4"/>
          <w:b/>
          <w:color w:val="000000"/>
          <w:sz w:val="24"/>
        </w:rPr>
        <w:t xml:space="preserve">Preliminary Mapping to Claim Register</w:t>
      </w:r>
      <w:bookmarkEnd w:id="18"/>
    </w:p>
    <w:p>
      <w:pPr>
        <w:spacing w:line="360" w:after="210" w:lineRule="auto"/>
      </w:pPr>
      <w:r>
        <w:rPr>
          <w:rFonts w:eastAsia="source serif 4" w:cs="source serif 4" w:ascii="source serif 4" w:hAnsi="source serif 4"/>
          <w:color w:val="000000"/>
        </w:rPr>
        <w:t xml:space="preserve">Based on the current landmark evidence:</w:t>
      </w:r>
    </w:p>
    <w:p>
      <w:pPr>
        <w:numPr>
          <w:ilvl w:val="0"/>
          <w:numId w:val="1"/>
        </w:numPr>
        <w:spacing w:line="360" w:before="105" w:after="105" w:lineRule="auto"/>
      </w:pPr>
      <w:r>
        <w:rPr>
          <w:rFonts w:eastAsia="source serif 4" w:cs="source serif 4" w:ascii="source serif 4" w:hAnsi="source serif 4"/>
          <w:color w:val="000000"/>
          <w:sz w:val="21"/>
        </w:rPr>
        <w:t xml:space="preserve">C14-01 (Some developmental outcomes are modifiable through intervention) is well supported by robust RCTs and long-term follow-ups in medical prevention, home visiting, responsive caregiving, early education, and parent training, especially in high-risk populations.[</w:t>
      </w:r>
      <w:r>
        <w:rPr>
          <w:rFonts w:eastAsia="source serif 4" w:cs="source serif 4" w:ascii="source serif 4" w:hAnsi="source serif 4"/>
          <w:color w:val="000000"/>
          <w:sz w:val="21"/>
          <w:vertAlign w:val="superscript"/>
        </w:rPr>
        <w:t xml:space="preserve">1][</w:t>
      </w:r>
      <w:r>
        <w:rPr>
          <w:rFonts w:eastAsia="source serif 4" w:cs="source serif 4" w:ascii="source serif 4" w:hAnsi="source serif 4"/>
          <w:color w:val="000000"/>
          <w:sz w:val="21"/>
        </w:rPr>
        <w:t xml:space="preserve">3][^2]</w:t>
      </w:r>
    </w:p>
    <w:p>
      <w:pPr>
        <w:numPr>
          <w:ilvl w:val="0"/>
          <w:numId w:val="1"/>
        </w:numPr>
        <w:spacing w:line="360" w:before="105" w:after="105" w:lineRule="auto"/>
      </w:pPr>
      <w:r>
        <w:rPr>
          <w:rFonts w:eastAsia="source serif 4" w:cs="source serif 4" w:ascii="source serif 4" w:hAnsi="source serif 4"/>
          <w:color w:val="000000"/>
          <w:sz w:val="21"/>
        </w:rPr>
        <w:t xml:space="preserve">C14-02 (Strong causal evidence exists for selected interventions) is supported for vaccination, newborn screening, NFP, Perry, Abecedarian, ABC, VIPP, and major parent-training programs, though strength varies by outcome domain and context.[</w:t>
      </w:r>
      <w:r>
        <w:rPr>
          <w:rFonts w:eastAsia="source serif 4" w:cs="source serif 4" w:ascii="source serif 4" w:hAnsi="source serif 4"/>
          <w:color w:val="000000"/>
          <w:sz w:val="21"/>
          <w:vertAlign w:val="superscript"/>
        </w:rPr>
        <w:t xml:space="preserve">16][</w:t>
      </w:r>
      <w:r>
        <w:rPr>
          <w:rFonts w:eastAsia="source serif 4" w:cs="source serif 4" w:ascii="source serif 4" w:hAnsi="source serif 4"/>
          <w:color w:val="000000"/>
          <w:sz w:val="21"/>
        </w:rPr>
        <w:t xml:space="preserve">20][</w:t>
      </w:r>
      <w:r>
        <w:rPr>
          <w:rFonts w:eastAsia="source serif 4" w:cs="source serif 4" w:ascii="source serif 4" w:hAnsi="source serif 4"/>
          <w:color w:val="000000"/>
          <w:sz w:val="21"/>
          <w:vertAlign w:val="superscript"/>
        </w:rPr>
        <w:t xml:space="preserve">1][</w:t>
      </w:r>
      <w:r>
        <w:rPr>
          <w:rFonts w:eastAsia="source serif 4" w:cs="source serif 4" w:ascii="source serif 4" w:hAnsi="source serif 4"/>
          <w:color w:val="000000"/>
          <w:sz w:val="21"/>
        </w:rPr>
        <w:t xml:space="preserve">3][^2]</w:t>
      </w:r>
    </w:p>
    <w:p>
      <w:pPr>
        <w:numPr>
          <w:ilvl w:val="0"/>
          <w:numId w:val="1"/>
        </w:numPr>
        <w:spacing w:line="360" w:before="105" w:after="105" w:lineRule="auto"/>
      </w:pPr>
      <w:r>
        <w:rPr>
          <w:rFonts w:eastAsia="source serif 4" w:cs="source serif 4" w:ascii="source serif 4" w:hAnsi="source serif 4"/>
          <w:color w:val="000000"/>
          <w:sz w:val="21"/>
        </w:rPr>
        <w:t xml:space="preserve">C14-03 (Intervention effects vary substantially across domains) is reflected in stronger impacts on injuries, maltreatment, and externalizing behavior than on broad cognitive or socioemotional outcomes in some programs, and vice versa in others.[</w:t>
      </w:r>
      <w:r>
        <w:rPr>
          <w:rFonts w:eastAsia="source serif 4" w:cs="source serif 4" w:ascii="source serif 4" w:hAnsi="source serif 4"/>
          <w:color w:val="000000"/>
          <w:sz w:val="21"/>
          <w:vertAlign w:val="superscript"/>
        </w:rPr>
        <w:t xml:space="preserve">26][</w:t>
      </w:r>
      <w:r>
        <w:rPr>
          <w:rFonts w:eastAsia="source serif 4" w:cs="source serif 4" w:ascii="source serif 4" w:hAnsi="source serif 4"/>
          <w:color w:val="000000"/>
          <w:sz w:val="21"/>
        </w:rPr>
        <w:t xml:space="preserve">23][^1]</w:t>
      </w:r>
    </w:p>
    <w:p>
      <w:pPr>
        <w:numPr>
          <w:ilvl w:val="0"/>
          <w:numId w:val="1"/>
        </w:numPr>
        <w:spacing w:line="360" w:before="105" w:after="105" w:lineRule="auto"/>
      </w:pPr>
      <w:r>
        <w:rPr>
          <w:rFonts w:eastAsia="source serif 4" w:cs="source serif 4" w:ascii="source serif 4" w:hAnsi="source serif 4"/>
          <w:color w:val="000000"/>
          <w:sz w:val="21"/>
        </w:rPr>
        <w:t xml:space="preserve">C14-07 (Scaling often reduces effect sizes) is supported by NFP replication data and implementation-science analyses of early-childhood programs.[</w:t>
      </w:r>
      <w:r>
        <w:rPr>
          <w:rFonts w:eastAsia="source serif 4" w:cs="source serif 4" w:ascii="source serif 4" w:hAnsi="source serif 4"/>
          <w:color w:val="000000"/>
          <w:sz w:val="21"/>
          <w:vertAlign w:val="superscript"/>
        </w:rPr>
        <w:t xml:space="preserve">5][</w:t>
      </w:r>
      <w:r>
        <w:rPr>
          <w:rFonts w:eastAsia="source serif 4" w:cs="source serif 4" w:ascii="source serif 4" w:hAnsi="source serif 4"/>
          <w:color w:val="000000"/>
          <w:sz w:val="21"/>
        </w:rPr>
        <w:t xml:space="preserve">29][^1]</w:t>
      </w:r>
    </w:p>
    <w:p>
      <w:pPr>
        <w:numPr>
          <w:ilvl w:val="0"/>
          <w:numId w:val="1"/>
        </w:numPr>
        <w:spacing w:line="360" w:before="105" w:after="105" w:lineRule="auto"/>
      </w:pPr>
      <w:r>
        <w:rPr>
          <w:rFonts w:eastAsia="source serif 4" w:cs="source serif 4" w:ascii="source serif 4" w:hAnsi="source serif 4"/>
          <w:color w:val="000000"/>
          <w:sz w:val="21"/>
        </w:rPr>
        <w:t xml:space="preserve">C14-08 and C14-09 (Fadeout and persistence) are supported by Perry, Abecedarian, and wider preschool literature that shows short-term cognitive fadeout but long-term differences in educational and social outcomes.[</w:t>
      </w:r>
      <w:r>
        <w:rPr>
          <w:rFonts w:eastAsia="source serif 4" w:cs="source serif 4" w:ascii="source serif 4" w:hAnsi="source serif 4"/>
          <w:color w:val="000000"/>
          <w:sz w:val="21"/>
          <w:vertAlign w:val="superscript"/>
        </w:rPr>
        <w:t xml:space="preserve">9][</w:t>
      </w:r>
      <w:r>
        <w:rPr>
          <w:rFonts w:eastAsia="source serif 4" w:cs="source serif 4" w:ascii="source serif 4" w:hAnsi="source serif 4"/>
          <w:color w:val="000000"/>
          <w:sz w:val="21"/>
        </w:rPr>
        <w:t xml:space="preserve">3][^2]</w:t>
      </w:r>
    </w:p>
    <w:p>
      <w:pPr>
        <w:numPr>
          <w:ilvl w:val="0"/>
          <w:numId w:val="1"/>
        </w:numPr>
        <w:spacing w:line="360" w:before="105" w:after="105" w:lineRule="auto"/>
      </w:pPr>
      <w:r>
        <w:rPr>
          <w:rFonts w:eastAsia="source serif 4" w:cs="source serif 4" w:ascii="source serif 4" w:hAnsi="source serif 4"/>
          <w:color w:val="000000"/>
          <w:sz w:val="21"/>
        </w:rPr>
        <w:t xml:space="preserve">C14-10 (Equity considerations) is supported by subgroup analyses showing larger gains for high-risk children and persistent gaps for those never reached by interventions.[</w:t>
      </w:r>
      <w:r>
        <w:rPr>
          <w:rFonts w:eastAsia="source serif 4" w:cs="source serif 4" w:ascii="source serif 4" w:hAnsi="source serif 4"/>
          <w:color w:val="000000"/>
          <w:sz w:val="21"/>
          <w:vertAlign w:val="superscript"/>
        </w:rPr>
        <w:t xml:space="preserve">21][</w:t>
      </w:r>
      <w:r>
        <w:rPr>
          <w:rFonts w:eastAsia="source serif 4" w:cs="source serif 4" w:ascii="source serif 4" w:hAnsi="source serif 4"/>
          <w:color w:val="000000"/>
          <w:sz w:val="21"/>
        </w:rPr>
        <w:t xml:space="preserve">2]</w:t>
      </w:r>
    </w:p>
    <w:p>
      <w:pPr>
        <w:spacing w:line="360" w:after="210" w:lineRule="auto"/>
      </w:pPr>
      <w:r>
        <w:rPr>
          <w:rFonts w:eastAsia="source serif 4" w:cs="source serif 4" w:ascii="source serif 4" w:hAnsi="source serif 4"/>
          <w:color w:val="000000"/>
        </w:rPr>
        <w:t xml:space="preserve">Other proposed claims (e.g., about sensitive periods, digital interventions, and null results) require additional targeted reviews beyond the landmark programs summarized here.</w:t>
      </w:r>
    </w:p>
    <w:p>
      <w:pPr>
        <w:spacing w:line="360" w:before="315" w:after="105" w:lineRule="auto"/>
        <w:ind w:left="-30"/>
        <w:jc w:val="left"/>
      </w:pPr>
      <w:bookmarkStart w:id="19" w:name="priority_next_steps_for_the_chapt_168372"/>
      <w:r>
        <w:rPr>
          <w:rFonts w:eastAsia="source serif 4" w:cs="source serif 4" w:ascii="source serif 4" w:hAnsi="source serif 4"/>
          <w:b/>
          <w:color w:val="000000"/>
          <w:sz w:val="24"/>
        </w:rPr>
        <w:t xml:space="preserve">Priority Next Steps for the Chapter 14 Dossier</w:t>
      </w:r>
      <w:bookmarkEnd w:id="19"/>
    </w:p>
    <w:p>
      <w:pPr>
        <w:spacing w:line="360" w:after="210" w:lineRule="auto"/>
      </w:pPr>
      <w:r>
        <w:rPr>
          <w:rFonts w:eastAsia="source serif 4" w:cs="source serif 4" w:ascii="source serif 4" w:hAnsi="source serif 4"/>
          <w:color w:val="000000"/>
        </w:rPr>
        <w:t xml:space="preserve">To complete the Chapter 14 research dossier envisaged in the book plan, subsequent work should:</w:t>
      </w:r>
    </w:p>
    <w:p>
      <w:pPr>
        <w:numPr>
          <w:ilvl w:val="0"/>
          <w:numId w:val="2"/>
        </w:numPr>
        <w:spacing w:line="360" w:before="105" w:after="105" w:lineRule="auto"/>
      </w:pPr>
      <w:r>
        <w:rPr>
          <w:rFonts w:eastAsia="source serif 4" w:cs="source serif 4" w:ascii="source serif 4" w:hAnsi="source serif 4"/>
          <w:color w:val="000000"/>
          <w:sz w:val="21"/>
        </w:rPr>
        <w:t xml:space="preserve">Build domain-specific evidence cards for medical prevention, nutrition, smoking and substance interventions, mental-health treatment, responsive caregiving, home visiting, early education, childcare quality improvement, parent training, and digital interventions, each graded for identification strength and overall certainty.[^2]</w:t>
      </w:r>
    </w:p>
    <w:p>
      <w:pPr>
        <w:numPr>
          <w:ilvl w:val="0"/>
          <w:numId w:val="2"/>
        </w:numPr>
        <w:spacing w:line="360" w:before="105" w:after="105" w:lineRule="auto"/>
      </w:pPr>
      <w:r>
        <w:rPr>
          <w:rFonts w:eastAsia="source serif 4" w:cs="source serif 4" w:ascii="source serif 4" w:hAnsi="source serif 4"/>
          <w:color w:val="000000"/>
          <w:sz w:val="21"/>
        </w:rPr>
        <w:t xml:space="preserve">Compile a home-visiting evidence matrix comparing NFP, FNP, Early Head Start home services, and community health-worker models across mechanisms, dosage, outcomes, and scaling performance.[</w:t>
      </w:r>
      <w:r>
        <w:rPr>
          <w:rFonts w:eastAsia="source serif 4" w:cs="source serif 4" w:ascii="source serif 4" w:hAnsi="source serif 4"/>
          <w:color w:val="000000"/>
          <w:sz w:val="21"/>
          <w:vertAlign w:val="superscript"/>
        </w:rPr>
        <w:t xml:space="preserve">5][</w:t>
      </w:r>
      <w:r>
        <w:rPr>
          <w:rFonts w:eastAsia="source serif 4" w:cs="source serif 4" w:ascii="source serif 4" w:hAnsi="source serif 4"/>
          <w:color w:val="000000"/>
          <w:sz w:val="21"/>
        </w:rPr>
        <w:t xml:space="preserve">1]</w:t>
      </w:r>
    </w:p>
    <w:p>
      <w:pPr>
        <w:numPr>
          <w:ilvl w:val="0"/>
          <w:numId w:val="2"/>
        </w:numPr>
        <w:spacing w:line="360" w:before="105" w:after="105" w:lineRule="auto"/>
      </w:pPr>
      <w:r>
        <w:rPr>
          <w:rFonts w:eastAsia="source serif 4" w:cs="source serif 4" w:ascii="source serif 4" w:hAnsi="source serif 4"/>
          <w:color w:val="000000"/>
          <w:sz w:val="21"/>
        </w:rPr>
        <w:t xml:space="preserve">Develop a scaling and implementation review focusing on fidelity, system supports, and real-world heterogeneity, linked explicitly to effect-size attenuation estimates.</w:t>
      </w:r>
    </w:p>
    <w:p>
      <w:pPr>
        <w:numPr>
          <w:ilvl w:val="0"/>
          <w:numId w:val="2"/>
        </w:numPr>
        <w:spacing w:line="360" w:before="105" w:after="105" w:lineRule="auto"/>
      </w:pPr>
      <w:r>
        <w:rPr>
          <w:rFonts w:eastAsia="source serif 4" w:cs="source serif 4" w:ascii="source serif 4" w:hAnsi="source serif 4"/>
          <w:color w:val="000000"/>
          <w:sz w:val="21"/>
        </w:rPr>
        <w:t xml:space="preserve">Map fadeout and persistence trajectories across domains (cognition, language, executive function, behavior, health) using longitudinal follow-ups where available.[</w:t>
      </w:r>
      <w:r>
        <w:rPr>
          <w:rFonts w:eastAsia="source serif 4" w:cs="source serif 4" w:ascii="source serif 4" w:hAnsi="source serif 4"/>
          <w:color w:val="000000"/>
          <w:sz w:val="21"/>
          <w:vertAlign w:val="superscript"/>
        </w:rPr>
        <w:t xml:space="preserve">3][</w:t>
      </w:r>
      <w:r>
        <w:rPr>
          <w:rFonts w:eastAsia="source serif 4" w:cs="source serif 4" w:ascii="source serif 4" w:hAnsi="source serif 4"/>
          <w:color w:val="000000"/>
          <w:sz w:val="21"/>
        </w:rPr>
        <w:t xml:space="preserve">2]</w:t>
      </w:r>
    </w:p>
    <w:p>
      <w:pPr>
        <w:numPr>
          <w:ilvl w:val="0"/>
          <w:numId w:val="2"/>
        </w:numPr>
        <w:spacing w:line="360" w:before="105" w:after="105" w:lineRule="auto"/>
      </w:pPr>
      <w:r>
        <w:rPr>
          <w:rFonts w:eastAsia="source serif 4" w:cs="source serif 4" w:ascii="source serif 4" w:hAnsi="source serif 4"/>
          <w:color w:val="000000"/>
          <w:sz w:val="21"/>
        </w:rPr>
        <w:t xml:space="preserve">Construct an equity assessment framework that distinguishes average treatment effects from distributional and access effects across socioeconomic, cultural, and risk strata.[^2]</w:t>
      </w:r>
    </w:p>
    <w:p>
      <w:pPr>
        <w:spacing w:line="360" w:after="210" w:lineRule="auto"/>
      </w:pPr>
      <w:r>
        <w:rPr>
          <w:rFonts w:eastAsia="source serif 4" w:cs="source serif 4" w:ascii="source serif 4" w:hAnsi="source serif 4"/>
          <w:color w:val="000000"/>
        </w:rPr>
        <w:t xml:space="preserve">These steps will allow Chapter 14 to move from landmark-exemplar description toward a systematic, constraint-aware atlas of what actually works, for whom, and with what limits.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references"/>
      <w:r>
        <w:rPr>
          <w:rFonts w:eastAsia="source serif 4" w:cs="source serif 4" w:ascii="source serif 4" w:hAnsi="source serif 4"/>
          <w:b/>
          <w:color w:val="000000"/>
          <w:sz w:val="24"/>
        </w:rPr>
        <w:t xml:space="preserve">References</w:t>
      </w:r>
      <w:bookmarkEnd w:id="20"/>
    </w:p>
    <w:p>
      <w:pPr>
        <w:numPr>
          <w:ilvl w:val="0"/>
          <w:numId w:val="3"/>
        </w:numPr>
        <w:spacing w:line="360" w:after="210" w:lineRule="auto"/>
      </w:pPr>
      <w:hyperlink r:id="rId5">
        <w:r>
          <w:rPr>
            <w:rFonts w:eastAsia="source sans 3" w:cs="source sans 3" w:ascii="source sans 3" w:hAnsi="source sans 3"/>
            <w:color w:val="#000"/>
            <w:sz w:val="21"/>
            <w:u w:val="single"/>
          </w:rPr>
          <w:t xml:space="preserve">Projected Outcomes of Nurse-Family Partnership Home Visitation ...</w:t>
        </w:r>
      </w:hyperlink>
      <w:r>
        <w:rPr>
          <w:rFonts w:eastAsia="source serif 4" w:cs="source serif 4" w:ascii="source serif 4" w:hAnsi="source serif 4"/>
          <w:color w:val="000000"/>
          <w:sz w:val="21"/>
        </w:rPr>
        <w:t xml:space="preserve"> - Nurse-Family Partnership (NFP) targets intensive prenatal and postnatal home visitation by registere...</w:t>
      </w:r>
    </w:p>
    <w:p>
      <w:pPr>
        <w:numPr>
          <w:ilvl w:val="0"/>
          <w:numId w:val="3"/>
        </w:numPr>
        <w:spacing w:line="360" w:after="210" w:lineRule="auto"/>
      </w:pPr>
      <w:hyperlink r:id="rId6">
        <w:r>
          <w:rPr>
            <w:rFonts w:eastAsia="source sans 3" w:cs="source sans 3" w:ascii="source sans 3" w:hAnsi="source sans 3"/>
            <w:color w:val="#000"/>
            <w:sz w:val="21"/>
            <w:u w:val="single"/>
          </w:rPr>
          <w:t xml:space="preserve">The Abecedarian Project and its Replications</w:t>
        </w:r>
      </w:hyperlink>
      <w:r>
        <w:rPr>
          <w:rFonts w:eastAsia="source serif 4" w:cs="source serif 4" w:ascii="source serif 4" w:hAnsi="source serif 4"/>
          <w:color w:val="000000"/>
          <w:sz w:val="21"/>
        </w:rPr>
        <w:t xml:space="preserve"> - Introduction: The Abecedarian Project was a randomized controlled trial (RCT) that tested the effect...</w:t>
      </w:r>
    </w:p>
    <w:p>
      <w:pPr>
        <w:numPr>
          <w:ilvl w:val="0"/>
          <w:numId w:val="3"/>
        </w:numPr>
        <w:spacing w:line="360" w:after="210" w:lineRule="auto"/>
      </w:pPr>
      <w:hyperlink r:id="rId7">
        <w:r>
          <w:rPr>
            <w:rFonts w:eastAsia="source sans 3" w:cs="source sans 3" w:ascii="source sans 3" w:hAnsi="source sans 3"/>
            <w:color w:val="#000"/>
            <w:sz w:val="21"/>
            <w:u w:val="single"/>
          </w:rPr>
          <w:t xml:space="preserve">The Effects of Two Influential Early Childhood Interventions ...</w:t>
        </w:r>
      </w:hyperlink>
      <w:r>
        <w:rPr>
          <w:rFonts w:eastAsia="source serif 4" w:cs="source serif 4" w:ascii="source serif 4" w:hAnsi="source serif 4"/>
          <w:color w:val="000000"/>
          <w:sz w:val="21"/>
        </w:rPr>
        <w:t xml:space="preserve"> - This paper examines the long-term impacts on health and healthy behaviors of two of the oldest and m...</w:t>
      </w:r>
    </w:p>
    <w:p>
      <w:pPr>
        <w:numPr>
          <w:ilvl w:val="0"/>
          <w:numId w:val="3"/>
        </w:numPr>
        <w:spacing w:line="360" w:after="210" w:lineRule="auto"/>
      </w:pPr>
      <w:hyperlink r:id="rId8">
        <w:r>
          <w:rPr>
            <w:rFonts w:eastAsia="source sans 3" w:cs="source sans 3" w:ascii="source sans 3" w:hAnsi="source sans 3"/>
            <w:color w:val="#000"/>
            <w:sz w:val="21"/>
            <w:u w:val="single"/>
          </w:rPr>
          <w:t xml:space="preserve">NFP Research - Nurse-Family Partnership (NFP) International</w:t>
        </w:r>
      </w:hyperlink>
    </w:p>
    <w:p>
      <w:pPr>
        <w:numPr>
          <w:ilvl w:val="0"/>
          <w:numId w:val="3"/>
        </w:numPr>
        <w:spacing w:line="360" w:after="210" w:lineRule="auto"/>
      </w:pPr>
      <w:hyperlink r:id="rId9">
        <w:r>
          <w:rPr>
            <w:rFonts w:eastAsia="source sans 3" w:cs="source sans 3" w:ascii="source sans 3" w:hAnsi="source sans 3"/>
            <w:color w:val="#000"/>
            <w:sz w:val="21"/>
            <w:u w:val="single"/>
          </w:rPr>
          <w:t xml:space="preserve">Summary findings of the Nurse–Family Partnership and VoorZorg trials</w:t>
        </w:r>
      </w:hyperlink>
    </w:p>
    <w:p>
      <w:pPr>
        <w:numPr>
          <w:ilvl w:val="0"/>
          <w:numId w:val="3"/>
        </w:numPr>
        <w:spacing w:line="360" w:after="210" w:lineRule="auto"/>
      </w:pPr>
      <w:hyperlink r:id="rId10">
        <w:r>
          <w:rPr>
            <w:rFonts w:eastAsia="source sans 3" w:cs="source sans 3" w:ascii="source sans 3" w:hAnsi="source sans 3"/>
            <w:color w:val="#000"/>
            <w:sz w:val="21"/>
            <w:u w:val="single"/>
          </w:rPr>
          <w:t xml:space="preserve">Nurse-Family Partnership FACT RESEARCH TRIALS AND OUTCOMES</w:t>
        </w:r>
      </w:hyperlink>
    </w:p>
    <w:p>
      <w:pPr>
        <w:numPr>
          <w:ilvl w:val="0"/>
          <w:numId w:val="3"/>
        </w:numPr>
        <w:spacing w:line="360" w:after="210" w:lineRule="auto"/>
      </w:pPr>
      <w:hyperlink r:id="rId11">
        <w:r>
          <w:rPr>
            <w:rFonts w:eastAsia="source sans 3" w:cs="source sans 3" w:ascii="source sans 3" w:hAnsi="source sans 3"/>
            <w:color w:val="#000"/>
            <w:sz w:val="21"/>
            <w:u w:val="single"/>
          </w:rPr>
          <w:t xml:space="preserve">[PDF] The Evidence Base for Family Nurse Partnership - NICE</w:t>
        </w:r>
      </w:hyperlink>
    </w:p>
    <w:p>
      <w:pPr>
        <w:numPr>
          <w:ilvl w:val="0"/>
          <w:numId w:val="3"/>
        </w:numPr>
        <w:spacing w:line="360" w:after="210" w:lineRule="auto"/>
      </w:pPr>
      <w:hyperlink r:id="rId12">
        <w:r>
          <w:rPr>
            <w:rFonts w:eastAsia="source sans 3" w:cs="source sans 3" w:ascii="source sans 3" w:hAnsi="source sans 3"/>
            <w:color w:val="#000"/>
            <w:sz w:val="21"/>
            <w:u w:val="single"/>
          </w:rPr>
          <w:t xml:space="preserve">Family Nurse Partnership (FNP) - Foundations</w:t>
        </w:r>
      </w:hyperlink>
    </w:p>
    <w:p>
      <w:pPr>
        <w:numPr>
          <w:ilvl w:val="0"/>
          <w:numId w:val="3"/>
        </w:numPr>
        <w:spacing w:line="360" w:after="210" w:lineRule="auto"/>
      </w:pPr>
      <w:hyperlink r:id="rId13">
        <w:r>
          <w:rPr>
            <w:rFonts w:eastAsia="source sans 3" w:cs="source sans 3" w:ascii="source sans 3" w:hAnsi="source sans 3"/>
            <w:color w:val="#000"/>
            <w:sz w:val="21"/>
            <w:u w:val="single"/>
          </w:rPr>
          <w:t xml:space="preserve">The Perry Preschoolers at Late Midlife: A Study in Design-Specific Inference</w:t>
        </w:r>
      </w:hyperlink>
      <w:r>
        <w:rPr>
          <w:rFonts w:eastAsia="source serif 4" w:cs="source serif 4" w:ascii="source serif 4" w:hAnsi="source serif 4"/>
          <w:color w:val="000000"/>
          <w:sz w:val="21"/>
        </w:rPr>
        <w:t xml:space="preserve"> - This paper presents the first analysis of the life course outcomes through late midlife (around age ...</w:t>
      </w:r>
    </w:p>
    <w:p>
      <w:pPr>
        <w:numPr>
          <w:ilvl w:val="0"/>
          <w:numId w:val="3"/>
        </w:numPr>
        <w:spacing w:line="360" w:after="210" w:lineRule="auto"/>
      </w:pPr>
      <w:hyperlink r:id="rId14">
        <w:r>
          <w:rPr>
            <w:rFonts w:eastAsia="source sans 3" w:cs="source sans 3" w:ascii="source sans 3" w:hAnsi="source sans 3"/>
            <w:color w:val="#000"/>
            <w:sz w:val="21"/>
            <w:u w:val="single"/>
          </w:rPr>
          <w:t xml:space="preserve">Boosting Intergenerational Mobility:</w:t>
        </w:r>
      </w:hyperlink>
    </w:p>
    <w:p>
      <w:pPr>
        <w:numPr>
          <w:ilvl w:val="0"/>
          <w:numId w:val="3"/>
        </w:numPr>
        <w:spacing w:line="360" w:after="210" w:lineRule="auto"/>
      </w:pPr>
      <w:hyperlink r:id="rId15">
        <w:r>
          <w:rPr>
            <w:rFonts w:eastAsia="source sans 3" w:cs="source sans 3" w:ascii="source sans 3" w:hAnsi="source sans 3"/>
            <w:color w:val="#000"/>
            <w:sz w:val="21"/>
            <w:u w:val="single"/>
          </w:rPr>
          <w:t xml:space="preserve">ED541939 - The Abecedarian Project: High-Quality Early Child Care ...</w:t>
        </w:r>
      </w:hyperlink>
      <w:r>
        <w:rPr>
          <w:rFonts w:eastAsia="source serif 4" w:cs="source serif 4" w:ascii="source serif 4" w:hAnsi="source serif 4"/>
          <w:color w:val="000000"/>
          <w:sz w:val="21"/>
        </w:rPr>
        <w:t xml:space="preserve"> - Do the positive effects of an intensive early childhood educational program extend into adulthood? F...</w:t>
      </w:r>
    </w:p>
    <w:p>
      <w:pPr>
        <w:numPr>
          <w:ilvl w:val="0"/>
          <w:numId w:val="3"/>
        </w:numPr>
        <w:spacing w:line="360" w:after="210" w:lineRule="auto"/>
      </w:pPr>
      <w:hyperlink r:id="rId16">
        <w:r>
          <w:rPr>
            <w:rFonts w:eastAsia="source sans 3" w:cs="source sans 3" w:ascii="source sans 3" w:hAnsi="source sans 3"/>
            <w:color w:val="#000"/>
            <w:sz w:val="21"/>
            <w:u w:val="single"/>
          </w:rPr>
          <w:t xml:space="preserve">The Abecedarian Project</w:t>
        </w:r>
      </w:hyperlink>
    </w:p>
    <w:p>
      <w:pPr>
        <w:numPr>
          <w:ilvl w:val="0"/>
          <w:numId w:val="3"/>
        </w:numPr>
        <w:spacing w:line="360" w:after="210" w:lineRule="auto"/>
      </w:pPr>
      <w:hyperlink r:id="rId17">
        <w:r>
          <w:rPr>
            <w:rFonts w:eastAsia="source sans 3" w:cs="source sans 3" w:ascii="source sans 3" w:hAnsi="source sans 3"/>
            <w:color w:val="#000"/>
            <w:sz w:val="21"/>
            <w:u w:val="single"/>
          </w:rPr>
          <w:t xml:space="preserve">Supporting insensitive mothers: the Vilnius randomized control trial of video-feedback intervention to promote maternal sensitivity and infant attachment security - PubMed</w:t>
        </w:r>
      </w:hyperlink>
      <w:r>
        <w:rPr>
          <w:rFonts w:eastAsia="source serif 4" w:cs="source serif 4" w:ascii="source serif 4" w:hAnsi="source serif 4"/>
          <w:color w:val="000000"/>
          <w:sz w:val="21"/>
        </w:rPr>
        <w:t xml:space="preserve"> - We suggest that a relatively brief and low-cost programme can provide effective support for mothers ...</w:t>
      </w:r>
    </w:p>
    <w:p>
      <w:pPr>
        <w:numPr>
          <w:ilvl w:val="0"/>
          <w:numId w:val="3"/>
        </w:numPr>
        <w:spacing w:line="360" w:after="210" w:lineRule="auto"/>
      </w:pPr>
      <w:hyperlink r:id="rId18">
        <w:r>
          <w:rPr>
            <w:rFonts w:eastAsia="source sans 3" w:cs="source sans 3" w:ascii="source sans 3" w:hAnsi="source sans 3"/>
            <w:color w:val="#000"/>
            <w:sz w:val="21"/>
            <w:u w:val="single"/>
          </w:rPr>
          <w:t xml:space="preserve">Efficacy of the Video-feedback Intervention to promote Positive Parenting and Sensitive Discipline in Twin Families (VIPP-Twins): Study protocol for a randomized controlled trial</w:t>
        </w:r>
      </w:hyperlink>
      <w:r>
        <w:rPr>
          <w:rFonts w:eastAsia="source serif 4" w:cs="source serif 4" w:ascii="source serif 4" w:hAnsi="source serif 4"/>
          <w:color w:val="000000"/>
          <w:sz w:val="21"/>
        </w:rPr>
        <w:t xml:space="preserve"> - Intervention programs with the aim of enhancing parenting quality have been found to be differential...</w:t>
      </w:r>
    </w:p>
    <w:p>
      <w:pPr>
        <w:numPr>
          <w:ilvl w:val="0"/>
          <w:numId w:val="3"/>
        </w:numPr>
        <w:spacing w:line="360" w:after="210" w:lineRule="auto"/>
      </w:pPr>
      <w:hyperlink r:id="rId19">
        <w:r>
          <w:rPr>
            <w:rFonts w:eastAsia="source sans 3" w:cs="source sans 3" w:ascii="source sans 3" w:hAnsi="source sans 3"/>
            <w:color w:val="#000"/>
            <w:sz w:val="21"/>
            <w:u w:val="single"/>
          </w:rPr>
          <w:t xml:space="preserve">The effectiveness of Video-feedback Intervention to promote Positive Parenting for Foster Care (VIPP-FC): study protocol for a randomized controlled trial - PubMed</w:t>
        </w:r>
      </w:hyperlink>
      <w:r>
        <w:rPr>
          <w:rFonts w:eastAsia="source serif 4" w:cs="source serif 4" w:ascii="source serif 4" w:hAnsi="source serif 4"/>
          <w:color w:val="000000"/>
          <w:sz w:val="21"/>
        </w:rPr>
        <w:t xml:space="preserve"> - NTR3899 .</w:t>
      </w:r>
    </w:p>
    <w:p>
      <w:pPr>
        <w:numPr>
          <w:ilvl w:val="0"/>
          <w:numId w:val="3"/>
        </w:numPr>
        <w:spacing w:line="360" w:after="210" w:lineRule="auto"/>
      </w:pPr>
      <w:hyperlink r:id="rId20">
        <w:r>
          <w:rPr>
            <w:rFonts w:eastAsia="source sans 3" w:cs="source sans 3" w:ascii="source sans 3" w:hAnsi="source sans 3"/>
            <w:color w:val="#000"/>
            <w:sz w:val="21"/>
            <w:u w:val="single"/>
          </w:rPr>
          <w:t xml:space="preserve">Improving parenting, child attachment, and externalizing behaviors ...</w:t>
        </w:r>
      </w:hyperlink>
      <w:r>
        <w:rPr>
          <w:rFonts w:eastAsia="source serif 4" w:cs="source serif 4" w:ascii="source serif 4" w:hAnsi="source serif 4"/>
          <w:color w:val="000000"/>
          <w:sz w:val="21"/>
        </w:rPr>
        <w:t xml:space="preserve"> - Improving parenting, child attachment, and externalizing behaviors: Meta-analysis of the first 25 ra...</w:t>
      </w:r>
    </w:p>
    <w:p>
      <w:pPr>
        <w:numPr>
          <w:ilvl w:val="0"/>
          <w:numId w:val="3"/>
        </w:numPr>
        <w:spacing w:line="360" w:after="210" w:lineRule="auto"/>
      </w:pPr>
      <w:hyperlink r:id="rId21">
        <w:r>
          <w:rPr>
            <w:rFonts w:eastAsia="source sans 3" w:cs="source sans 3" w:ascii="source sans 3" w:hAnsi="source sans 3"/>
            <w:color w:val="#000"/>
            <w:sz w:val="21"/>
            <w:u w:val="single"/>
          </w:rPr>
          <w:t xml:space="preserve">Improving parenting, child attachment, and externalizing behaviors</w:t>
        </w:r>
      </w:hyperlink>
    </w:p>
    <w:p>
      <w:pPr>
        <w:numPr>
          <w:ilvl w:val="0"/>
          <w:numId w:val="3"/>
        </w:numPr>
        <w:spacing w:line="360" w:after="210" w:lineRule="auto"/>
      </w:pPr>
      <w:hyperlink r:id="rId22">
        <w:r>
          <w:rPr>
            <w:rFonts w:eastAsia="source sans 3" w:cs="source sans 3" w:ascii="source sans 3" w:hAnsi="source sans 3"/>
            <w:color w:val="#000"/>
            <w:sz w:val="21"/>
            <w:u w:val="single"/>
          </w:rPr>
          <w:t xml:space="preserve">feedback intervention to promote positive parenting</w:t>
        </w:r>
      </w:hyperlink>
    </w:p>
    <w:p>
      <w:pPr>
        <w:numPr>
          <w:ilvl w:val="0"/>
          <w:numId w:val="3"/>
        </w:numPr>
        <w:spacing w:line="360" w:after="210" w:lineRule="auto"/>
      </w:pPr>
      <w:hyperlink r:id="rId23">
        <w:r>
          <w:rPr>
            <w:rFonts w:eastAsia="source sans 3" w:cs="source sans 3" w:ascii="source sans 3" w:hAnsi="source sans 3"/>
            <w:color w:val="#000"/>
            <w:sz w:val="21"/>
            <w:u w:val="single"/>
          </w:rPr>
          <w:t xml:space="preserve">Effectiveness of the online video-feedback intervention to promote ...</w:t>
        </w:r>
      </w:hyperlink>
      <w:r>
        <w:rPr>
          <w:rFonts w:eastAsia="source serif 4" w:cs="source serif 4" w:ascii="source serif 4" w:hAnsi="source serif 4"/>
          <w:color w:val="000000"/>
          <w:sz w:val="21"/>
        </w:rPr>
        <w:t xml:space="preserve"> - The first years of life are considered a crucial period for children’s developmental trajectories. A...</w:t>
      </w:r>
    </w:p>
    <w:p>
      <w:pPr>
        <w:numPr>
          <w:ilvl w:val="0"/>
          <w:numId w:val="3"/>
        </w:numPr>
        <w:spacing w:line="360" w:after="210" w:lineRule="auto"/>
      </w:pPr>
      <w:hyperlink r:id="rId24">
        <w:r>
          <w:rPr>
            <w:rFonts w:eastAsia="source sans 3" w:cs="source sans 3" w:ascii="source sans 3" w:hAnsi="source sans 3"/>
            <w:color w:val="#000"/>
            <w:sz w:val="21"/>
            <w:u w:val="single"/>
          </w:rPr>
          <w:t xml:space="preserve">Effects of the ABC Intervention on Foster Children's Receptive ...</w:t>
        </w:r>
      </w:hyperlink>
      <w:r>
        <w:rPr>
          <w:rFonts w:eastAsia="source serif 4" w:cs="source serif 4" w:ascii="source serif 4" w:hAnsi="source serif 4"/>
          <w:color w:val="000000"/>
          <w:sz w:val="21"/>
        </w:rPr>
        <w:t xml:space="preserve"> - by K Bernard · 2017 · Cited by 100 — infants who received the ABC intervention (n = 24) scored signi...</w:t>
      </w:r>
    </w:p>
    <w:p>
      <w:pPr>
        <w:numPr>
          <w:ilvl w:val="0"/>
          <w:numId w:val="3"/>
        </w:numPr>
        <w:spacing w:line="360" w:after="210" w:lineRule="auto"/>
      </w:pPr>
      <w:hyperlink r:id="rId25">
        <w:r>
          <w:rPr>
            <w:rFonts w:eastAsia="source sans 3" w:cs="source sans 3" w:ascii="source sans 3" w:hAnsi="source sans 3"/>
            <w:color w:val="#000"/>
            <w:sz w:val="21"/>
            <w:u w:val="single"/>
          </w:rPr>
          <w:t xml:space="preserve">Effectiveness of the Incredible Years parent training to modify disruptive and prosocial child behavior: A meta-analytic review</w:t>
        </w:r>
      </w:hyperlink>
      <w:r>
        <w:rPr>
          <w:rFonts w:eastAsia="source serif 4" w:cs="source serif 4" w:ascii="source serif 4" w:hAnsi="source serif 4"/>
          <w:color w:val="000000"/>
          <w:sz w:val="21"/>
        </w:rPr>
        <w:t xml:space="preserve"> - The present meta-analytic review examined effectiveness of the Incredible Years parent training (IYP...</w:t>
      </w:r>
    </w:p>
    <w:p>
      <w:pPr>
        <w:numPr>
          <w:ilvl w:val="0"/>
          <w:numId w:val="3"/>
        </w:numPr>
        <w:spacing w:line="360" w:after="210" w:lineRule="auto"/>
      </w:pPr>
      <w:hyperlink r:id="rId26">
        <w:r>
          <w:rPr>
            <w:rFonts w:eastAsia="source sans 3" w:cs="source sans 3" w:ascii="source sans 3" w:hAnsi="source sans 3"/>
            <w:color w:val="#000"/>
            <w:sz w:val="21"/>
            <w:u w:val="single"/>
          </w:rPr>
          <w:t xml:space="preserve">Enhancing social-emotional outcomes in early years (E-SEE) : randomized pilot study of Incredible Years infant and toddler programs</w:t>
        </w:r>
      </w:hyperlink>
    </w:p>
    <w:p>
      <w:pPr>
        <w:numPr>
          <w:ilvl w:val="0"/>
          <w:numId w:val="3"/>
        </w:numPr>
        <w:spacing w:line="360" w:after="210" w:lineRule="auto"/>
      </w:pPr>
      <w:hyperlink r:id="rId27">
        <w:r>
          <w:rPr>
            <w:rFonts w:eastAsia="source sans 3" w:cs="source sans 3" w:ascii="source sans 3" w:hAnsi="source sans 3"/>
            <w:color w:val="#000"/>
            <w:sz w:val="21"/>
            <w:u w:val="single"/>
          </w:rPr>
          <w:t xml:space="preserve">Meta-meta-analysis on the effectiveness of parent-based ...</w:t>
        </w:r>
      </w:hyperlink>
    </w:p>
    <w:p>
      <w:pPr>
        <w:numPr>
          <w:ilvl w:val="0"/>
          <w:numId w:val="3"/>
        </w:numPr>
        <w:spacing w:line="360" w:after="210" w:lineRule="auto"/>
      </w:pPr>
      <w:hyperlink r:id="rId28">
        <w:r>
          <w:rPr>
            <w:rFonts w:eastAsia="source sans 3" w:cs="source sans 3" w:ascii="source sans 3" w:hAnsi="source sans 3"/>
            <w:color w:val="#000"/>
            <w:sz w:val="21"/>
            <w:u w:val="single"/>
          </w:rPr>
          <w:t xml:space="preserve">UvA-DARE is a service provided by the library of the University of Amsterdam (https://dare.uva.nl)</w:t>
        </w:r>
      </w:hyperlink>
    </w:p>
    <w:p>
      <w:pPr>
        <w:numPr>
          <w:ilvl w:val="0"/>
          <w:numId w:val="3"/>
        </w:numPr>
        <w:spacing w:line="360" w:after="210" w:lineRule="auto"/>
      </w:pPr>
      <w:hyperlink r:id="rId29">
        <w:r>
          <w:rPr>
            <w:rFonts w:eastAsia="source sans 3" w:cs="source sans 3" w:ascii="source sans 3" w:hAnsi="source sans 3"/>
            <w:color w:val="#000"/>
            <w:sz w:val="21"/>
            <w:u w:val="single"/>
          </w:rPr>
          <w:t xml:space="preserve">Parenting Programs - NCCP</w:t>
        </w:r>
      </w:hyperlink>
    </w:p>
    <w:p>
      <w:pPr>
        <w:numPr>
          <w:ilvl w:val="0"/>
          <w:numId w:val="3"/>
        </w:numPr>
        <w:spacing w:line="360" w:after="210" w:lineRule="auto"/>
      </w:pPr>
      <w:hyperlink r:id="rId30">
        <w:r>
          <w:rPr>
            <w:rFonts w:eastAsia="source sans 3" w:cs="source sans 3" w:ascii="source sans 3" w:hAnsi="source sans 3"/>
            <w:color w:val="#000"/>
            <w:sz w:val="21"/>
            <w:u w:val="single"/>
          </w:rPr>
          <w:t xml:space="preserve">The effect of perinatal depression treatment for mothers on parenting and child development: A systematic review - PubMed</w:t>
        </w:r>
      </w:hyperlink>
      <w:r>
        <w:rPr>
          <w:rFonts w:eastAsia="source serif 4" w:cs="source serif 4" w:ascii="source serif 4" w:hAnsi="source serif 4"/>
          <w:color w:val="000000"/>
          <w:sz w:val="21"/>
        </w:rPr>
        <w:t xml:space="preserve"> - Antenatal and postpartum depression are very common and have significant consequences for mothers an...</w:t>
      </w:r>
    </w:p>
    <w:p>
      <w:pPr>
        <w:numPr>
          <w:ilvl w:val="0"/>
          <w:numId w:val="3"/>
        </w:numPr>
        <w:spacing w:line="360" w:after="210" w:lineRule="auto"/>
      </w:pPr>
      <w:hyperlink r:id="rId31">
        <w:r>
          <w:rPr>
            <w:rFonts w:eastAsia="source sans 3" w:cs="source sans 3" w:ascii="source sans 3" w:hAnsi="source sans 3"/>
            <w:color w:val="#000"/>
            <w:sz w:val="21"/>
            <w:u w:val="single"/>
          </w:rPr>
          <w:t xml:space="preserve">Long Term Effects of a Perinatal Depression Intervention on Child Development Outcomes.</w:t>
        </w:r>
      </w:hyperlink>
      <w:r>
        <w:rPr>
          <w:rFonts w:eastAsia="source serif 4" w:cs="source serif 4" w:ascii="source serif 4" w:hAnsi="source serif 4"/>
          <w:color w:val="000000"/>
          <w:sz w:val="21"/>
        </w:rPr>
        <w:t xml:space="preserve"> - INTRODUCTION: Ameliorating the impact of maternal depression on child development is a significant p...</w:t>
      </w:r>
    </w:p>
    <w:p>
      <w:pPr>
        <w:numPr>
          <w:ilvl w:val="0"/>
          <w:numId w:val="3"/>
        </w:numPr>
        <w:spacing w:line="360" w:after="210" w:lineRule="auto"/>
      </w:pPr>
      <w:hyperlink r:id="rId32">
        <w:r>
          <w:rPr>
            <w:rFonts w:eastAsia="source sans 3" w:cs="source sans 3" w:ascii="source sans 3" w:hAnsi="source sans 3"/>
            <w:color w:val="#000"/>
            <w:sz w:val="21"/>
            <w:u w:val="single"/>
          </w:rPr>
          <w:t xml:space="preserve">Effect of an early perinatal depression intervention on long-term ...</w:t>
        </w:r>
      </w:hyperlink>
      <w:r>
        <w:rPr>
          <w:rFonts w:eastAsia="source serif 4" w:cs="source serif 4" w:ascii="source serif 4" w:hAnsi="source serif 4"/>
          <w:color w:val="000000"/>
          <w:sz w:val="21"/>
        </w:rPr>
        <w:t xml:space="preserve"> - Grand Challenges Canada (Government of Canada), Saving Brains programme.</w:t>
      </w:r>
    </w:p>
    <w:p>
      <w:pPr>
        <w:numPr>
          <w:ilvl w:val="0"/>
          <w:numId w:val="3"/>
        </w:numPr>
        <w:spacing w:line="360" w:after="210" w:lineRule="auto"/>
      </w:pPr>
      <w:hyperlink r:id="rId33">
        <w:r>
          <w:rPr>
            <w:rFonts w:eastAsia="source sans 3" w:cs="source sans 3" w:ascii="source sans 3" w:hAnsi="source sans 3"/>
            <w:color w:val="#000"/>
            <w:sz w:val="21"/>
            <w:u w:val="single"/>
          </w:rPr>
          <w:t xml:space="preserve">Effectiveness of Nurse-Family Partnership on child ...</w:t>
        </w:r>
      </w:hyperlink>
      <w:r>
        <w:rPr>
          <w:rFonts w:eastAsia="source serif 4" w:cs="source serif 4" w:ascii="source serif 4" w:hAnsi="source serif 4"/>
          <w:color w:val="000000"/>
          <w:sz w:val="21"/>
        </w:rPr>
        <w:t xml:space="preserve"> - by NLA Catherine · 2025 · Cited by 1 — The prespecified main outcome indicators were as follows: pre...</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pmc.ncbi.nlm.nih.gov/articles/PMC4512284/" TargetMode="External"/><Relationship Id="rId6" Type="http://schemas.openxmlformats.org/officeDocument/2006/relationships/hyperlink" Target="https://esmed.org/MRA/mra/article/view/4590" TargetMode="External"/><Relationship Id="rId7" Type="http://schemas.openxmlformats.org/officeDocument/2006/relationships/hyperlink" Target="https://pubmed.ncbi.nlm.nih.gov/28260805/" TargetMode="External"/><Relationship Id="rId8" Type="http://schemas.openxmlformats.org/officeDocument/2006/relationships/hyperlink" Target="https://nfpinternational.org/research/" TargetMode="External"/><Relationship Id="rId9" Type="http://schemas.openxmlformats.org/officeDocument/2006/relationships/hyperlink" Target="https://www.ncbi.nlm.nih.gov/books/NBK567441/" TargetMode="External"/><Relationship Id="rId10" Type="http://schemas.openxmlformats.org/officeDocument/2006/relationships/hyperlink" Target="https://changent.org/wp-content/uploads/2026/02/NFP-Research-Trials-and-Outcomes_April2025.pdf" TargetMode="External"/><Relationship Id="rId11" Type="http://schemas.openxmlformats.org/officeDocument/2006/relationships/hyperlink" Target="https://www.nice.org.uk/guidance/ph40/documents/social-and-emotional-wellbeing-early-years-expert-report-42" TargetMode="External"/><Relationship Id="rId12" Type="http://schemas.openxmlformats.org/officeDocument/2006/relationships/hyperlink" Target="https://foundations.org.uk/toolkit/guidebook/family-nurse-partnership/" TargetMode="External"/><Relationship Id="rId13" Type="http://schemas.openxmlformats.org/officeDocument/2006/relationships/hyperlink" Target="https://papers.ssrn.com/sol3/papers.cfm?abstract_id=3401130" TargetMode="External"/><Relationship Id="rId14" Type="http://schemas.openxmlformats.org/officeDocument/2006/relationships/hyperlink" Target="https://heckmanequation.org/wp-content/uploads/2021/11/F_Heckman_Perry-2021_OnePager_092321.pdf" TargetMode="External"/><Relationship Id="rId15" Type="http://schemas.openxmlformats.org/officeDocument/2006/relationships/hyperlink" Target="https://eric.ed.gov/?id=ED541939" TargetMode="External"/><Relationship Id="rId16" Type="http://schemas.openxmlformats.org/officeDocument/2006/relationships/hyperlink" Target="https://abc.fpg.unc.edu/" TargetMode="External"/><Relationship Id="rId17" Type="http://schemas.openxmlformats.org/officeDocument/2006/relationships/hyperlink" Target="https://pubmed.ncbi.nlm.nih.gov/19323672/" TargetMode="External"/><Relationship Id="rId18" Type="http://schemas.openxmlformats.org/officeDocument/2006/relationships/hyperlink" Target="https://pmc.ncbi.nlm.nih.gov/articles/PMC4895801/" TargetMode="External"/><Relationship Id="rId19" Type="http://schemas.openxmlformats.org/officeDocument/2006/relationships/hyperlink" Target="https://pubmed.ncbi.nlm.nih.gov/30075813/" TargetMode="External"/><Relationship Id="rId20" Type="http://schemas.openxmlformats.org/officeDocument/2006/relationships/hyperlink" Target="https://www.cambridge.org/core/journals/development-and-psychopathology/article/improving-parenting-child-attachment-and-externalizing-behaviors-metaanalysis-of-the-first-25-randomized-controlled-trials-on-the-effects-of-videofeedback-intervention-to-promote-positive-parenting-and-sensitive-discipline/D6711F49014002C4FFB1A713E2A28743" TargetMode="External"/><Relationship Id="rId21" Type="http://schemas.openxmlformats.org/officeDocument/2006/relationships/hyperlink" Target="https://www.cambridge.org/core/services/aop-cambridge-core/content/view/D6711F49014002C4FFB1A713E2A28743/S0954579421001462a.pdf/improving-parenting-child-attachment-and-externalizing-behaviors-meta-analysis-of-the-first-25-randomized-controlled-trials-on-the-effects-of-video-feedback-intervention-to-promote-positive-parenting-.pdf" TargetMode="External"/><Relationship Id="rId22" Type="http://schemas.openxmlformats.org/officeDocument/2006/relationships/hyperlink" Target="https://scholarlypublications.universiteitleiden.nl/access/item:2943580/view" TargetMode="External"/><Relationship Id="rId23" Type="http://schemas.openxmlformats.org/officeDocument/2006/relationships/hyperlink" Target="https://pmc.ncbi.nlm.nih.gov/articles/PMC12973758/" TargetMode="External"/><Relationship Id="rId24" Type="http://schemas.openxmlformats.org/officeDocument/2006/relationships/hyperlink" Target="https://pmc.ncbi.nlm.nih.gov/articles/PMC5610911/" TargetMode="External"/><Relationship Id="rId25" Type="http://schemas.openxmlformats.org/officeDocument/2006/relationships/hyperlink" Target="https://www.sciencedirect.com/science/article/abs/pii/S0272735813000949" TargetMode="External"/><Relationship Id="rId26" Type="http://schemas.openxmlformats.org/officeDocument/2006/relationships/hyperlink" Target="https://eprints.whiterose.ac.uk/id/eprint/185300/1/Blower2021_Article_EnhancingSocial-EmotionalOutco.pdf" TargetMode="External"/><Relationship Id="rId27" Type="http://schemas.openxmlformats.org/officeDocument/2006/relationships/hyperlink" Target="https://journals.plos.org/plosone/article/file?id=10.1371/journal.pone.0202855&amp;type=printable" TargetMode="External"/><Relationship Id="rId28" Type="http://schemas.openxmlformats.org/officeDocument/2006/relationships/hyperlink" Target="https://pure.uva.nl/ws/files/20135904/Leijten_etal_2017_JCPP_IY_pooling_study.pdf" TargetMode="External"/><Relationship Id="rId29" Type="http://schemas.openxmlformats.org/officeDocument/2006/relationships/hyperlink" Target="https://www.nccp.org/parenting-programs/" TargetMode="External"/><Relationship Id="rId30" Type="http://schemas.openxmlformats.org/officeDocument/2006/relationships/hyperlink" Target="https://pubmed.ncbi.nlm.nih.gov/28962068/" TargetMode="External"/><Relationship Id="rId31" Type="http://schemas.openxmlformats.org/officeDocument/2006/relationships/hyperlink" Target="https://academic.oup.com/ije/article-abstract/44/suppl_1/i207/2573363" TargetMode="External"/><Relationship Id="rId32" Type="http://schemas.openxmlformats.org/officeDocument/2006/relationships/hyperlink" Target="https://pubmed.ncbi.nlm.nih.gov/26303558/" TargetMode="External"/><Relationship Id="rId33" Type="http://schemas.openxmlformats.org/officeDocument/2006/relationships/hyperlink" Target="https://www.sciencedirect.com/science/article/pii/S0145213425003564"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2026-09-12T19:12:05.251Z</dcterms:created>
  <dcterms:modified xsi:type="dcterms:W3CDTF">2026-09-12T19:12:05.251Z</dcterms:modified>
</cp:coreProperties>
</file>