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7_preliminary_research_plan"/>
      <w:r>
        <w:rPr>
          <w:rFonts w:eastAsia="source serif 4" w:cs="source serif 4" w:ascii="source serif 4" w:hAnsi="source serif 4"/>
          <w:b/>
          <w:color w:val="000000"/>
          <w:sz w:val="39"/>
        </w:rPr>
        <w:t xml:space="preserve">Chapter 7 — Preliminary Research Plan</w:t>
      </w:r>
      <w:bookmarkEnd w:id="0"/>
    </w:p>
    <w:p>
      <w:pPr>
        <w:spacing w:line="360" w:before="315" w:after="105" w:lineRule="auto"/>
        <w:ind w:left="-30"/>
        <w:jc w:val="left"/>
      </w:pPr>
      <w:bookmarkStart w:id="1" w:name="the_birth_of_language"/>
      <w:r>
        <w:rPr>
          <w:rFonts w:eastAsia="source serif 4" w:cs="source serif 4" w:ascii="source serif 4" w:hAnsi="source serif 4"/>
          <w:b/>
          <w:color w:val="000000"/>
          <w:sz w:val="24"/>
        </w:rPr>
        <w:t xml:space="preserve">The Birth of Language</w:t>
      </w:r>
      <w:bookmarkEnd w:id="1"/>
    </w:p>
    <w:p>
      <w:pPr>
        <w:spacing w:line="360" w:before="315" w:after="105" w:lineRule="auto"/>
        <w:ind w:left="-30"/>
        <w:jc w:val="left"/>
      </w:pPr>
      <w:bookmarkStart w:id="2" w:name="how_does_communication_become_language"/>
      <w:r>
        <w:rPr>
          <w:rFonts w:eastAsia="source serif 4" w:cs="source serif 4" w:ascii="source serif 4" w:hAnsi="source serif 4"/>
          <w:b/>
          <w:color w:val="000000"/>
          <w:sz w:val="24"/>
        </w:rPr>
        <w:t xml:space="preserve">How does communication become language?</w:t>
      </w:r>
      <w:bookmarkEnd w:id="2"/>
    </w:p>
    <w:p>
      <w:pPr>
        <w:spacing w:line="360" w:before="315" w:after="105" w:lineRule="auto"/>
        <w:ind w:left="-30"/>
        <w:jc w:val="left"/>
      </w:pPr>
      <w:bookmarkStart w:id="3" w:name="research_judgment"/>
      <w:r>
        <w:rPr>
          <w:rFonts w:eastAsia="source serif 4" w:cs="source serif 4" w:ascii="source serif 4" w:hAnsi="source serif 4"/>
          <w:b/>
          <w:color w:val="000000"/>
          <w:sz w:val="24"/>
        </w:rPr>
        <w:t xml:space="preserve">Research Judgment</w:t>
      </w:r>
      <w:bookmarkEnd w:id="3"/>
    </w:p>
    <w:p>
      <w:pPr>
        <w:spacing w:line="360" w:after="210" w:lineRule="auto"/>
      </w:pPr>
      <w:r>
        <w:rPr>
          <w:rFonts w:eastAsia="source serif 4" w:cs="source serif 4" w:ascii="source serif 4" w:hAnsi="source serif 4"/>
          <w:color w:val="000000"/>
        </w:rPr>
        <w:t xml:space="preserve">The chapter’s central proposition is supportable if it remains interactional and non-exclusive: language development reflects the coordination of biological preparedness, perceptual and statistical learning, communicative participation, social attention, memory, motor practice, and culturally organized input. The evidence does not support either a pure-exposure account or a claim that language unfolds independently of experience. Contemporary developmental accounts differ over the representation and mechanism of grammar, but they converge on the importance of infants’ learning capacities, structured linguistic input, and social participation.</w:t>
      </w:r>
    </w:p>
    <w:p>
      <w:pPr>
        <w:spacing w:line="360" w:after="210" w:lineRule="auto"/>
      </w:pPr>
      <w:r>
        <w:rPr>
          <w:rFonts w:eastAsia="source serif 4" w:cs="source serif 4" w:ascii="source serif 4" w:hAnsi="source serif 4"/>
          <w:color w:val="000000"/>
        </w:rPr>
        <w:t xml:space="preserve">The strongest version of the chapter’s thesis is therefore:</w:t>
      </w:r>
    </w:p>
    <w:p>
      <w:pPr>
        <w:spacing w:line="360" w:after="210" w:lineRule="auto"/>
        <w:ind w:left="630"/>
      </w:pPr>
      <w:r>
        <w:rPr>
          <w:rFonts w:eastAsia="source serif 4" w:cs="source serif 4" w:ascii="source serif 4" w:hAnsi="source serif 4"/>
          <w:color w:val="000000"/>
        </w:rPr>
        <w:t xml:space="preserve">Language does not begin with the first word. It develops from earlier perceptual, vocal, gestural, attentional, and relational capacities, through repeated interactions in which people coordinate attention and interpret signals as meaningful.</w:t>
      </w:r>
    </w:p>
    <w:p>
      <w:pPr>
        <w:spacing w:line="360" w:after="210" w:lineRule="auto"/>
      </w:pPr>
      <w:r>
        <w:rPr>
          <w:rFonts w:eastAsia="source serif 4" w:cs="source serif 4" w:ascii="source serif 4" w:hAnsi="source serif 4"/>
          <w:color w:val="000000"/>
        </w:rPr>
        <w:t xml:space="preserve">That thesis is narrower than saying that relationships cause all language outcomes, that parents can engineer language by increasing talk, or that early milestones determine later intelligence. The chapter should repeatedly distinguish developmental contribution, prediction, and causal effect from determinism.</w:t>
      </w:r>
    </w:p>
    <w:p>
      <w:pPr>
        <w:spacing w:line="360" w:before="315" w:after="105" w:lineRule="auto"/>
        <w:ind w:left="-30"/>
        <w:jc w:val="left"/>
      </w:pPr>
      <w:bookmarkStart w:id="4" w:name="position_in_the_book"/>
      <w:r>
        <w:rPr>
          <w:rFonts w:eastAsia="source serif 4" w:cs="source serif 4" w:ascii="source serif 4" w:hAnsi="source serif 4"/>
          <w:b/>
          <w:color w:val="000000"/>
          <w:sz w:val="24"/>
        </w:rPr>
        <w:t xml:space="preserve">Position in the Book</w:t>
      </w:r>
      <w:bookmarkEnd w:id="4"/>
    </w:p>
    <w:p>
      <w:pPr>
        <w:spacing w:line="360" w:after="210" w:lineRule="auto"/>
      </w:pPr>
      <w:r>
        <w:rPr>
          <w:rFonts w:eastAsia="source serif 4" w:cs="source serif 4" w:ascii="source serif 4" w:hAnsi="source serif 4"/>
          <w:color w:val="000000"/>
        </w:rPr>
        <w:t xml:space="preserve">The proposed sequence is conceptually coherent: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Earlier chapter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transformation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Chapter 7 extension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4 — The Regulatory 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Relationships help organize regulation.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Interaction becomes a medium for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5 — The Emerging Self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child becomes an active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child signals, responds, and coordinates attention.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6 — The Mind in Motion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child learns from experience.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Learning becomes organized through shared symbols.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7 — The Birth of Language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child participates in a symbolic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links cognition, relationship, and culture.</w:t>
            </w:r>
          </w:p>
        </w:tc>
      </w:tr>
    </w:tbl>
    <w:p>
      <w:pPr>
        <w:spacing w:lineRule="auto"/>
      </w:pPr>
    </w:p>
    <w:p>
      <w:pPr>
        <w:spacing w:line="360" w:after="210" w:lineRule="auto"/>
      </w:pPr>
      <w:r>
        <w:rPr>
          <w:rFonts w:eastAsia="source serif 4" w:cs="source serif 4" w:ascii="source serif 4" w:hAnsi="source serif 4"/>
          <w:color w:val="000000"/>
        </w:rPr>
        <w:t xml:space="preserve">The transition should be written as a developmental sequence, not as a set of isolated skills: learning supports communication; communication supports shared attention and symbolic mapping; symbols become words and patterned constructions; language then expands the child’s participation in social and cultural life.</w:t>
      </w:r>
    </w:p>
    <w:p>
      <w:pPr>
        <w:spacing w:line="360" w:before="315" w:after="105" w:lineRule="auto"/>
        <w:ind w:left="-30"/>
        <w:jc w:val="left"/>
      </w:pPr>
      <w:bookmarkStart w:id="5" w:name="evidence_architecture"/>
      <w:r>
        <w:rPr>
          <w:rFonts w:eastAsia="source serif 4" w:cs="source serif 4" w:ascii="source serif 4" w:hAnsi="source serif 4"/>
          <w:b/>
          <w:color w:val="000000"/>
          <w:sz w:val="24"/>
        </w:rPr>
        <w:t xml:space="preserve">Evidence Architecture</w:t>
      </w:r>
      <w:bookmarkEnd w:id="5"/>
    </w:p>
    <w:p>
      <w:pPr>
        <w:spacing w:line="360" w:after="210" w:lineRule="auto"/>
      </w:pPr>
      <w:r>
        <w:rPr>
          <w:rFonts w:eastAsia="source serif 4" w:cs="source serif 4" w:ascii="source serif 4" w:hAnsi="source serif 4"/>
          <w:color w:val="000000"/>
        </w:rPr>
        <w:t xml:space="preserve">Each module should be analyzed on two separate axes:</w:t>
      </w:r>
    </w:p>
    <w:p>
      <w:pPr>
        <w:numPr>
          <w:ilvl w:val="0"/>
          <w:numId w:val="1"/>
        </w:numPr>
        <w:spacing w:line="360" w:before="105" w:after="105" w:lineRule="auto"/>
      </w:pPr>
      <w:r>
        <w:rPr>
          <w:rFonts w:eastAsia="source serif 4" w:cs="source serif 4" w:ascii="source serif 4" w:hAnsi="source serif 4"/>
          <w:b/>
          <w:color w:val="000000"/>
          <w:sz w:val="21"/>
        </w:rPr>
        <w:t xml:space="preserve">Identification strength:</w:t>
      </w:r>
      <w:r>
        <w:rPr>
          <w:rFonts w:eastAsia="source serif 4" w:cs="source serif 4" w:ascii="source serif 4" w:hAnsi="source serif 4"/>
          <w:color w:val="000000"/>
          <w:sz w:val="21"/>
        </w:rPr>
        <w:t xml:space="preserve"> randomized intervention, natural experiment, genetically informed design, longitudinal observation, cross-sectional observation, or mechanistic evidence.</w:t>
      </w:r>
    </w:p>
    <w:p>
      <w:pPr>
        <w:numPr>
          <w:ilvl w:val="0"/>
          <w:numId w:val="1"/>
        </w:numPr>
        <w:spacing w:line="360" w:before="105" w:after="105" w:lineRule="auto"/>
      </w:pPr>
      <w:r>
        <w:rPr>
          <w:rFonts w:eastAsia="source serif 4" w:cs="source serif 4" w:ascii="source serif 4" w:hAnsi="source serif 4"/>
          <w:b/>
          <w:color w:val="000000"/>
          <w:sz w:val="21"/>
        </w:rPr>
        <w:t xml:space="preserve">Overall certainty:</w:t>
      </w:r>
      <w:r>
        <w:rPr>
          <w:rFonts w:eastAsia="source serif 4" w:cs="source serif 4" w:ascii="source serif 4" w:hAnsi="source serif 4"/>
          <w:color w:val="000000"/>
          <w:sz w:val="21"/>
        </w:rPr>
        <w:t xml:space="preserve"> replication, precision, generalizability, measurement quality, and consistency across cultures and family circumstances.</w:t>
      </w:r>
    </w:p>
    <w:p>
      <w:pPr>
        <w:spacing w:line="360" w:after="210" w:lineRule="auto"/>
      </w:pPr>
      <w:r>
        <w:rPr>
          <w:rFonts w:eastAsia="source serif 4" w:cs="source serif 4" w:ascii="source serif 4" w:hAnsi="source serif 4"/>
          <w:color w:val="000000"/>
        </w:rPr>
        <w:t xml:space="preserve">A longitudinal association between early gesture and later vocabulary can support prediction and developmental continuity, but does not by itself establish that increasing gesture will cause vocabulary growth. Conversely, intervention evidence can support a causal effect for a particular program without proving that the measured program ingredient explains all ordinary language development.</w:t>
      </w:r>
    </w:p>
    <w:p>
      <w:pPr>
        <w:spacing w:line="360" w:after="210" w:lineRule="auto"/>
      </w:pPr>
      <w:r>
        <w:rPr>
          <w:rFonts w:eastAsia="source serif 4" w:cs="source serif 4" w:ascii="source serif 4" w:hAnsi="source serif 4"/>
          <w:color w:val="000000"/>
        </w:rPr>
        <w:t xml:space="preserve">For all observational findings, the dossier should audit socioeconomic confounding, parental education and literacy, hearing and neurodevelopmental differences, child temperament, caregiver stress, language exposure across settings, measurement method, attrition, and the direction of effects. Parents and children should be modeled transactionally: children influence the amount and form of adult speech they receive, while adults shape opportunities for children’s participation.</w:t>
      </w:r>
    </w:p>
    <w:p>
      <w:pPr>
        <w:spacing w:line="360" w:before="315" w:after="105" w:lineRule="auto"/>
        <w:ind w:left="-30"/>
        <w:jc w:val="left"/>
      </w:pPr>
      <w:bookmarkStart w:id="6" w:name="core_proposition_evidence_assessment"/>
      <w:r>
        <w:rPr>
          <w:rFonts w:eastAsia="source serif 4" w:cs="source serif 4" w:ascii="source serif 4" w:hAnsi="source serif 4"/>
          <w:b/>
          <w:color w:val="000000"/>
          <w:sz w:val="24"/>
        </w:rPr>
        <w:t xml:space="preserve">Core Proposition: Evidence Assessment</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Infants bring biologically prepared perceptual, attentional, vocal, and learning capacities to language acquisition, but the development of a particular language depends on exposure to a linguistic community. Speech perception becomes increasingly tuned to experienced language patterns during the first year, while social interaction, attention coordination, and communicative signaling become increasingly important for linking forms with meanings.[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The broad interactional claim is supported by convergent experimental, longitudinal, and mechanistic evidence. Confidence is lower for assigning a single weight to biology, input, statistical learning, or social interaction, because these systems develop together and their effects vary by task, language, age, and context.</w:t>
      </w:r>
    </w:p>
    <w:p>
      <w:pPr>
        <w:spacing w:line="360" w:before="315" w:after="105" w:lineRule="auto"/>
        <w:ind w:left="-30"/>
        <w:jc w:val="left"/>
      </w:pPr>
      <w:bookmarkStart w:id="9" w:name="what_this_does_not_mean"/>
      <w:r>
        <w:rPr>
          <w:rFonts w:eastAsia="source serif 4" w:cs="source serif 4" w:ascii="source serif 4" w:hAnsi="source serif 4"/>
          <w:b/>
          <w:color w:val="000000"/>
          <w:sz w:val="24"/>
        </w:rPr>
        <w:t xml:space="preserve">What This Does Not Mean</w:t>
      </w:r>
      <w:bookmarkEnd w:id="9"/>
    </w:p>
    <w:p>
      <w:pPr>
        <w:spacing w:line="360" w:after="210" w:lineRule="auto"/>
      </w:pPr>
      <w:r>
        <w:rPr>
          <w:rFonts w:eastAsia="source serif 4" w:cs="source serif 4" w:ascii="source serif 4" w:hAnsi="source serif 4"/>
          <w:color w:val="000000"/>
        </w:rPr>
        <w:t xml:space="preserve">It does not mean that children require unusually intensive parental instruction, that exposure alone explains individual differences, or that a child’s early language profile fixes later cognitive or social outcomes. It also does not mean that one theory of grammar has been decisively established.</w:t>
      </w:r>
    </w:p>
    <w:p>
      <w:pPr>
        <w:spacing w:line="360" w:before="315" w:after="105" w:lineRule="auto"/>
        <w:ind w:left="-30"/>
        <w:jc w:val="left"/>
      </w:pPr>
      <w:bookmarkStart w:id="10" w:name="module_1_communication_before_words"/>
      <w:r>
        <w:rPr>
          <w:rFonts w:eastAsia="source serif 4" w:cs="source serif 4" w:ascii="source serif 4" w:hAnsi="source serif 4"/>
          <w:b/>
          <w:color w:val="000000"/>
          <w:sz w:val="24"/>
        </w:rPr>
        <w:t xml:space="preserve">Module 1 — Communication Before Words</w:t>
      </w:r>
      <w:bookmarkEnd w:id="10"/>
    </w:p>
    <w:p>
      <w:pPr>
        <w:spacing w:line="360" w:before="315" w:after="105" w:lineRule="auto"/>
        <w:ind w:left="-30"/>
        <w:jc w:val="left"/>
      </w:pPr>
      <w:bookmarkStart w:id="11" w:name="research_question"/>
      <w:r>
        <w:rPr>
          <w:rFonts w:eastAsia="source serif 4" w:cs="source serif 4" w:ascii="source serif 4" w:hAnsi="source serif 4"/>
          <w:b/>
          <w:color w:val="000000"/>
          <w:sz w:val="24"/>
        </w:rPr>
        <w:t xml:space="preserve">Research Question</w:t>
      </w:r>
      <w:bookmarkEnd w:id="11"/>
    </w:p>
    <w:p>
      <w:pPr>
        <w:spacing w:line="360" w:after="210" w:lineRule="auto"/>
      </w:pPr>
      <w:r>
        <w:rPr>
          <w:rFonts w:eastAsia="source serif 4" w:cs="source serif 4" w:ascii="source serif 4" w:hAnsi="source serif 4"/>
          <w:color w:val="000000"/>
        </w:rPr>
        <w:t xml:space="preserve">What counts as communication before conventional language?</w:t>
      </w:r>
    </w:p>
    <w:p>
      <w:pPr>
        <w:spacing w:line="360" w:before="315" w:after="105" w:lineRule="auto"/>
        <w:ind w:left="-30"/>
        <w:jc w:val="left"/>
      </w:pPr>
      <w:bookmarkStart w:id="12" w:name="working_claim"/>
      <w:r>
        <w:rPr>
          <w:rFonts w:eastAsia="source serif 4" w:cs="source serif 4" w:ascii="source serif 4" w:hAnsi="source serif 4"/>
          <w:b/>
          <w:color w:val="000000"/>
          <w:sz w:val="24"/>
        </w:rPr>
        <w:t xml:space="preserve">Working Claim</w:t>
      </w:r>
      <w:bookmarkEnd w:id="12"/>
    </w:p>
    <w:p>
      <w:pPr>
        <w:spacing w:line="360" w:after="210" w:lineRule="auto"/>
      </w:pPr>
      <w:r>
        <w:rPr>
          <w:rFonts w:eastAsia="source serif 4" w:cs="source serif 4" w:ascii="source serif 4" w:hAnsi="source serif 4"/>
          <w:color w:val="000000"/>
        </w:rPr>
        <w:t xml:space="preserve">Before words, infants participate in exchanges through crying, gaze, facial expression, vocalization, body movement, affective timing, and increasingly intentional gestures. The narrow claim is not that every early signal is intentional communication; rather, infants’ signals become progressively shaped by social responsiveness and begin to function within coordinated exchanges.</w:t>
      </w:r>
    </w:p>
    <w:p>
      <w:pPr>
        <w:spacing w:line="360" w:before="315" w:after="105" w:lineRule="auto"/>
        <w:ind w:left="-30"/>
        <w:jc w:val="left"/>
      </w:pPr>
      <w:bookmarkStart w:id="13" w:name="evidence_and_causal_assessment"/>
      <w:r>
        <w:rPr>
          <w:rFonts w:eastAsia="source serif 4" w:cs="source serif 4" w:ascii="source serif 4" w:hAnsi="source serif 4"/>
          <w:b/>
          <w:color w:val="000000"/>
          <w:sz w:val="24"/>
        </w:rPr>
        <w:t xml:space="preserve">Evidence and Causal Assessment</w:t>
      </w:r>
      <w:bookmarkEnd w:id="13"/>
    </w:p>
    <w:p>
      <w:pPr>
        <w:spacing w:line="360" w:after="210" w:lineRule="auto"/>
      </w:pPr>
      <w:r>
        <w:rPr>
          <w:rFonts w:eastAsia="source serif 4" w:cs="source serif 4" w:ascii="source serif 4" w:hAnsi="source serif 4"/>
          <w:color w:val="000000"/>
        </w:rPr>
        <w:t xml:space="preserve">Proto-conversational timing and contingent caregiver responses provide evidence of early social coordination, but much of this literature is observational or experimental at the level of immediate interaction. Recent work using a conservative definition of communicative joint-attention bids reported that 44% of infants showed such bids by 6 months and 92% before 9 months; the estimate is informative about the sampled behavior and operational definition, not a universal milestone.[^4]</w:t>
      </w:r>
    </w:p>
    <w:p>
      <w:pPr>
        <w:spacing w:line="360" w:after="210" w:lineRule="auto"/>
      </w:pPr>
      <w:r>
        <w:rPr>
          <w:rFonts w:eastAsia="source serif 4" w:cs="source serif 4" w:ascii="source serif 4" w:hAnsi="source serif 4"/>
          <w:color w:val="000000"/>
        </w:rPr>
        <w:t xml:space="preserve">The chapter should distinguish </w:t>
      </w:r>
      <w:r>
        <w:rPr>
          <w:rFonts w:eastAsia="source serif 4" w:cs="source serif 4" w:ascii="source serif 4" w:hAnsi="source serif 4"/>
          <w:b/>
          <w:color w:val="000000"/>
        </w:rPr>
        <w:t xml:space="preserve">signal</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interaction</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communicative intention</w:t>
      </w:r>
      <w:r>
        <w:rPr>
          <w:rFonts w:eastAsia="source serif 4" w:cs="source serif 4" w:ascii="source serif 4" w:hAnsi="source serif 4"/>
          <w:color w:val="000000"/>
        </w:rPr>
        <w:t xml:space="preserve">. A cry may regulate caregiver behavior without functioning as a symbolic message; a gaze shift or vocal turn may become communicative within a mutually responsive exchange. The principal causal question is whether contingent interaction changes later communication, not whether every early behavior already constitutes language.</w:t>
      </w:r>
    </w:p>
    <w:p>
      <w:pPr>
        <w:spacing w:line="360" w:before="315" w:after="105" w:lineRule="auto"/>
        <w:ind w:left="-30"/>
        <w:jc w:val="left"/>
      </w:pPr>
      <w:bookmarkStart w:id="14" w:name="effect_size_and_persistence"/>
      <w:r>
        <w:rPr>
          <w:rFonts w:eastAsia="source serif 4" w:cs="source serif 4" w:ascii="source serif 4" w:hAnsi="source serif 4"/>
          <w:b/>
          <w:color w:val="000000"/>
          <w:sz w:val="24"/>
        </w:rPr>
        <w:t xml:space="preserve">Effect Size and Persistence</w:t>
      </w:r>
      <w:bookmarkEnd w:id="14"/>
    </w:p>
    <w:p>
      <w:pPr>
        <w:spacing w:line="360" w:after="210" w:lineRule="auto"/>
      </w:pPr>
      <w:r>
        <w:rPr>
          <w:rFonts w:eastAsia="source serif 4" w:cs="source serif 4" w:ascii="source serif 4" w:hAnsi="source serif 4"/>
          <w:color w:val="000000"/>
        </w:rPr>
        <w:t xml:space="preserve">Developmental timing is heterogeneous and measurement-sensitive. Report ranges and distributions where available rather than treating a single age as a threshold. Evidence that early interaction predicts later language is stronger for developmental continuity than for long-term causal persistence.</w:t>
      </w:r>
    </w:p>
    <w:p>
      <w:pPr>
        <w:spacing w:line="360" w:before="315" w:after="105" w:lineRule="auto"/>
        <w:ind w:left="-30"/>
        <w:jc w:val="left"/>
      </w:pPr>
      <w:bookmarkStart w:id="15" w:name="what_action_is_reasonably_justified"/>
      <w:r>
        <w:rPr>
          <w:rFonts w:eastAsia="source serif 4" w:cs="source serif 4" w:ascii="source serif 4" w:hAnsi="source serif 4"/>
          <w:b/>
          <w:color w:val="000000"/>
          <w:sz w:val="24"/>
        </w:rPr>
        <w:t xml:space="preserve">What Action Is Reasonably Justified</w:t>
      </w:r>
      <w:bookmarkEnd w:id="15"/>
    </w:p>
    <w:p>
      <w:pPr>
        <w:spacing w:line="360" w:after="210" w:lineRule="auto"/>
      </w:pPr>
      <w:r>
        <w:rPr>
          <w:rFonts w:eastAsia="source serif 4" w:cs="source serif 4" w:ascii="source serif 4" w:hAnsi="source serif 4"/>
          <w:color w:val="000000"/>
        </w:rPr>
        <w:t xml:space="preserve">Support opportunities for responsive, face-to-face interaction and communication in ordinary routines. No evidence justifies prescribing a narrow interaction style or interpreting missed early signals as parental failure.</w:t>
      </w:r>
    </w:p>
    <w:p>
      <w:pPr>
        <w:spacing w:line="360" w:before="315" w:after="105" w:lineRule="auto"/>
        <w:ind w:left="-30"/>
        <w:jc w:val="left"/>
      </w:pPr>
      <w:bookmarkStart w:id="16" w:name="module_2_speech_perception_and_learning"/>
      <w:r>
        <w:rPr>
          <w:rFonts w:eastAsia="source serif 4" w:cs="source serif 4" w:ascii="source serif 4" w:hAnsi="source serif 4"/>
          <w:b/>
          <w:color w:val="000000"/>
          <w:sz w:val="24"/>
        </w:rPr>
        <w:t xml:space="preserve">Module 2 — Speech Perception and Learning</w:t>
      </w:r>
      <w:bookmarkEnd w:id="16"/>
    </w:p>
    <w:p>
      <w:pPr>
        <w:spacing w:line="360" w:before="315" w:after="105" w:lineRule="auto"/>
        <w:ind w:left="-30"/>
        <w:jc w:val="left"/>
      </w:pPr>
      <w:bookmarkStart w:id="17" w:name="working_claim_2"/>
      <w:r>
        <w:rPr>
          <w:rFonts w:eastAsia="source serif 4" w:cs="source serif 4" w:ascii="source serif 4" w:hAnsi="source serif 4"/>
          <w:b/>
          <w:color w:val="000000"/>
          <w:sz w:val="24"/>
        </w:rPr>
        <w:t xml:space="preserve">Working Claim</w:t>
      </w:r>
      <w:bookmarkEnd w:id="17"/>
    </w:p>
    <w:p>
      <w:pPr>
        <w:spacing w:line="360" w:after="210" w:lineRule="auto"/>
      </w:pPr>
      <w:r>
        <w:rPr>
          <w:rFonts w:eastAsia="source serif 4" w:cs="source serif 4" w:ascii="source serif 4" w:hAnsi="source serif 4"/>
          <w:color w:val="000000"/>
        </w:rPr>
        <w:t xml:space="preserve">Infants can detect linguistically relevant distinctions early, and perception becomes attuned to the distributional and audiovisual regularities of the languages they experience. This is better described as </w:t>
      </w:r>
      <w:r>
        <w:rPr>
          <w:rFonts w:eastAsia="source serif 4" w:cs="source serif 4" w:ascii="source serif 4" w:hAnsi="source serif 4"/>
          <w:b/>
          <w:color w:val="000000"/>
        </w:rPr>
        <w:t xml:space="preserve">attunement</w:t>
      </w:r>
      <w:r>
        <w:rPr>
          <w:rFonts w:eastAsia="source serif 4" w:cs="source serif 4" w:ascii="source serif 4" w:hAnsi="source serif 4"/>
          <w:color w:val="000000"/>
        </w:rPr>
        <w:t xml:space="preserve"> than as simple loss: native-language performance may improve while sensitivity to less-experienced contrasts declines.</w:t>
      </w:r>
    </w:p>
    <w:p>
      <w:pPr>
        <w:spacing w:line="360" w:before="315" w:after="105" w:lineRule="auto"/>
        <w:ind w:left="-30"/>
        <w:jc w:val="left"/>
      </w:pPr>
      <w:bookmarkStart w:id="18" w:name="evidence_and_causal_assessment_2"/>
      <w:r>
        <w:rPr>
          <w:rFonts w:eastAsia="source serif 4" w:cs="source serif 4" w:ascii="source serif 4" w:hAnsi="source serif 4"/>
          <w:b/>
          <w:color w:val="000000"/>
          <w:sz w:val="24"/>
        </w:rPr>
        <w:t xml:space="preserve">Evidence and Causal Assessment</w:t>
      </w:r>
      <w:bookmarkEnd w:id="18"/>
    </w:p>
    <w:p>
      <w:pPr>
        <w:spacing w:line="360" w:after="210" w:lineRule="auto"/>
      </w:pPr>
      <w:r>
        <w:rPr>
          <w:rFonts w:eastAsia="source serif 4" w:cs="source serif 4" w:ascii="source serif 4" w:hAnsi="source serif 4"/>
          <w:color w:val="000000"/>
        </w:rPr>
        <w:t xml:space="preserve">The classic perceptual-narrowing literature shows a shift between approximately 6 and 12 months in which native-language discrimination strengthens and non-native discrimination often attenuates. Audiovisual speech perception also narrows between 6 and 11 months around native-language correspondences. Statistical-learning studies indicate that infants can extract distributional regularities, but the strength of learning depends on age, perceptual development, stimulus type, and the relation between short-term exposure and longer-term language experience.[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5][^1]</w:t>
      </w:r>
    </w:p>
    <w:p>
      <w:pPr>
        <w:spacing w:line="360" w:after="210" w:lineRule="auto"/>
      </w:pPr>
      <w:r>
        <w:rPr>
          <w:rFonts w:eastAsia="source serif 4" w:cs="source serif 4" w:ascii="source serif 4" w:hAnsi="source serif 4"/>
          <w:color w:val="000000"/>
        </w:rPr>
        <w:t xml:space="preserve">This is one of the chapter’s better-supported causal areas because laboratory experiments manipulate exposure and test immediate perceptual learning. Generalization to natural language development is more limited: brief laboratory exposure does not equal sustained participation in a linguistic community.</w:t>
      </w:r>
    </w:p>
    <w:p>
      <w:pPr>
        <w:spacing w:line="360" w:before="315" w:after="105" w:lineRule="auto"/>
        <w:ind w:left="-30"/>
        <w:jc w:val="left"/>
      </w:pPr>
      <w:bookmarkStart w:id="19" w:name="bias_and_heterogeneity"/>
      <w:r>
        <w:rPr>
          <w:rFonts w:eastAsia="source serif 4" w:cs="source serif 4" w:ascii="source serif 4" w:hAnsi="source serif 4"/>
          <w:b/>
          <w:color w:val="000000"/>
          <w:sz w:val="24"/>
        </w:rPr>
        <w:t xml:space="preserve">Bias and Heterogeneity</w:t>
      </w:r>
      <w:bookmarkEnd w:id="19"/>
    </w:p>
    <w:p>
      <w:pPr>
        <w:spacing w:line="360" w:after="210" w:lineRule="auto"/>
      </w:pPr>
      <w:r>
        <w:rPr>
          <w:rFonts w:eastAsia="source serif 4" w:cs="source serif 4" w:ascii="source serif 4" w:hAnsi="source serif 4"/>
          <w:color w:val="000000"/>
        </w:rPr>
        <w:t xml:space="preserve">The field has historically relied heavily on narrow samples and a small number of languages. A 2024 review argues that perceptual-narrowing theory needs greater attention to diversity, representation, and generalizability. The atlas should therefore separate robust developmental principles from claims about a universal timetable.[^6]</w:t>
      </w:r>
    </w:p>
    <w:p>
      <w:pPr>
        <w:spacing w:line="360" w:before="315" w:after="105" w:lineRule="auto"/>
        <w:ind w:left="-30"/>
        <w:jc w:val="left"/>
      </w:pPr>
      <w:bookmarkStart w:id="20" w:name="what_this_does_not_mean_2"/>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Perceptual narrowing is not a permanent closing of language learning, nor evidence for a rigid critical-period deadline. It is also not evidence that exposure to more languages confuses the infant.</w:t>
      </w:r>
    </w:p>
    <w:p>
      <w:pPr>
        <w:spacing w:line="360" w:before="315" w:after="105" w:lineRule="auto"/>
        <w:ind w:left="-30"/>
        <w:jc w:val="left"/>
      </w:pPr>
      <w:bookmarkStart w:id="21" w:name="module_3_joint_attention"/>
      <w:r>
        <w:rPr>
          <w:rFonts w:eastAsia="source serif 4" w:cs="source serif 4" w:ascii="source serif 4" w:hAnsi="source serif 4"/>
          <w:b/>
          <w:color w:val="000000"/>
          <w:sz w:val="24"/>
        </w:rPr>
        <w:t xml:space="preserve">Module 3 — Joint Attention</w:t>
      </w:r>
      <w:bookmarkEnd w:id="21"/>
    </w:p>
    <w:p>
      <w:pPr>
        <w:spacing w:line="360" w:before="315" w:after="105" w:lineRule="auto"/>
        <w:ind w:left="-30"/>
        <w:jc w:val="left"/>
      </w:pPr>
      <w:bookmarkStart w:id="22" w:name="working_claim_3"/>
      <w:r>
        <w:rPr>
          <w:rFonts w:eastAsia="source serif 4" w:cs="source serif 4" w:ascii="source serif 4" w:hAnsi="source serif 4"/>
          <w:b/>
          <w:color w:val="000000"/>
          <w:sz w:val="24"/>
        </w:rPr>
        <w:t xml:space="preserve">Working Claim</w:t>
      </w:r>
      <w:bookmarkEnd w:id="22"/>
    </w:p>
    <w:p>
      <w:pPr>
        <w:spacing w:line="360" w:after="210" w:lineRule="auto"/>
      </w:pPr>
      <w:r>
        <w:rPr>
          <w:rFonts w:eastAsia="source serif 4" w:cs="source serif 4" w:ascii="source serif 4" w:hAnsi="source serif 4"/>
          <w:color w:val="000000"/>
        </w:rPr>
        <w:t xml:space="preserve">Joint attention provides a bridge between social cognition and word learning because it allows child and adult to coordinate attention toward an object, event, or action. Early joint attention predicts later language in many observational studies, but the predictive relation should not be treated as proof that joint attention alone causes language growth.</w:t>
      </w:r>
    </w:p>
    <w:p>
      <w:pPr>
        <w:spacing w:line="360" w:before="315" w:after="105" w:lineRule="auto"/>
        <w:ind w:left="-30"/>
        <w:jc w:val="left"/>
      </w:pPr>
      <w:bookmarkStart w:id="23" w:name="evidence_and_causal_assessment_3"/>
      <w:r>
        <w:rPr>
          <w:rFonts w:eastAsia="source serif 4" w:cs="source serif 4" w:ascii="source serif 4" w:hAnsi="source serif 4"/>
          <w:b/>
          <w:color w:val="000000"/>
          <w:sz w:val="24"/>
        </w:rPr>
        <w:t xml:space="preserve">Evidence and Causal Assessment</w:t>
      </w:r>
      <w:bookmarkEnd w:id="23"/>
    </w:p>
    <w:p>
      <w:pPr>
        <w:spacing w:line="360" w:after="210" w:lineRule="auto"/>
      </w:pPr>
      <w:r>
        <w:rPr>
          <w:rFonts w:eastAsia="source serif 4" w:cs="source serif 4" w:ascii="source serif 4" w:hAnsi="source serif 4"/>
          <w:color w:val="000000"/>
        </w:rPr>
        <w:t xml:space="preserve">Studies have reported that the amount and quality of infant–caregiver joint attention predict later receptive and expressive vocabulary. The causal interpretation is strengthened when experiments manipulate social cues or attention coordination, but ordinary joint-attention measures remain entangled with language ability, caregiver behavior, temperament, and general cognitive development.[^7]</w:t>
      </w:r>
    </w:p>
    <w:p>
      <w:pPr>
        <w:spacing w:line="360" w:after="210" w:lineRule="auto"/>
      </w:pPr>
      <w:r>
        <w:rPr>
          <w:rFonts w:eastAsia="source serif 4" w:cs="source serif 4" w:ascii="source serif 4" w:hAnsi="source serif 4"/>
          <w:color w:val="000000"/>
        </w:rPr>
        <w:t xml:space="preserve">The chapter should distinguish at least four processes: gaze following, responding to another person’s attention, initiating a bid, and sharing attention around a communicative intention. These are related but not interchangeable. The recent developmental study reporting communicative bids in many infants before 9 months is particularly useful for revising the idea that joint attention begins suddenly at one precise age.[^4]</w:t>
      </w:r>
    </w:p>
    <w:p>
      <w:pPr>
        <w:spacing w:line="360" w:before="315" w:after="105" w:lineRule="auto"/>
        <w:ind w:left="-30"/>
        <w:jc w:val="left"/>
      </w:pPr>
      <w:bookmarkStart w:id="24" w:name="what_action_is_reasonably_justified_2"/>
      <w:r>
        <w:rPr>
          <w:rFonts w:eastAsia="source serif 4" w:cs="source serif 4" w:ascii="source serif 4" w:hAnsi="source serif 4"/>
          <w:b/>
          <w:color w:val="000000"/>
          <w:sz w:val="24"/>
        </w:rPr>
        <w:t xml:space="preserve">What Action Is Reasonably Justified</w:t>
      </w:r>
      <w:bookmarkEnd w:id="24"/>
    </w:p>
    <w:p>
      <w:pPr>
        <w:spacing w:line="360" w:after="210" w:lineRule="auto"/>
      </w:pPr>
      <w:r>
        <w:rPr>
          <w:rFonts w:eastAsia="source serif 4" w:cs="source serif 4" w:ascii="source serif 4" w:hAnsi="source serif 4"/>
          <w:color w:val="000000"/>
        </w:rPr>
        <w:t xml:space="preserve">Make room for shared attention in play, routines, and book reading, while avoiding a training model in which adults attempt to force eye contact or manufacture constant instructional episodes. The justified target is reciprocal coordination, not compliance with a single behavioral display.</w:t>
      </w:r>
    </w:p>
    <w:p>
      <w:pPr>
        <w:spacing w:line="360" w:before="315" w:after="105" w:lineRule="auto"/>
        <w:ind w:left="-30"/>
        <w:jc w:val="left"/>
      </w:pPr>
      <w:bookmarkStart w:id="25" w:name="module_4_gesture_and_symbolic_com_ad6618"/>
      <w:r>
        <w:rPr>
          <w:rFonts w:eastAsia="source serif 4" w:cs="source serif 4" w:ascii="source serif 4" w:hAnsi="source serif 4"/>
          <w:b/>
          <w:color w:val="000000"/>
          <w:sz w:val="24"/>
        </w:rPr>
        <w:t xml:space="preserve">Module 4 — Gesture and Symbolic Communication</w:t>
      </w:r>
      <w:bookmarkEnd w:id="25"/>
    </w:p>
    <w:p>
      <w:pPr>
        <w:spacing w:line="360" w:before="315" w:after="105" w:lineRule="auto"/>
        <w:ind w:left="-30"/>
        <w:jc w:val="left"/>
      </w:pPr>
      <w:bookmarkStart w:id="26" w:name="working_claim_4"/>
      <w:r>
        <w:rPr>
          <w:rFonts w:eastAsia="source serif 4" w:cs="source serif 4" w:ascii="source serif 4" w:hAnsi="source serif 4"/>
          <w:b/>
          <w:color w:val="000000"/>
          <w:sz w:val="24"/>
        </w:rPr>
        <w:t xml:space="preserve">Working Claim</w:t>
      </w:r>
      <w:bookmarkEnd w:id="26"/>
    </w:p>
    <w:p>
      <w:pPr>
        <w:spacing w:line="360" w:after="210" w:lineRule="auto"/>
      </w:pPr>
      <w:r>
        <w:rPr>
          <w:rFonts w:eastAsia="source serif 4" w:cs="source serif 4" w:ascii="source serif 4" w:hAnsi="source serif 4"/>
          <w:color w:val="000000"/>
        </w:rPr>
        <w:t xml:space="preserve">Gesture often precedes speech and can provide a visible route into communicative intent, reference, and symbol formation. Early gesture predicts later language in many studies, but prediction may reflect shared underlying communication, attention, motor, and learning capacities rather than a simple causal pathway.</w:t>
      </w:r>
    </w:p>
    <w:p>
      <w:pPr>
        <w:spacing w:line="360" w:before="315" w:after="105" w:lineRule="auto"/>
        <w:ind w:left="-30"/>
        <w:jc w:val="left"/>
      </w:pPr>
      <w:bookmarkStart w:id="27" w:name="evidence_and_causal_assessment_4"/>
      <w:r>
        <w:rPr>
          <w:rFonts w:eastAsia="source serif 4" w:cs="source serif 4" w:ascii="source serif 4" w:hAnsi="source serif 4"/>
          <w:b/>
          <w:color w:val="000000"/>
          <w:sz w:val="24"/>
        </w:rPr>
        <w:t xml:space="preserve">Evidence and Causal Assessment</w:t>
      </w:r>
      <w:bookmarkEnd w:id="27"/>
    </w:p>
    <w:p>
      <w:pPr>
        <w:spacing w:line="360" w:after="210" w:lineRule="auto"/>
      </w:pPr>
      <w:r>
        <w:rPr>
          <w:rFonts w:eastAsia="source serif 4" w:cs="source serif 4" w:ascii="source serif 4" w:hAnsi="source serif 4"/>
          <w:color w:val="000000"/>
        </w:rPr>
        <w:t xml:space="preserve">Pointing, showing, reaching, and gesture–speech combinations can reveal that infants are coordinating another person’s attention with an object or event. Longitudinal studies link gesture with later vocabulary and grammar, including work with bilingual toddlers in which gesture at 18 months predicted later word- and sentence-level skills in one language. Such evidence supports gesture as a meaningful developmental marker and possible learning scaffold, while leaving the causal mechanism open.[^8]</w:t>
      </w:r>
    </w:p>
    <w:p>
      <w:pPr>
        <w:spacing w:line="360" w:after="210" w:lineRule="auto"/>
      </w:pPr>
      <w:r>
        <w:rPr>
          <w:rFonts w:eastAsia="source serif 4" w:cs="source serif 4" w:ascii="source serif 4" w:hAnsi="source serif 4"/>
          <w:color w:val="000000"/>
        </w:rPr>
        <w:t xml:space="preserve">The evidence does not support strong claims for commercial “baby sign” programs in typically developing hearing infants. A systematic review found inconclusive evidence for language advantages and no evidence that symbolic gesture harms typical development; one randomized study found no advantage on standardized language measures. This is an important distinction between naturally emerging gesture and a marketed intervention.[^9]</w:t>
      </w:r>
    </w:p>
    <w:p>
      <w:pPr>
        <w:spacing w:line="360" w:before="315" w:after="105" w:lineRule="auto"/>
        <w:ind w:left="-30"/>
        <w:jc w:val="left"/>
      </w:pPr>
      <w:bookmarkStart w:id="28" w:name="what_this_does_not_mean_3"/>
      <w:r>
        <w:rPr>
          <w:rFonts w:eastAsia="source serif 4" w:cs="source serif 4" w:ascii="source serif 4" w:hAnsi="source serif 4"/>
          <w:b/>
          <w:color w:val="000000"/>
          <w:sz w:val="24"/>
        </w:rPr>
        <w:t xml:space="preserve">What This Does Not Mean</w:t>
      </w:r>
      <w:bookmarkEnd w:id="28"/>
    </w:p>
    <w:p>
      <w:pPr>
        <w:spacing w:line="360" w:after="210" w:lineRule="auto"/>
      </w:pPr>
      <w:r>
        <w:rPr>
          <w:rFonts w:eastAsia="source serif 4" w:cs="source serif 4" w:ascii="source serif 4" w:hAnsi="source serif 4"/>
          <w:color w:val="000000"/>
        </w:rPr>
        <w:t xml:space="preserve">A child who points less is not thereby diagnosed with a language disorder, and encouraging gestures does not guarantee faster vocabulary growth. Gesture should be interpreted alongside comprehension, social communication, hearing, motor development, play, and the child’s language environment.</w:t>
      </w:r>
    </w:p>
    <w:p>
      <w:pPr>
        <w:spacing w:line="360" w:before="315" w:after="105" w:lineRule="auto"/>
        <w:ind w:left="-30"/>
        <w:jc w:val="left"/>
      </w:pPr>
      <w:bookmarkStart w:id="29" w:name="module_5_babbling_and_vocal_development"/>
      <w:r>
        <w:rPr>
          <w:rFonts w:eastAsia="source serif 4" w:cs="source serif 4" w:ascii="source serif 4" w:hAnsi="source serif 4"/>
          <w:b/>
          <w:color w:val="000000"/>
          <w:sz w:val="24"/>
        </w:rPr>
        <w:t xml:space="preserve">Module 5 — Babbling and Vocal Development</w:t>
      </w:r>
      <w:bookmarkEnd w:id="29"/>
    </w:p>
    <w:p>
      <w:pPr>
        <w:spacing w:line="360" w:before="315" w:after="105" w:lineRule="auto"/>
        <w:ind w:left="-30"/>
        <w:jc w:val="left"/>
      </w:pPr>
      <w:bookmarkStart w:id="30" w:name="working_claim_5"/>
      <w:r>
        <w:rPr>
          <w:rFonts w:eastAsia="source serif 4" w:cs="source serif 4" w:ascii="source serif 4" w:hAnsi="source serif 4"/>
          <w:b/>
          <w:color w:val="000000"/>
          <w:sz w:val="24"/>
        </w:rPr>
        <w:t xml:space="preserve">Working Claim</w:t>
      </w:r>
      <w:bookmarkEnd w:id="30"/>
    </w:p>
    <w:p>
      <w:pPr>
        <w:spacing w:line="360" w:after="210" w:lineRule="auto"/>
      </w:pPr>
      <w:r>
        <w:rPr>
          <w:rFonts w:eastAsia="source serif 4" w:cs="source serif 4" w:ascii="source serif 4" w:hAnsi="source serif 4"/>
          <w:color w:val="000000"/>
        </w:rPr>
        <w:t xml:space="preserve">Babbling is vocal exploration shaped by maturation, motor practice, auditory feedback, and social response. It is not merely noise, but neither is it equivalent to speech or proof of a particular future language outcome.</w:t>
      </w:r>
    </w:p>
    <w:p>
      <w:pPr>
        <w:spacing w:line="360" w:before="315" w:after="105" w:lineRule="auto"/>
        <w:ind w:left="-30"/>
        <w:jc w:val="left"/>
      </w:pPr>
      <w:bookmarkStart w:id="31" w:name="evidence_and_causal_assessment_5"/>
      <w:r>
        <w:rPr>
          <w:rFonts w:eastAsia="source serif 4" w:cs="source serif 4" w:ascii="source serif 4" w:hAnsi="source serif 4"/>
          <w:b/>
          <w:color w:val="000000"/>
          <w:sz w:val="24"/>
        </w:rPr>
        <w:t xml:space="preserve">Evidence and Causal Assessment</w:t>
      </w:r>
      <w:bookmarkEnd w:id="31"/>
    </w:p>
    <w:p>
      <w:pPr>
        <w:spacing w:line="360" w:after="210" w:lineRule="auto"/>
      </w:pPr>
      <w:r>
        <w:rPr>
          <w:rFonts w:eastAsia="source serif 4" w:cs="source serif 4" w:ascii="source serif 4" w:hAnsi="source serif 4"/>
          <w:color w:val="000000"/>
        </w:rPr>
        <w:t xml:space="preserve">Canonical babbling and increasingly speech-like vocal production provide observable evidence of developing vocal control. Caregiver responses may reinforce participation and turn-taking, while infants’ own vocal productions create feedback for further exploration. Much of the evidence is developmental and correlational; the most defensible claim concerns a feedback-rich pathway rather than a single necessary cause.</w:t>
      </w:r>
    </w:p>
    <w:p>
      <w:pPr>
        <w:spacing w:line="360" w:after="210" w:lineRule="auto"/>
      </w:pPr>
      <w:r>
        <w:rPr>
          <w:rFonts w:eastAsia="source serif 4" w:cs="source serif 4" w:ascii="source serif 4" w:hAnsi="source serif 4"/>
          <w:color w:val="000000"/>
        </w:rPr>
        <w:t xml:space="preserve">The section should connect babbling to Chapter 6’s treatment of exploration: infants generate variation, receive perceptual and social feedback, and gradually stabilize useful forms. It should also avoid treating vocal milestones as isolated tests of intelligence.</w:t>
      </w:r>
    </w:p>
    <w:p>
      <w:pPr>
        <w:spacing w:line="360" w:before="315" w:after="105" w:lineRule="auto"/>
        <w:ind w:left="-30"/>
        <w:jc w:val="left"/>
      </w:pPr>
      <w:bookmarkStart w:id="32" w:name="module_6_first_words_and_referent_6e62b7"/>
      <w:r>
        <w:rPr>
          <w:rFonts w:eastAsia="source serif 4" w:cs="source serif 4" w:ascii="source serif 4" w:hAnsi="source serif 4"/>
          <w:b/>
          <w:color w:val="000000"/>
          <w:sz w:val="24"/>
        </w:rPr>
        <w:t xml:space="preserve">Module 6 — First Words and Referential Mapping</w:t>
      </w:r>
      <w:bookmarkEnd w:id="32"/>
    </w:p>
    <w:p>
      <w:pPr>
        <w:spacing w:line="360" w:before="315" w:after="105" w:lineRule="auto"/>
        <w:ind w:left="-30"/>
        <w:jc w:val="left"/>
      </w:pPr>
      <w:bookmarkStart w:id="33" w:name="working_claim_6"/>
      <w:r>
        <w:rPr>
          <w:rFonts w:eastAsia="source serif 4" w:cs="source serif 4" w:ascii="source serif 4" w:hAnsi="source serif 4"/>
          <w:b/>
          <w:color w:val="000000"/>
          <w:sz w:val="24"/>
        </w:rPr>
        <w:t xml:space="preserve">Working Claim</w:t>
      </w:r>
      <w:bookmarkEnd w:id="33"/>
    </w:p>
    <w:p>
      <w:pPr>
        <w:spacing w:line="360" w:after="210" w:lineRule="auto"/>
      </w:pPr>
      <w:r>
        <w:rPr>
          <w:rFonts w:eastAsia="source serif 4" w:cs="source serif 4" w:ascii="source serif 4" w:hAnsi="source serif 4"/>
          <w:color w:val="000000"/>
        </w:rPr>
        <w:t xml:space="preserve">A first word is not simply a sound produced at a particular age; it is a form used with some stability and communicative function. Word learning requires the child to connect a linguistic form with people, objects, actions, events, or relations across contexts.</w:t>
      </w:r>
    </w:p>
    <w:p>
      <w:pPr>
        <w:spacing w:line="360" w:before="315" w:after="105" w:lineRule="auto"/>
        <w:ind w:left="-30"/>
        <w:jc w:val="left"/>
      </w:pPr>
      <w:bookmarkStart w:id="34" w:name="evidence_and_causal_assessment_6"/>
      <w:r>
        <w:rPr>
          <w:rFonts w:eastAsia="source serif 4" w:cs="source serif 4" w:ascii="source serif 4" w:hAnsi="source serif 4"/>
          <w:b/>
          <w:color w:val="000000"/>
          <w:sz w:val="24"/>
        </w:rPr>
        <w:t xml:space="preserve">Evidence and Causal Assessment</w:t>
      </w:r>
      <w:bookmarkEnd w:id="34"/>
    </w:p>
    <w:p>
      <w:pPr>
        <w:spacing w:line="360" w:after="210" w:lineRule="auto"/>
      </w:pPr>
      <w:r>
        <w:rPr>
          <w:rFonts w:eastAsia="source serif 4" w:cs="source serif 4" w:ascii="source serif 4" w:hAnsi="source serif 4"/>
          <w:color w:val="000000"/>
        </w:rPr>
        <w:t xml:space="preserve">Comprehension commonly precedes production, and receptive and expressive vocabularies should be measured separately. Word learning is supported by attention, memory, social cues, prior knowledge, perceptual salience, and repeated encounters. The literature on “fast mapping” shows that children can form an initial partial representation after limited exposure, but an initial mapping is not equivalent to durable, flexible word knowledge.[^10]</w:t>
      </w:r>
    </w:p>
    <w:p>
      <w:pPr>
        <w:spacing w:line="360" w:after="210" w:lineRule="auto"/>
      </w:pPr>
      <w:r>
        <w:rPr>
          <w:rFonts w:eastAsia="source serif 4" w:cs="source serif 4" w:ascii="source serif 4" w:hAnsi="source serif 4"/>
          <w:color w:val="000000"/>
        </w:rPr>
        <w:t xml:space="preserve">The chapter should present fast mapping and slow mapping as complementary levels of learning rather than opposing facts: early encounters may establish a tentative form–meaning hypothesis, while later encounters refine pronunciation, referent range, grammatical behavior, and semantic relations. Apparent speed is partly a property of the test used.</w:t>
      </w:r>
    </w:p>
    <w:p>
      <w:pPr>
        <w:spacing w:line="360" w:before="315" w:after="105" w:lineRule="auto"/>
        <w:ind w:left="-30"/>
        <w:jc w:val="left"/>
      </w:pPr>
      <w:bookmarkStart w:id="35" w:name="module_7_vocabulary_growth"/>
      <w:r>
        <w:rPr>
          <w:rFonts w:eastAsia="source serif 4" w:cs="source serif 4" w:ascii="source serif 4" w:hAnsi="source serif 4"/>
          <w:b/>
          <w:color w:val="000000"/>
          <w:sz w:val="24"/>
        </w:rPr>
        <w:t xml:space="preserve">Module 7 — Vocabulary Growth</w:t>
      </w:r>
      <w:bookmarkEnd w:id="35"/>
    </w:p>
    <w:p>
      <w:pPr>
        <w:spacing w:line="360" w:before="315" w:after="105" w:lineRule="auto"/>
        <w:ind w:left="-30"/>
        <w:jc w:val="left"/>
      </w:pPr>
      <w:bookmarkStart w:id="36" w:name="working_claim_7"/>
      <w:r>
        <w:rPr>
          <w:rFonts w:eastAsia="source serif 4" w:cs="source serif 4" w:ascii="source serif 4" w:hAnsi="source serif 4"/>
          <w:b/>
          <w:color w:val="000000"/>
          <w:sz w:val="24"/>
        </w:rPr>
        <w:t xml:space="preserve">Working Claim</w:t>
      </w:r>
      <w:bookmarkEnd w:id="36"/>
    </w:p>
    <w:p>
      <w:pPr>
        <w:spacing w:line="360" w:after="210" w:lineRule="auto"/>
      </w:pPr>
      <w:r>
        <w:rPr>
          <w:rFonts w:eastAsia="source serif 4" w:cs="source serif 4" w:ascii="source serif 4" w:hAnsi="source serif 4"/>
          <w:color w:val="000000"/>
        </w:rPr>
        <w:t xml:space="preserve">Vocabulary growth reflects interacting changes in learning efficiency, social opportunity, memory, attention, and the structure of the child’s existing lexical network. A rapid increase in words during the second year is common, but a universal “vocabulary explosion” should not be assumed.</w:t>
      </w:r>
    </w:p>
    <w:p>
      <w:pPr>
        <w:spacing w:line="360" w:before="315" w:after="105" w:lineRule="auto"/>
        <w:ind w:left="-30"/>
        <w:jc w:val="left"/>
      </w:pPr>
      <w:bookmarkStart w:id="37" w:name="evidence_and_causal_assessment_7"/>
      <w:r>
        <w:rPr>
          <w:rFonts w:eastAsia="source serif 4" w:cs="source serif 4" w:ascii="source serif 4" w:hAnsi="source serif 4"/>
          <w:b/>
          <w:color w:val="000000"/>
          <w:sz w:val="24"/>
        </w:rPr>
        <w:t xml:space="preserve">Evidence and Causal Assessment</w:t>
      </w:r>
      <w:bookmarkEnd w:id="37"/>
    </w:p>
    <w:p>
      <w:pPr>
        <w:spacing w:line="360" w:after="210" w:lineRule="auto"/>
      </w:pPr>
      <w:r>
        <w:rPr>
          <w:rFonts w:eastAsia="source serif 4" w:cs="source serif 4" w:ascii="source serif 4" w:hAnsi="source serif 4"/>
          <w:color w:val="000000"/>
        </w:rPr>
        <w:t xml:space="preserve">Vocabulary measures vary by parent report, structured assessment, language, context, and whether comprehension or production is counted. The chapter should treat acceleration as a distributional pattern that may be visible in many children, not as a required event or a diagnostic threshold.</w:t>
      </w:r>
    </w:p>
    <w:p>
      <w:pPr>
        <w:spacing w:line="360" w:after="210" w:lineRule="auto"/>
      </w:pPr>
      <w:r>
        <w:rPr>
          <w:rFonts w:eastAsia="source serif 4" w:cs="source serif 4" w:ascii="source serif 4" w:hAnsi="source serif 4"/>
          <w:color w:val="000000"/>
        </w:rPr>
        <w:t xml:space="preserve">Early language experience is associated with later language and cognitive outcomes, but word counts alone are difficult to interpret. In one automated longitudinal study, conversational turns at 18–24 months predicted later IQ and language measures after socioeconomic status was controlled, while adult word counts were weakened by that control. This supports examining interactional participation rather than treating the number of words heard as a complete exposure measure.[^11]</w:t>
      </w:r>
    </w:p>
    <w:p>
      <w:pPr>
        <w:spacing w:line="360" w:before="315" w:after="105" w:lineRule="auto"/>
        <w:ind w:left="-30"/>
        <w:jc w:val="left"/>
      </w:pPr>
      <w:bookmarkStart w:id="38" w:name="module_8_grammar_emerging_from_in_1cb79b"/>
      <w:r>
        <w:rPr>
          <w:rFonts w:eastAsia="source serif 4" w:cs="source serif 4" w:ascii="source serif 4" w:hAnsi="source serif 4"/>
          <w:b/>
          <w:color w:val="000000"/>
          <w:sz w:val="24"/>
        </w:rPr>
        <w:t xml:space="preserve">Module 8 — Grammar Emerging from Interaction</w:t>
      </w:r>
      <w:bookmarkEnd w:id="38"/>
    </w:p>
    <w:p>
      <w:pPr>
        <w:spacing w:line="360" w:before="315" w:after="105" w:lineRule="auto"/>
        <w:ind w:left="-30"/>
        <w:jc w:val="left"/>
      </w:pPr>
      <w:bookmarkStart w:id="39" w:name="working_claim_8"/>
      <w:r>
        <w:rPr>
          <w:rFonts w:eastAsia="source serif 4" w:cs="source serif 4" w:ascii="source serif 4" w:hAnsi="source serif 4"/>
          <w:b/>
          <w:color w:val="000000"/>
          <w:sz w:val="24"/>
        </w:rPr>
        <w:t xml:space="preserve">Working Claim</w:t>
      </w:r>
      <w:bookmarkEnd w:id="39"/>
    </w:p>
    <w:p>
      <w:pPr>
        <w:spacing w:line="360" w:after="210" w:lineRule="auto"/>
      </w:pPr>
      <w:r>
        <w:rPr>
          <w:rFonts w:eastAsia="source serif 4" w:cs="source serif 4" w:ascii="source serif 4" w:hAnsi="source serif 4"/>
          <w:color w:val="000000"/>
        </w:rPr>
        <w:t xml:space="preserve">Children acquire grammatical regularities through the interaction of perceptual learning, memory, categorization, analogy, communicative intention, and language-specific structure. The evidence does not justify reducing grammar either to imitation of surface strings or to a fully specified innate grammar independent of experience.</w:t>
      </w:r>
    </w:p>
    <w:p>
      <w:pPr>
        <w:spacing w:line="360" w:before="315" w:after="105" w:lineRule="auto"/>
        <w:ind w:left="-30"/>
        <w:jc w:val="left"/>
      </w:pPr>
      <w:bookmarkStart w:id="40" w:name="evidence_and_causal_assessment_8"/>
      <w:r>
        <w:rPr>
          <w:rFonts w:eastAsia="source serif 4" w:cs="source serif 4" w:ascii="source serif 4" w:hAnsi="source serif 4"/>
          <w:b/>
          <w:color w:val="000000"/>
          <w:sz w:val="24"/>
        </w:rPr>
        <w:t xml:space="preserve">Evidence and Causal Assessment</w:t>
      </w:r>
      <w:bookmarkEnd w:id="40"/>
    </w:p>
    <w:p>
      <w:pPr>
        <w:spacing w:line="360" w:after="210" w:lineRule="auto"/>
      </w:pPr>
      <w:r>
        <w:rPr>
          <w:rFonts w:eastAsia="source serif 4" w:cs="source serif 4" w:ascii="source serif 4" w:hAnsi="source serif 4"/>
          <w:color w:val="000000"/>
        </w:rPr>
        <w:t xml:space="preserve">Generative and usage-based theories disagree about the nature of children’s representations and the role of innate constraints. They nevertheless share some empirical territory: children detect regularities, generalize beyond individual utterances, use meaning and discourse context, and develop increasingly abstract patterns. Usage-based reviews emphasize chunking, categorization, rich memory, analogy, and cross-modal form–meaning association. Construction-oriented accounts describe development as movement from stored, concrete patterns toward more decomposed and generalized structures.[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after="210" w:lineRule="auto"/>
      </w:pPr>
      <w:r>
        <w:rPr>
          <w:rFonts w:eastAsia="source serif 4" w:cs="source serif 4" w:ascii="source serif 4" w:hAnsi="source serif 4"/>
          <w:color w:val="000000"/>
        </w:rPr>
        <w:t xml:space="preserve">The research atlas should compare theories by mechanism and prediction, not by presenting a false binary. The key questions are which aspects of grammar are learned from distributional and social information, which constraints arise from broader cognition, and whether language-specific evidence requires additional assumptions. Evidence is strongest for multiple interacting learning mechanisms and weaker for a single complete explanation.</w:t>
      </w:r>
    </w:p>
    <w:p>
      <w:pPr>
        <w:spacing w:line="360" w:before="315" w:after="105" w:lineRule="auto"/>
        <w:ind w:left="-30"/>
        <w:jc w:val="left"/>
      </w:pPr>
      <w:bookmarkStart w:id="41" w:name="what_this_does_not_mean_4"/>
      <w:r>
        <w:rPr>
          <w:rFonts w:eastAsia="source serif 4" w:cs="source serif 4" w:ascii="source serif 4" w:hAnsi="source serif 4"/>
          <w:b/>
          <w:color w:val="000000"/>
          <w:sz w:val="24"/>
        </w:rPr>
        <w:t xml:space="preserve">What This Does Not Mean</w:t>
      </w:r>
      <w:bookmarkEnd w:id="41"/>
    </w:p>
    <w:p>
      <w:pPr>
        <w:spacing w:line="360" w:after="210" w:lineRule="auto"/>
      </w:pPr>
      <w:r>
        <w:rPr>
          <w:rFonts w:eastAsia="source serif 4" w:cs="source serif 4" w:ascii="source serif 4" w:hAnsi="source serif 4"/>
          <w:color w:val="000000"/>
        </w:rPr>
        <w:t xml:space="preserve">No current evidence warrants claiming that one theory has explained all grammar acquisition, that grammar is taught explicitly by caregivers, or that ordinary conversational exposure can be reduced to word frequency.</w:t>
      </w:r>
    </w:p>
    <w:p>
      <w:pPr>
        <w:spacing w:line="360" w:before="315" w:after="105" w:lineRule="auto"/>
        <w:ind w:left="-30"/>
        <w:jc w:val="left"/>
      </w:pPr>
      <w:bookmarkStart w:id="42" w:name="module_9_conversational_turn_taking"/>
      <w:r>
        <w:rPr>
          <w:rFonts w:eastAsia="source serif 4" w:cs="source serif 4" w:ascii="source serif 4" w:hAnsi="source serif 4"/>
          <w:b/>
          <w:color w:val="000000"/>
          <w:sz w:val="24"/>
        </w:rPr>
        <w:t xml:space="preserve">Module 9 — Conversational Turn-Taking</w:t>
      </w:r>
      <w:bookmarkEnd w:id="42"/>
    </w:p>
    <w:p>
      <w:pPr>
        <w:spacing w:line="360" w:before="315" w:after="105" w:lineRule="auto"/>
        <w:ind w:left="-30"/>
        <w:jc w:val="left"/>
      </w:pPr>
      <w:bookmarkStart w:id="43" w:name="working_claim_9"/>
      <w:r>
        <w:rPr>
          <w:rFonts w:eastAsia="source serif 4" w:cs="source serif 4" w:ascii="source serif 4" w:hAnsi="source serif 4"/>
          <w:b/>
          <w:color w:val="000000"/>
          <w:sz w:val="24"/>
        </w:rPr>
        <w:t xml:space="preserve">Working Claim</w:t>
      </w:r>
      <w:bookmarkEnd w:id="43"/>
    </w:p>
    <w:p>
      <w:pPr>
        <w:spacing w:line="360" w:after="210" w:lineRule="auto"/>
      </w:pPr>
      <w:r>
        <w:rPr>
          <w:rFonts w:eastAsia="source serif 4" w:cs="source serif 4" w:ascii="source serif 4" w:hAnsi="source serif 4"/>
          <w:color w:val="000000"/>
        </w:rPr>
        <w:t xml:space="preserve">Conversational interaction is distinct from passive language exposure. Contingent turns give children opportunities to process timing, intention, vocabulary, and the consequences of their own signals.</w:t>
      </w:r>
    </w:p>
    <w:p>
      <w:pPr>
        <w:spacing w:line="360" w:before="315" w:after="105" w:lineRule="auto"/>
        <w:ind w:left="-30"/>
        <w:jc w:val="left"/>
      </w:pPr>
      <w:bookmarkStart w:id="44" w:name="evidence_and_causal_assessment_9"/>
      <w:r>
        <w:rPr>
          <w:rFonts w:eastAsia="source serif 4" w:cs="source serif 4" w:ascii="source serif 4" w:hAnsi="source serif 4"/>
          <w:b/>
          <w:color w:val="000000"/>
          <w:sz w:val="24"/>
        </w:rPr>
        <w:t xml:space="preserve">Evidence and Causal Assessment</w:t>
      </w:r>
      <w:bookmarkEnd w:id="44"/>
    </w:p>
    <w:p>
      <w:pPr>
        <w:spacing w:line="360" w:after="210" w:lineRule="auto"/>
      </w:pPr>
      <w:r>
        <w:rPr>
          <w:rFonts w:eastAsia="source serif 4" w:cs="source serif 4" w:ascii="source serif 4" w:hAnsi="source serif 4"/>
          <w:color w:val="000000"/>
        </w:rPr>
        <w:t xml:space="preserve">Naturalistic studies find that conversational turns are associated with later language and cognitive outcomes. In one longitudinal analysis, turn counts at 18–24 months accounted for 14–27% of variance in later measures after controlling for socioeconomic status, while the observational design could not establish that turns caused the outcomes. Other work similarly reported a relation between conversational turns and verbal scores, but these estimates should not be interpreted as intervention effect sizes.[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color w:val="000000"/>
        </w:rPr>
        <w:t xml:space="preserve">The more causal evidence comes from interventions that coach responsive interaction. A meta-analysis of parent-implemented language interventions found moderate effects for expressive vocabulary in shared-book reading and play or routine activities, but nonsignificant effects for receptive vocabulary in the summarized analyses. This pattern suggests that interaction can be modified and that expressive outcomes may be more responsive than receptive outcomes, while also showing why effect sizes should not be generalized to all children or all language domains.[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p>
    <w:p>
      <w:pPr>
        <w:spacing w:line="360" w:before="315" w:after="105" w:lineRule="auto"/>
        <w:ind w:left="-30"/>
        <w:jc w:val="left"/>
      </w:pPr>
      <w:bookmarkStart w:id="45" w:name="module_10_quantity_quality_and_th_fadb8b"/>
      <w:r>
        <w:rPr>
          <w:rFonts w:eastAsia="source serif 4" w:cs="source serif 4" w:ascii="source serif 4" w:hAnsi="source serif 4"/>
          <w:b/>
          <w:color w:val="000000"/>
          <w:sz w:val="24"/>
        </w:rPr>
        <w:t xml:space="preserve">Module 10 — Quantity, Quality, and the Word-Gap Debate</w:t>
      </w:r>
      <w:bookmarkEnd w:id="45"/>
    </w:p>
    <w:p>
      <w:pPr>
        <w:spacing w:line="360" w:before="315" w:after="105" w:lineRule="auto"/>
        <w:ind w:left="-30"/>
        <w:jc w:val="left"/>
      </w:pPr>
      <w:bookmarkStart w:id="46" w:name="working_claim_10"/>
      <w:r>
        <w:rPr>
          <w:rFonts w:eastAsia="source serif 4" w:cs="source serif 4" w:ascii="source serif 4" w:hAnsi="source serif 4"/>
          <w:b/>
          <w:color w:val="000000"/>
          <w:sz w:val="24"/>
        </w:rPr>
        <w:t xml:space="preserve">Working Claim</w:t>
      </w:r>
      <w:bookmarkEnd w:id="46"/>
    </w:p>
    <w:p>
      <w:pPr>
        <w:spacing w:line="360" w:after="210" w:lineRule="auto"/>
      </w:pPr>
      <w:r>
        <w:rPr>
          <w:rFonts w:eastAsia="source serif 4" w:cs="source serif 4" w:ascii="source serif 4" w:hAnsi="source serif 4"/>
          <w:color w:val="000000"/>
        </w:rPr>
        <w:t xml:space="preserve">Language quantity and language quality are distinct constructs. More speech can increase opportunities for learning, but conversational contingency, connectedness, responsiveness, linguistic diversity, and the child’s participation may matter more than raw word counts in some settings.</w:t>
      </w:r>
    </w:p>
    <w:p>
      <w:pPr>
        <w:spacing w:line="360" w:before="315" w:after="105" w:lineRule="auto"/>
        <w:ind w:left="-30"/>
        <w:jc w:val="left"/>
      </w:pPr>
      <w:bookmarkStart w:id="47" w:name="evidence_and_causal_assessment_10"/>
      <w:r>
        <w:rPr>
          <w:rFonts w:eastAsia="source serif 4" w:cs="source serif 4" w:ascii="source serif 4" w:hAnsi="source serif 4"/>
          <w:b/>
          <w:color w:val="000000"/>
          <w:sz w:val="24"/>
        </w:rPr>
        <w:t xml:space="preserve">Evidence and Causal Assessment</w:t>
      </w:r>
      <w:bookmarkEnd w:id="47"/>
    </w:p>
    <w:p>
      <w:pPr>
        <w:spacing w:line="360" w:after="210" w:lineRule="auto"/>
      </w:pPr>
      <w:r>
        <w:rPr>
          <w:rFonts w:eastAsia="source serif 4" w:cs="source serif 4" w:ascii="source serif 4" w:hAnsi="source serif 4"/>
          <w:color w:val="000000"/>
        </w:rPr>
        <w:t xml:space="preserve">The original “30-million-word gap” claim was based on a small sample and extrapolation, and subsequent work has challenged its measurement and interpretation. Later research reported that socioeconomic differences in observed word exposure emerged between 12 and 18 months, while other analyses found interaction quality to be more predictive than the number of words adults used. These findings do not show that quantity is irrelevant; they show that a single word-count metric cannot stand in for the child’s language experience.[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color w:val="000000"/>
        </w:rPr>
        <w:t xml:space="preserve">The chapter should frame language environments as material and institutional as well as interpersonal. Time, caregiver stress, work conditions, parental leave, housing, childcare quality, disability access, and language discrimination shape opportunities for interaction. An intervention that increases responsive turns may work partly by changing adult behavior and partly by providing coaching, time, support, and structured opportunities; the active ingredient should not automatically be labeled “parenting.”</w:t>
      </w:r>
    </w:p>
    <w:p>
      <w:pPr>
        <w:spacing w:line="360" w:before="315" w:after="105" w:lineRule="auto"/>
        <w:ind w:left="-30"/>
        <w:jc w:val="left"/>
      </w:pPr>
      <w:bookmarkStart w:id="48" w:name="what_this_does_not_mean_5"/>
      <w:r>
        <w:rPr>
          <w:rFonts w:eastAsia="source serif 4" w:cs="source serif 4" w:ascii="source serif 4" w:hAnsi="source serif 4"/>
          <w:b/>
          <w:color w:val="000000"/>
          <w:sz w:val="24"/>
        </w:rPr>
        <w:t xml:space="preserve">What This Does Not Mean</w:t>
      </w:r>
      <w:bookmarkEnd w:id="48"/>
    </w:p>
    <w:p>
      <w:pPr>
        <w:spacing w:line="360" w:after="210" w:lineRule="auto"/>
      </w:pPr>
      <w:r>
        <w:rPr>
          <w:rFonts w:eastAsia="source serif 4" w:cs="source serif 4" w:ascii="source serif 4" w:hAnsi="source serif 4"/>
          <w:color w:val="000000"/>
        </w:rPr>
        <w:t xml:space="preserve">Families with fewer resources do not care less about language, and parents should not be assigned responsibility for structural differences in time, stress, service access, or educational opportunity.</w:t>
      </w:r>
    </w:p>
    <w:p>
      <w:pPr>
        <w:spacing w:line="360" w:before="315" w:after="105" w:lineRule="auto"/>
        <w:ind w:left="-30"/>
        <w:jc w:val="left"/>
      </w:pPr>
      <w:bookmarkStart w:id="49" w:name="module_11_human_and_screen_mediat_f6f6c4"/>
      <w:r>
        <w:rPr>
          <w:rFonts w:eastAsia="source serif 4" w:cs="source serif 4" w:ascii="source serif 4" w:hAnsi="source serif 4"/>
          <w:b/>
          <w:color w:val="000000"/>
          <w:sz w:val="24"/>
        </w:rPr>
        <w:t xml:space="preserve">Module 11 — Human and Screen-Mediated Communication</w:t>
      </w:r>
      <w:bookmarkEnd w:id="49"/>
    </w:p>
    <w:p>
      <w:pPr>
        <w:spacing w:line="360" w:before="315" w:after="105" w:lineRule="auto"/>
        <w:ind w:left="-30"/>
        <w:jc w:val="left"/>
      </w:pPr>
      <w:bookmarkStart w:id="50" w:name="working_claim_11"/>
      <w:r>
        <w:rPr>
          <w:rFonts w:eastAsia="source serif 4" w:cs="source serif 4" w:ascii="source serif 4" w:hAnsi="source serif 4"/>
          <w:b/>
          <w:color w:val="000000"/>
          <w:sz w:val="24"/>
        </w:rPr>
        <w:t xml:space="preserve">Working Claim</w:t>
      </w:r>
      <w:bookmarkEnd w:id="50"/>
    </w:p>
    <w:p>
      <w:pPr>
        <w:spacing w:line="360" w:after="210" w:lineRule="auto"/>
      </w:pPr>
      <w:r>
        <w:rPr>
          <w:rFonts w:eastAsia="source serif 4" w:cs="source serif 4" w:ascii="source serif 4" w:hAnsi="source serif 4"/>
          <w:color w:val="000000"/>
        </w:rPr>
        <w:t xml:space="preserve">Children can learn some language from screen-mediated interaction, but screen exposure is not a unitary variable and cannot be equated with human interaction. Outcomes depend on duration, content, timing, social contingency, co-use, developmental level, and what the screen displaces.</w:t>
      </w:r>
    </w:p>
    <w:p>
      <w:pPr>
        <w:spacing w:line="360" w:before="315" w:after="105" w:lineRule="auto"/>
        <w:ind w:left="-30"/>
        <w:jc w:val="left"/>
      </w:pPr>
      <w:bookmarkStart w:id="51" w:name="evidence_and_causal_assessment_11"/>
      <w:r>
        <w:rPr>
          <w:rFonts w:eastAsia="source serif 4" w:cs="source serif 4" w:ascii="source serif 4" w:hAnsi="source serif 4"/>
          <w:b/>
          <w:color w:val="000000"/>
          <w:sz w:val="24"/>
        </w:rPr>
        <w:t xml:space="preserve">Evidence and Causal Assessment</w:t>
      </w:r>
      <w:bookmarkEnd w:id="51"/>
    </w:p>
    <w:p>
      <w:pPr>
        <w:spacing w:line="360" w:after="210" w:lineRule="auto"/>
      </w:pPr>
      <w:r>
        <w:rPr>
          <w:rFonts w:eastAsia="source serif 4" w:cs="source serif 4" w:ascii="source serif 4" w:hAnsi="source serif 4"/>
          <w:color w:val="000000"/>
        </w:rPr>
        <w:t xml:space="preserve">Experimental studies commonly find that infants and toddlers learn phonemes and words less effectively from prerecorded video than from live demonstrations, although social contingency can improve learning. Toddlers in one study learned novel words from live interaction and video chat, supporting the importance of contingent social exchange. These findings justify distinguishing passive video from responsive video communication, not treating all technology as equivalent.[</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w:t>
      </w:r>
    </w:p>
    <w:p>
      <w:pPr>
        <w:spacing w:line="360" w:after="210" w:lineRule="auto"/>
      </w:pPr>
      <w:r>
        <w:rPr>
          <w:rFonts w:eastAsia="source serif 4" w:cs="source serif 4" w:ascii="source serif 4" w:hAnsi="source serif 4"/>
          <w:color w:val="000000"/>
        </w:rPr>
        <w:t xml:space="preserve">Observational reviews often report negative associations between higher or earlier screen exposure and language outcomes, but findings are heterogeneous and confounded by family context, child characteristics, content, and displacement of interaction. The chapter should prioritize causal experiments and describe observational associations as risk signals rather than proof that screen time alone causes delay.[</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22]</w:t>
      </w:r>
    </w:p>
    <w:p>
      <w:pPr>
        <w:spacing w:line="360" w:before="315" w:after="105" w:lineRule="auto"/>
        <w:ind w:left="-30"/>
        <w:jc w:val="left"/>
      </w:pPr>
      <w:bookmarkStart w:id="52" w:name="module_12_multilingual_development"/>
      <w:r>
        <w:rPr>
          <w:rFonts w:eastAsia="source serif 4" w:cs="source serif 4" w:ascii="source serif 4" w:hAnsi="source serif 4"/>
          <w:b/>
          <w:color w:val="000000"/>
          <w:sz w:val="24"/>
        </w:rPr>
        <w:t xml:space="preserve">Module 12 — Multilingual Development</w:t>
      </w:r>
      <w:bookmarkEnd w:id="52"/>
    </w:p>
    <w:p>
      <w:pPr>
        <w:spacing w:line="360" w:before="315" w:after="105" w:lineRule="auto"/>
        <w:ind w:left="-30"/>
        <w:jc w:val="left"/>
      </w:pPr>
      <w:bookmarkStart w:id="53" w:name="working_claim_12"/>
      <w:r>
        <w:rPr>
          <w:rFonts w:eastAsia="source serif 4" w:cs="source serif 4" w:ascii="source serif 4" w:hAnsi="source serif 4"/>
          <w:b/>
          <w:color w:val="000000"/>
          <w:sz w:val="24"/>
        </w:rPr>
        <w:t xml:space="preserve">Working Claim</w:t>
      </w:r>
      <w:bookmarkEnd w:id="53"/>
    </w:p>
    <w:p>
      <w:pPr>
        <w:spacing w:line="360" w:after="210" w:lineRule="auto"/>
      </w:pPr>
      <w:r>
        <w:rPr>
          <w:rFonts w:eastAsia="source serif 4" w:cs="source serif 4" w:ascii="source serif 4" w:hAnsi="source serif 4"/>
          <w:color w:val="000000"/>
        </w:rPr>
        <w:t xml:space="preserve">Infants and young children can acquire more than one language. Multilingual development involves distributing vocabulary and experience across languages and contexts; apparent differences in one language do not necessarily indicate a global language delay.</w:t>
      </w:r>
    </w:p>
    <w:p>
      <w:pPr>
        <w:spacing w:line="360" w:before="315" w:after="105" w:lineRule="auto"/>
        <w:ind w:left="-30"/>
        <w:jc w:val="left"/>
      </w:pPr>
      <w:bookmarkStart w:id="54" w:name="evidence_and_causal_assessment_12"/>
      <w:r>
        <w:rPr>
          <w:rFonts w:eastAsia="source serif 4" w:cs="source serif 4" w:ascii="source serif 4" w:hAnsi="source serif 4"/>
          <w:b/>
          <w:color w:val="000000"/>
          <w:sz w:val="24"/>
        </w:rPr>
        <w:t xml:space="preserve">Evidence and Causal Assessment</w:t>
      </w:r>
      <w:bookmarkEnd w:id="54"/>
    </w:p>
    <w:p>
      <w:pPr>
        <w:spacing w:line="360" w:after="210" w:lineRule="auto"/>
      </w:pPr>
      <w:r>
        <w:rPr>
          <w:rFonts w:eastAsia="source serif 4" w:cs="source serif 4" w:ascii="source serif 4" w:hAnsi="source serif 4"/>
          <w:color w:val="000000"/>
        </w:rPr>
        <w:t xml:space="preserve">The National Academies found no evidence that using two home languages, or one home language and another in early education, confuses dual-language learners or places development of either language at risk. The atlas should compare each language, the combined conceptual vocabulary where appropriate, quality and amount of exposure, opportunities for interaction, and the child’s communicative purposes.[^23]</w:t>
      </w:r>
    </w:p>
    <w:p>
      <w:pPr>
        <w:spacing w:line="360" w:after="210" w:lineRule="auto"/>
      </w:pPr>
      <w:r>
        <w:rPr>
          <w:rFonts w:eastAsia="source serif 4" w:cs="source serif 4" w:ascii="source serif 4" w:hAnsi="source serif 4"/>
          <w:color w:val="000000"/>
        </w:rPr>
        <w:t xml:space="preserve">Code-switching and language mixing should be treated as possible features of multilingual competence, not as evidence of confusion. Assessment and intervention should include the child’s full linguistic repertoire and culturally meaningful contexts. A majority-language-only environment may increase performance in that language while reducing access to family communication and cultural participation; that is a social trade-off, not a simple developmental improvement.</w:t>
      </w:r>
    </w:p>
    <w:p>
      <w:pPr>
        <w:spacing w:line="360" w:before="315" w:after="105" w:lineRule="auto"/>
        <w:ind w:left="-30"/>
        <w:jc w:val="left"/>
      </w:pPr>
      <w:bookmarkStart w:id="55" w:name="what_this_does_not_mean_6"/>
      <w:r>
        <w:rPr>
          <w:rFonts w:eastAsia="source serif 4" w:cs="source serif 4" w:ascii="source serif 4" w:hAnsi="source serif 4"/>
          <w:b/>
          <w:color w:val="000000"/>
          <w:sz w:val="24"/>
        </w:rPr>
        <w:t xml:space="preserve">What This Does Not Mean</w:t>
      </w:r>
      <w:bookmarkEnd w:id="55"/>
    </w:p>
    <w:p>
      <w:pPr>
        <w:spacing w:line="360" w:after="210" w:lineRule="auto"/>
      </w:pPr>
      <w:r>
        <w:rPr>
          <w:rFonts w:eastAsia="source serif 4" w:cs="source serif 4" w:ascii="source serif 4" w:hAnsi="source serif 4"/>
          <w:color w:val="000000"/>
        </w:rPr>
        <w:t xml:space="preserve">Multilingual children are not expected to have identical vocabulary counts in each language, and bilingualism does not automatically delay language. At the same time, multilingualism does not immunize a child from language disorder; persistent difficulties across languages require appropriate assessment.</w:t>
      </w:r>
    </w:p>
    <w:p>
      <w:pPr>
        <w:spacing w:line="360" w:before="315" w:after="105" w:lineRule="auto"/>
        <w:ind w:left="-30"/>
        <w:jc w:val="left"/>
      </w:pPr>
      <w:bookmarkStart w:id="56" w:name="module_13_developmental_variation"/>
      <w:r>
        <w:rPr>
          <w:rFonts w:eastAsia="source serif 4" w:cs="source serif 4" w:ascii="source serif 4" w:hAnsi="source serif 4"/>
          <w:b/>
          <w:color w:val="000000"/>
          <w:sz w:val="24"/>
        </w:rPr>
        <w:t xml:space="preserve">Module 13 — Developmental Variation</w:t>
      </w:r>
      <w:bookmarkEnd w:id="56"/>
    </w:p>
    <w:p>
      <w:pPr>
        <w:spacing w:line="360" w:before="315" w:after="105" w:lineRule="auto"/>
        <w:ind w:left="-30"/>
        <w:jc w:val="left"/>
      </w:pPr>
      <w:bookmarkStart w:id="57" w:name="working_claim_13"/>
      <w:r>
        <w:rPr>
          <w:rFonts w:eastAsia="source serif 4" w:cs="source serif 4" w:ascii="source serif 4" w:hAnsi="source serif 4"/>
          <w:b/>
          <w:color w:val="000000"/>
          <w:sz w:val="24"/>
        </w:rPr>
        <w:t xml:space="preserve">Working Claim</w:t>
      </w:r>
      <w:bookmarkEnd w:id="57"/>
    </w:p>
    <w:p>
      <w:pPr>
        <w:spacing w:line="360" w:after="210" w:lineRule="auto"/>
      </w:pPr>
      <w:r>
        <w:rPr>
          <w:rFonts w:eastAsia="source serif 4" w:cs="source serif 4" w:ascii="source serif 4" w:hAnsi="source serif 4"/>
          <w:color w:val="000000"/>
        </w:rPr>
        <w:t xml:space="preserve">Language milestones show substantial individual, linguistic, and contextual variation. Receptive and expressive language should be separated, and a single late milestone should not be treated as a deterministic forecast.</w:t>
      </w:r>
    </w:p>
    <w:p>
      <w:pPr>
        <w:spacing w:line="360" w:before="315" w:after="105" w:lineRule="auto"/>
        <w:ind w:left="-30"/>
        <w:jc w:val="left"/>
      </w:pPr>
      <w:bookmarkStart w:id="58" w:name="evidence_and_causal_assessment_13"/>
      <w:r>
        <w:rPr>
          <w:rFonts w:eastAsia="source serif 4" w:cs="source serif 4" w:ascii="source serif 4" w:hAnsi="source serif 4"/>
          <w:b/>
          <w:color w:val="000000"/>
          <w:sz w:val="24"/>
        </w:rPr>
        <w:t xml:space="preserve">Evidence and Causal Assessment</w:t>
      </w:r>
      <w:bookmarkEnd w:id="58"/>
    </w:p>
    <w:p>
      <w:pPr>
        <w:spacing w:line="360" w:after="210" w:lineRule="auto"/>
      </w:pPr>
      <w:r>
        <w:rPr>
          <w:rFonts w:eastAsia="source serif 4" w:cs="source serif 4" w:ascii="source serif 4" w:hAnsi="source serif 4"/>
          <w:color w:val="000000"/>
        </w:rPr>
        <w:t xml:space="preserve">Late language emergence is often operationalized using thresholds such as fewer than 50 expressive words and no two-word combinations at 24 months, but professional guidance emphasizes trajectory, comprehension, gestures, symbolic play, social language, speech sounds, and other developmental domains rather than one count alone. Some late talkers catch up, while persistent delay and co-occurring differences increase concern; prediction is probabilistic.[^24]</w:t>
      </w:r>
    </w:p>
    <w:p>
      <w:pPr>
        <w:spacing w:line="360" w:after="210" w:lineRule="auto"/>
      </w:pPr>
      <w:r>
        <w:rPr>
          <w:rFonts w:eastAsia="source serif 4" w:cs="source serif 4" w:ascii="source serif 4" w:hAnsi="source serif 4"/>
          <w:color w:val="000000"/>
        </w:rPr>
        <w:t xml:space="preserve">The chapter should distinguish normal variation from signs warranting evaluation. Hearing status, autism-related communication differences, developmental language disorder, intellectual disability, motor differences, multilingual exposure, and environmental opportunity require different interpretations. Monitoring is not dismissal, and referral is not a deterministic label.</w:t>
      </w:r>
    </w:p>
    <w:p>
      <w:pPr>
        <w:spacing w:line="360" w:before="315" w:after="105" w:lineRule="auto"/>
        <w:ind w:left="-30"/>
        <w:jc w:val="left"/>
      </w:pPr>
      <w:bookmarkStart w:id="59" w:name="module_14_language_delay_and_inte_dab782"/>
      <w:r>
        <w:rPr>
          <w:rFonts w:eastAsia="source serif 4" w:cs="source serif 4" w:ascii="source serif 4" w:hAnsi="source serif 4"/>
          <w:b/>
          <w:color w:val="000000"/>
          <w:sz w:val="24"/>
        </w:rPr>
        <w:t xml:space="preserve">Module 14 — Language Delay and Intervention</w:t>
      </w:r>
      <w:bookmarkEnd w:id="59"/>
    </w:p>
    <w:p>
      <w:pPr>
        <w:spacing w:line="360" w:before="315" w:after="105" w:lineRule="auto"/>
        <w:ind w:left="-30"/>
        <w:jc w:val="left"/>
      </w:pPr>
      <w:bookmarkStart w:id="60" w:name="working_claim_14"/>
      <w:r>
        <w:rPr>
          <w:rFonts w:eastAsia="source serif 4" w:cs="source serif 4" w:ascii="source serif 4" w:hAnsi="source serif 4"/>
          <w:b/>
          <w:color w:val="000000"/>
          <w:sz w:val="24"/>
        </w:rPr>
        <w:t xml:space="preserve">Working Claim</w:t>
      </w:r>
      <w:bookmarkEnd w:id="60"/>
    </w:p>
    <w:p>
      <w:pPr>
        <w:spacing w:line="360" w:after="210" w:lineRule="auto"/>
      </w:pPr>
      <w:r>
        <w:rPr>
          <w:rFonts w:eastAsia="source serif 4" w:cs="source serif 4" w:ascii="source serif 4" w:hAnsi="source serif 4"/>
          <w:color w:val="000000"/>
        </w:rPr>
        <w:t xml:space="preserve">Some early language interventions improve measured expressive language, especially when they are structured, repeated, developmentally appropriate, and integrated into meaningful interaction. Effects are generally more modest or less consistent for receptive language and long-term generalization.</w:t>
      </w:r>
    </w:p>
    <w:p>
      <w:pPr>
        <w:spacing w:line="360" w:before="315" w:after="105" w:lineRule="auto"/>
        <w:ind w:left="-30"/>
        <w:jc w:val="left"/>
      </w:pPr>
      <w:bookmarkStart w:id="61" w:name="evidence_and_causal_assessment_14"/>
      <w:r>
        <w:rPr>
          <w:rFonts w:eastAsia="source serif 4" w:cs="source serif 4" w:ascii="source serif 4" w:hAnsi="source serif 4"/>
          <w:b/>
          <w:color w:val="000000"/>
          <w:sz w:val="24"/>
        </w:rPr>
        <w:t xml:space="preserve">Evidence and Causal Assessment</w:t>
      </w:r>
      <w:bookmarkEnd w:id="61"/>
    </w:p>
    <w:p>
      <w:pPr>
        <w:spacing w:line="360" w:after="210" w:lineRule="auto"/>
      </w:pPr>
      <w:r>
        <w:rPr>
          <w:rFonts w:eastAsia="source serif 4" w:cs="source serif 4" w:ascii="source serif 4" w:hAnsi="source serif 4"/>
          <w:color w:val="000000"/>
        </w:rPr>
        <w:t xml:space="preserve">A meta-analysis of parent-implemented interventions reported modest-to-moderate gains in expressive language, with significant effects for shared book reading and play or routine activities, but nonsignificant effects for receptive vocabulary in the reported analyses. A broader review of oral-language interventions for neurodevelopmental disorders found a mean post-test effect of approximately 0.27 and follow-up effect of approximately 0.18, alongside evidence of publication bias and overestimated mean effects; the authors judged the evidence promising but inconclusive.[</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25]</w:t>
      </w:r>
    </w:p>
    <w:p>
      <w:pPr>
        <w:spacing w:line="360" w:after="210" w:lineRule="auto"/>
      </w:pPr>
      <w:r>
        <w:rPr>
          <w:rFonts w:eastAsia="source serif 4" w:cs="source serif 4" w:ascii="source serif 4" w:hAnsi="source serif 4"/>
          <w:color w:val="000000"/>
        </w:rPr>
        <w:t xml:space="preserve">A 2024 systematic review of interventions for preterm children aged 0–3 found limited evidence for very early interventions, with more promising results in interventions delivered during the second and third years, and called for longer follow-ups. Clinical guidance supports early parent- and child-centered intervention combined with educational language support, but service quality, dosage, access, implementation fidelity, and the child’s underlying profile matter.[</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p>
    <w:p>
      <w:pPr>
        <w:spacing w:line="360" w:before="315" w:after="105" w:lineRule="auto"/>
        <w:ind w:left="-30"/>
        <w:jc w:val="left"/>
      </w:pPr>
      <w:bookmarkStart w:id="62" w:name="efficacy_effectiveness_scalabilit_82ece4"/>
      <w:r>
        <w:rPr>
          <w:rFonts w:eastAsia="source serif 4" w:cs="source serif 4" w:ascii="source serif 4" w:hAnsi="source serif 4"/>
          <w:b/>
          <w:color w:val="000000"/>
          <w:sz w:val="24"/>
        </w:rPr>
        <w:t xml:space="preserve">Efficacy, Effectiveness, Scalability, and Institutional Dependence</w:t>
      </w:r>
      <w:bookmarkEnd w:id="62"/>
    </w:p>
    <w:p>
      <w:pPr>
        <w:spacing w:line="360" w:after="210" w:lineRule="auto"/>
      </w:pPr>
      <w:r>
        <w:rPr>
          <w:rFonts w:eastAsia="source serif 4" w:cs="source serif 4" w:ascii="source serif 4" w:hAnsi="source serif 4"/>
          <w:color w:val="000000"/>
        </w:rPr>
        <w:t xml:space="preserve">The dossier should separate: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must be established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Efficacy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the intervention work under studied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work in ordinary clinics, homes, childcare settings, and languages?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be delivered with adequate fidelity and equitable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Institutional dependence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benefit depend on specialist support, coaching, paid time, or service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gains remain after treatment ends and transfer to new settings?</w:t>
            </w:r>
          </w:p>
        </w:tc>
      </w:tr>
    </w:tbl>
    <w:p>
      <w:pPr>
        <w:spacing w:lineRule="auto"/>
      </w:pPr>
    </w:p>
    <w:p>
      <w:pPr>
        <w:spacing w:line="360" w:after="210" w:lineRule="auto"/>
      </w:pPr>
      <w:r>
        <w:rPr>
          <w:rFonts w:eastAsia="source serif 4" w:cs="source serif 4" w:ascii="source serif 4" w:hAnsi="source serif 4"/>
          <w:color w:val="000000"/>
        </w:rPr>
        <w:t xml:space="preserve">The proportionate conclusion is that evaluation and evidence-based support are justified when concern is persistent, cross-context, or accompanied by other developmental signs. Generic intensive language training for all children is not justified by the evidence.</w:t>
      </w:r>
    </w:p>
    <w:p>
      <w:pPr>
        <w:spacing w:line="360" w:before="315" w:after="105" w:lineRule="auto"/>
        <w:ind w:left="-30"/>
        <w:jc w:val="left"/>
      </w:pPr>
      <w:bookmarkStart w:id="63" w:name="module_15_language_as_cultural_tr_cc3975"/>
      <w:r>
        <w:rPr>
          <w:rFonts w:eastAsia="source serif 4" w:cs="source serif 4" w:ascii="source serif 4" w:hAnsi="source serif 4"/>
          <w:b/>
          <w:color w:val="000000"/>
          <w:sz w:val="24"/>
        </w:rPr>
        <w:t xml:space="preserve">Module 15 — Language as Cultural Transmission</w:t>
      </w:r>
      <w:bookmarkEnd w:id="63"/>
    </w:p>
    <w:p>
      <w:pPr>
        <w:spacing w:line="360" w:before="315" w:after="105" w:lineRule="auto"/>
        <w:ind w:left="-30"/>
        <w:jc w:val="left"/>
      </w:pPr>
      <w:bookmarkStart w:id="64" w:name="working_claim_15"/>
      <w:r>
        <w:rPr>
          <w:rFonts w:eastAsia="source serif 4" w:cs="source serif 4" w:ascii="source serif 4" w:hAnsi="source serif 4"/>
          <w:b/>
          <w:color w:val="000000"/>
          <w:sz w:val="24"/>
        </w:rPr>
        <w:t xml:space="preserve">Working Claim</w:t>
      </w:r>
      <w:bookmarkEnd w:id="64"/>
    </w:p>
    <w:p>
      <w:pPr>
        <w:spacing w:line="360" w:after="210" w:lineRule="auto"/>
      </w:pPr>
      <w:r>
        <w:rPr>
          <w:rFonts w:eastAsia="source serif 4" w:cs="source serif 4" w:ascii="source serif 4" w:hAnsi="source serif 4"/>
          <w:color w:val="000000"/>
        </w:rPr>
        <w:t xml:space="preserve">Language is a system for coordinating shared meaning and transmitting knowledge across people and generations. Its developmental significance exceeds vocabulary because language enables participation in practices, narratives, norms, identities, and cumulative cultural learning.</w:t>
      </w:r>
    </w:p>
    <w:p>
      <w:pPr>
        <w:spacing w:line="360" w:before="315" w:after="105" w:lineRule="auto"/>
        <w:ind w:left="-30"/>
        <w:jc w:val="left"/>
      </w:pPr>
      <w:bookmarkStart w:id="65" w:name="evidence_and_interpretation"/>
      <w:r>
        <w:rPr>
          <w:rFonts w:eastAsia="source serif 4" w:cs="source serif 4" w:ascii="source serif 4" w:hAnsi="source serif 4"/>
          <w:b/>
          <w:color w:val="000000"/>
          <w:sz w:val="24"/>
        </w:rPr>
        <w:t xml:space="preserve">Evidence and Interpretation</w:t>
      </w:r>
      <w:bookmarkEnd w:id="65"/>
    </w:p>
    <w:p>
      <w:pPr>
        <w:spacing w:line="360" w:after="210" w:lineRule="auto"/>
      </w:pPr>
      <w:r>
        <w:rPr>
          <w:rFonts w:eastAsia="source serif 4" w:cs="source serif 4" w:ascii="source serif 4" w:hAnsi="source serif 4"/>
          <w:color w:val="000000"/>
        </w:rPr>
        <w:t xml:space="preserve">Cultural-learning accounts emphasize that human children learn not only from objects and events but from other people’s communicative intentions and socially shared practices. Tomasello’s framework identifies intention-reading and pattern-finding as central components of the transition from prelinguistic cognition to language learning. This is a theoretical synthesis rather than a single experimentally proven pathway.[^28]</w:t>
      </w:r>
    </w:p>
    <w:p>
      <w:pPr>
        <w:spacing w:line="360" w:after="210" w:lineRule="auto"/>
      </w:pPr>
      <w:r>
        <w:rPr>
          <w:rFonts w:eastAsia="source serif 4" w:cs="source serif 4" w:ascii="source serif 4" w:hAnsi="source serif 4"/>
          <w:color w:val="000000"/>
        </w:rPr>
        <w:t xml:space="preserve">The chapter should distinguish the scientific claim—that language supports communication, categorization, memory, instruction, and knowledge transfer—from the interpretive claim that language allows one mind to partially inhabit another. The latter is an appropriate philosophical and literary extension, provided it is not presented as a measured scientific result.</w:t>
      </w:r>
    </w:p>
    <w:p>
      <w:pPr>
        <w:spacing w:line="360" w:before="315" w:after="105" w:lineRule="auto"/>
        <w:ind w:left="-30"/>
        <w:jc w:val="left"/>
      </w:pPr>
      <w:bookmarkStart w:id="66" w:name="claim_register"/>
      <w:r>
        <w:rPr>
          <w:rFonts w:eastAsia="source serif 4" w:cs="source serif 4" w:ascii="source serif 4" w:hAnsi="source serif 4"/>
          <w:b/>
          <w:color w:val="000000"/>
          <w:sz w:val="24"/>
        </w:rPr>
        <w:t xml:space="preserve">Claim Register</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emerges from earlier communicative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experimental, mechanistic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are biologically prepared but require environmental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Perceptual experiments, cross-language studies, developmental theory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broad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Speech perception changes substantially during the first year.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perceptual-narrowing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with timing heterogeneity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Joint attention supports language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prediction, social-cue experiments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Gesture often precedes and predicts language.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observational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Vocabulary growth reflects learning and social interaction.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language-experience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Conversational interaction contributes to language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Naturalistic studies, parent-implemented trials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quantity and quality are distinct.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Observational and interaction-quality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 can acquire multiple languages.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Cross-language developmental research, National Academies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development shows substantial normal variation.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Normative studies, clinical guidance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broad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language interventions improve measurable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trials and meta-analyses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domain-specific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functions as cultural transmission.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Cultural-learning theory and cross-cultural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Low–Moderate for causal mechanism; high as functional 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bl>
    <w:p>
      <w:pPr>
        <w:spacing w:lineRule="auto"/>
      </w:pPr>
    </w:p>
    <w:p>
      <w:pPr>
        <w:spacing w:line="360" w:after="210" w:lineRule="auto"/>
      </w:pPr>
      <w:r>
        <w:rPr>
          <w:rFonts w:eastAsia="source serif 4" w:cs="source serif 4" w:ascii="source serif 4" w:hAnsi="source serif 4"/>
          <w:color w:val="000000"/>
        </w:rPr>
        <w:t xml:space="preserve">The register should be updated when the full atlas distinguishes expressive vocabulary, receptive vocabulary, grammar, discourse, and functional communication as separate outcomes.</w:t>
      </w:r>
    </w:p>
    <w:p>
      <w:pPr>
        <w:spacing w:line="360" w:before="315" w:after="105" w:lineRule="auto"/>
        <w:ind w:left="-30"/>
        <w:jc w:val="left"/>
      </w:pPr>
      <w:bookmarkStart w:id="67" w:name="developmental_timeline"/>
      <w:r>
        <w:rPr>
          <w:rFonts w:eastAsia="source serif 4" w:cs="source serif 4" w:ascii="source serif 4" w:hAnsi="source serif 4"/>
          <w:b/>
          <w:color w:val="000000"/>
          <w:sz w:val="24"/>
        </w:rPr>
        <w:t xml:space="preserve">Developmental Timeline</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processes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Auditory exposure and familiarity with recurring prosodic patterns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auditory experience may prepare attention to speech; it is not prenatal language learning in the ordinary symbolic sense.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Preference and discrimination for speech, vocal exchange, affective timing, early attention coordination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Communication is increasingly reciprocal, but signals are not yet equivalent to words.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Babbling, perceptual attunement, communicative gestures, gaze following, joint-attention bids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Social and perceptual systems begin to converge on language-specific and referential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Stable word use, expanding comprehension, pointing–speech combinations, early symbolic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Production is highly variable; comprehension often exceeds expression.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Vocabulary expansion, emerging combinations, increasing conversational participation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Word counts should be interpreted with context, language, and trajectory.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Rapid expansion of grammar, morphology, narrative and conversational functions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Gains reflect accumulated learning and interaction, not a single “language explosion.”</w:t>
            </w:r>
          </w:p>
        </w:tc>
      </w:tr>
    </w:tbl>
    <w:p>
      <w:pPr>
        <w:spacing w:lineRule="auto"/>
      </w:pPr>
    </w:p>
    <w:p>
      <w:pPr>
        <w:spacing w:line="360" w:after="210" w:lineRule="auto"/>
      </w:pPr>
      <w:r>
        <w:rPr>
          <w:rFonts w:eastAsia="source serif 4" w:cs="source serif 4" w:ascii="source serif 4" w:hAnsi="source serif 4"/>
          <w:color w:val="000000"/>
        </w:rPr>
        <w:t xml:space="preserve">The timeline should be presented as overlapping processes with broad variation rather than as a universal staircase. The age bands are useful for organizing evidence, not for assigning fixed developmental expectations.</w:t>
      </w:r>
    </w:p>
    <w:p>
      <w:pPr>
        <w:spacing w:line="360" w:before="315" w:after="105" w:lineRule="auto"/>
        <w:ind w:left="-30"/>
        <w:jc w:val="left"/>
      </w:pPr>
      <w:bookmarkStart w:id="68" w:name="causal_maps"/>
      <w:r>
        <w:rPr>
          <w:rFonts w:eastAsia="source serif 4" w:cs="source serif 4" w:ascii="source serif 4" w:hAnsi="source serif 4"/>
          <w:b/>
          <w:color w:val="000000"/>
          <w:sz w:val="24"/>
        </w:rPr>
        <w:t xml:space="preserve">Causal Maps</w:t>
      </w:r>
      <w:bookmarkEnd w:id="68"/>
    </w:p>
    <w:p>
      <w:pPr>
        <w:spacing w:line="360" w:before="315" w:after="105" w:lineRule="auto"/>
        <w:ind w:left="-30"/>
        <w:jc w:val="left"/>
      </w:pPr>
      <w:bookmarkStart w:id="69" w:name="map_a_language_emergence"/>
      <w:r>
        <w:rPr>
          <w:rFonts w:eastAsia="source serif 4" w:cs="source serif 4" w:ascii="source serif 4" w:hAnsi="source serif 4"/>
          <w:b/>
          <w:color w:val="000000"/>
          <w:sz w:val="24"/>
        </w:rPr>
        <w:t xml:space="preserve">Map A — Language Emergence</w:t>
      </w:r>
      <w:bookmarkEnd w:id="69"/>
    </w:p>
    <w:p>
      <w:pPr>
        <w:spacing w:line="360" w:after="210" w:lineRule="auto"/>
      </w:pPr>
      <w:r>
        <w:rPr>
          <w:rFonts w:eastAsia="source serif 4" w:cs="source serif 4" w:ascii="source serif 4" w:hAnsi="source serif 4"/>
          <w:color w:val="000000"/>
        </w:rPr>
        <w:t xml:space="preserve">Biological preparedness and perceptual learning → social responsiveness → communicative intent → shared attention → referential mapping → symbolic forms → words and patterned constructions → language participation.</w:t>
      </w:r>
    </w:p>
    <w:p>
      <w:pPr>
        <w:spacing w:line="360" w:after="210" w:lineRule="auto"/>
      </w:pPr>
      <w:r>
        <w:rPr>
          <w:rFonts w:eastAsia="source serif 4" w:cs="source serif 4" w:ascii="source serif 4" w:hAnsi="source serif 4"/>
          <w:color w:val="000000"/>
        </w:rPr>
        <w:t xml:space="preserve">This is a heuristic developmental model, not a claim that each stage must be completed before the next begins.</w:t>
      </w:r>
    </w:p>
    <w:p>
      <w:pPr>
        <w:spacing w:line="360" w:before="315" w:after="105" w:lineRule="auto"/>
        <w:ind w:left="-30"/>
        <w:jc w:val="left"/>
      </w:pPr>
      <w:bookmarkStart w:id="70" w:name="map_b_vocabulary_learning"/>
      <w:r>
        <w:rPr>
          <w:rFonts w:eastAsia="source serif 4" w:cs="source serif 4" w:ascii="source serif 4" w:hAnsi="source serif 4"/>
          <w:b/>
          <w:color w:val="000000"/>
          <w:sz w:val="24"/>
        </w:rPr>
        <w:t xml:space="preserve">Map B — Vocabulary Learning</w:t>
      </w:r>
      <w:bookmarkEnd w:id="70"/>
    </w:p>
    <w:p>
      <w:pPr>
        <w:spacing w:line="360" w:after="210" w:lineRule="auto"/>
      </w:pPr>
      <w:r>
        <w:rPr>
          <w:rFonts w:eastAsia="source serif 4" w:cs="source serif 4" w:ascii="source serif 4" w:hAnsi="source serif 4"/>
          <w:color w:val="000000"/>
        </w:rPr>
        <w:t xml:space="preserve">Attention and relevance → linguistic form in context → candidate form–meaning mapping → repeated encounters and memory consolidation → semantic integration → flexible vocabulary use.</w:t>
      </w:r>
    </w:p>
    <w:p>
      <w:pPr>
        <w:spacing w:line="360" w:before="315" w:after="105" w:lineRule="auto"/>
        <w:ind w:left="-30"/>
        <w:jc w:val="left"/>
      </w:pPr>
      <w:bookmarkStart w:id="71" w:name="map_c_conversation"/>
      <w:r>
        <w:rPr>
          <w:rFonts w:eastAsia="source serif 4" w:cs="source serif 4" w:ascii="source serif 4" w:hAnsi="source serif 4"/>
          <w:b/>
          <w:color w:val="000000"/>
          <w:sz w:val="24"/>
        </w:rPr>
        <w:t xml:space="preserve">Map C — Conversation</w:t>
      </w:r>
      <w:bookmarkEnd w:id="71"/>
    </w:p>
    <w:p>
      <w:pPr>
        <w:spacing w:line="360" w:after="210" w:lineRule="auto"/>
      </w:pPr>
      <w:r>
        <w:rPr>
          <w:rFonts w:eastAsia="source serif 4" w:cs="source serif 4" w:ascii="source serif 4" w:hAnsi="source serif 4"/>
          <w:color w:val="000000"/>
        </w:rPr>
        <w:t xml:space="preserve">Caregiver or partner responsiveness → child signal → contingent reply → turn coordination → processing and prediction → increased communicative participation.</w:t>
      </w:r>
    </w:p>
    <w:p>
      <w:pPr>
        <w:spacing w:line="360" w:before="315" w:after="105" w:lineRule="auto"/>
        <w:ind w:left="-30"/>
        <w:jc w:val="left"/>
      </w:pPr>
      <w:bookmarkStart w:id="72" w:name="map_d_cultural_transmission"/>
      <w:r>
        <w:rPr>
          <w:rFonts w:eastAsia="source serif 4" w:cs="source serif 4" w:ascii="source serif 4" w:hAnsi="source serif 4"/>
          <w:b/>
          <w:color w:val="000000"/>
          <w:sz w:val="24"/>
        </w:rPr>
        <w:t xml:space="preserve">Map D — Cultural Transmission</w:t>
      </w:r>
      <w:bookmarkEnd w:id="72"/>
    </w:p>
    <w:p>
      <w:pPr>
        <w:spacing w:line="360" w:after="210" w:lineRule="auto"/>
      </w:pPr>
      <w:r>
        <w:rPr>
          <w:rFonts w:eastAsia="source serif 4" w:cs="source serif 4" w:ascii="source serif 4" w:hAnsi="source serif 4"/>
          <w:color w:val="000000"/>
        </w:rPr>
        <w:t xml:space="preserve">Shared symbols → shared meanings → instruction, narrative, and coordination → knowledge transfer → participation in practices → cumulative culture.</w:t>
      </w:r>
    </w:p>
    <w:p>
      <w:pPr>
        <w:spacing w:line="360" w:before="315" w:after="105" w:lineRule="auto"/>
        <w:ind w:left="-30"/>
        <w:jc w:val="left"/>
      </w:pPr>
      <w:bookmarkStart w:id="73" w:name="replication_and_controversy_register"/>
      <w:r>
        <w:rPr>
          <w:rFonts w:eastAsia="source serif 4" w:cs="source serif 4" w:ascii="source serif 4" w:hAnsi="source serif 4"/>
          <w:b/>
          <w:color w:val="000000"/>
          <w:sz w:val="24"/>
        </w:rPr>
        <w:t xml:space="preserve">Replication and Controversy Register</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Controversy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Narrowest defensible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Nativism versus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Biological preparedness and domain-general learning both matter; no single account explains all levels of acquisition.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Word gap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Socioeconomic differences in language experience are real in some samples, but the 30-million figure and raw word counts are not adequate causal measures.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partial mapping can occur quickly; durable word knowledge requires later learning and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Conversational 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Turns are stronger candidates than raw word counts, but observational associations remain vulnerable to selection and bidirectionality.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Screen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Contingent social interaction can support learning; prerecorded exposure is generally less effective in infant and toddler experiments.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 acquisition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Theories disagree about representations and innate constraints; evidence supports multiple interacting mechanisms.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Multilingual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languages do not inherently confuse children or cause delay; assessments must consider the full linguistic repertoire.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intervention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 interventions improve measured expressive outcomes; persistence, receptive gains, generalization, and equity remain less certain.</w:t>
            </w:r>
          </w:p>
        </w:tc>
      </w:tr>
    </w:tbl>
    <w:p>
      <w:pPr>
        <w:spacing w:lineRule="auto"/>
      </w:pPr>
    </w:p>
    <w:p>
      <w:pPr>
        <w:spacing w:line="360" w:before="315" w:after="105" w:lineRule="auto"/>
        <w:ind w:left="-30"/>
        <w:jc w:val="left"/>
      </w:pPr>
      <w:bookmarkStart w:id="74" w:name="bias_audit"/>
      <w:r>
        <w:rPr>
          <w:rFonts w:eastAsia="source serif 4" w:cs="source serif 4" w:ascii="source serif 4" w:hAnsi="source serif 4"/>
          <w:b/>
          <w:color w:val="000000"/>
          <w:sz w:val="24"/>
        </w:rPr>
        <w:t xml:space="preserve">Bias Audit</w:t>
      </w:r>
      <w:bookmarkEnd w:id="74"/>
    </w:p>
    <w:p>
      <w:pPr>
        <w:spacing w:line="360" w:after="210" w:lineRule="auto"/>
      </w:pPr>
      <w:r>
        <w:rPr>
          <w:rFonts w:eastAsia="source serif 4" w:cs="source serif 4" w:ascii="source serif 4" w:hAnsi="source serif 4"/>
          <w:color w:val="000000"/>
        </w:rPr>
        <w:t xml:space="preserve">The dossier should explicitly document:</w:t>
      </w:r>
    </w:p>
    <w:p>
      <w:pPr>
        <w:numPr>
          <w:ilvl w:val="0"/>
          <w:numId w:val="2"/>
        </w:numPr>
        <w:spacing w:line="360" w:before="105" w:after="105" w:lineRule="auto"/>
      </w:pPr>
      <w:r>
        <w:rPr>
          <w:rFonts w:eastAsia="source serif 4" w:cs="source serif 4" w:ascii="source serif 4" w:hAnsi="source serif 4"/>
          <w:b/>
          <w:color w:val="000000"/>
          <w:sz w:val="21"/>
        </w:rPr>
        <w:t xml:space="preserve">WEIRD sampling:</w:t>
      </w:r>
      <w:r>
        <w:rPr>
          <w:rFonts w:eastAsia="source serif 4" w:cs="source serif 4" w:ascii="source serif 4" w:hAnsi="source serif 4"/>
          <w:color w:val="000000"/>
          <w:sz w:val="21"/>
        </w:rPr>
        <w:t xml:space="preserve"> Many studies use Western, educated, industrialized, rich, and democratic populations and a small number of dominant languages.</w:t>
      </w:r>
    </w:p>
    <w:p>
      <w:pPr>
        <w:numPr>
          <w:ilvl w:val="0"/>
          <w:numId w:val="2"/>
        </w:numPr>
        <w:spacing w:line="360" w:before="105" w:after="105" w:lineRule="auto"/>
      </w:pPr>
      <w:r>
        <w:rPr>
          <w:rFonts w:eastAsia="source serif 4" w:cs="source serif 4" w:ascii="source serif 4" w:hAnsi="source serif 4"/>
          <w:b/>
          <w:color w:val="000000"/>
          <w:sz w:val="21"/>
        </w:rPr>
        <w:t xml:space="preserve">Socioeconomic confounding:</w:t>
      </w:r>
      <w:r>
        <w:rPr>
          <w:rFonts w:eastAsia="source serif 4" w:cs="source serif 4" w:ascii="source serif 4" w:hAnsi="source serif 4"/>
          <w:color w:val="000000"/>
          <w:sz w:val="21"/>
        </w:rPr>
        <w:t xml:space="preserve"> Language exposure, stress, childcare, literacy, housing, and service access are correlated and difficult to isolate.</w:t>
      </w:r>
    </w:p>
    <w:p>
      <w:pPr>
        <w:numPr>
          <w:ilvl w:val="0"/>
          <w:numId w:val="2"/>
        </w:numPr>
        <w:spacing w:line="360" w:before="105" w:after="105" w:lineRule="auto"/>
      </w:pPr>
      <w:r>
        <w:rPr>
          <w:rFonts w:eastAsia="source serif 4" w:cs="source serif 4" w:ascii="source serif 4" w:hAnsi="source serif 4"/>
          <w:b/>
          <w:color w:val="000000"/>
          <w:sz w:val="21"/>
        </w:rPr>
        <w:t xml:space="preserve">Measurement variability:</w:t>
      </w:r>
      <w:r>
        <w:rPr>
          <w:rFonts w:eastAsia="source serif 4" w:cs="source serif 4" w:ascii="source serif 4" w:hAnsi="source serif 4"/>
          <w:color w:val="000000"/>
          <w:sz w:val="21"/>
        </w:rPr>
        <w:t xml:space="preserve"> Parent report, laboratory tasks, language samples, device logs, and standardized tests measure different constructs.</w:t>
      </w:r>
    </w:p>
    <w:p>
      <w:pPr>
        <w:numPr>
          <w:ilvl w:val="0"/>
          <w:numId w:val="2"/>
        </w:numPr>
        <w:spacing w:line="360" w:before="105" w:after="105" w:lineRule="auto"/>
      </w:pPr>
      <w:r>
        <w:rPr>
          <w:rFonts w:eastAsia="source serif 4" w:cs="source serif 4" w:ascii="source serif 4" w:hAnsi="source serif 4"/>
          <w:b/>
          <w:color w:val="000000"/>
          <w:sz w:val="21"/>
        </w:rPr>
        <w:t xml:space="preserve">Language and cultural bias:</w:t>
      </w:r>
      <w:r>
        <w:rPr>
          <w:rFonts w:eastAsia="source serif 4" w:cs="source serif 4" w:ascii="source serif 4" w:hAnsi="source serif 4"/>
          <w:color w:val="000000"/>
          <w:sz w:val="21"/>
        </w:rPr>
        <w:t xml:space="preserve"> Monolingual majority-language tests can underestimate multilingual knowledge and culturally organized communication.</w:t>
      </w:r>
    </w:p>
    <w:p>
      <w:pPr>
        <w:numPr>
          <w:ilvl w:val="0"/>
          <w:numId w:val="2"/>
        </w:numPr>
        <w:spacing w:line="360" w:before="105" w:after="105" w:lineRule="auto"/>
      </w:pPr>
      <w:r>
        <w:rPr>
          <w:rFonts w:eastAsia="source serif 4" w:cs="source serif 4" w:ascii="source serif 4" w:hAnsi="source serif 4"/>
          <w:b/>
          <w:color w:val="000000"/>
          <w:sz w:val="21"/>
        </w:rPr>
        <w:t xml:space="preserve">Selection and attrition:</w:t>
      </w:r>
      <w:r>
        <w:rPr>
          <w:rFonts w:eastAsia="source serif 4" w:cs="source serif 4" w:ascii="source serif 4" w:hAnsi="source serif 4"/>
          <w:color w:val="000000"/>
          <w:sz w:val="21"/>
        </w:rPr>
        <w:t xml:space="preserve"> Families able to participate repeatedly in research may differ from families facing greater material constraints.</w:t>
      </w:r>
    </w:p>
    <w:p>
      <w:pPr>
        <w:numPr>
          <w:ilvl w:val="0"/>
          <w:numId w:val="2"/>
        </w:numPr>
        <w:spacing w:line="360" w:before="105" w:after="105" w:lineRule="auto"/>
      </w:pPr>
      <w:r>
        <w:rPr>
          <w:rFonts w:eastAsia="source serif 4" w:cs="source serif 4" w:ascii="source serif 4" w:hAnsi="source serif 4"/>
          <w:b/>
          <w:color w:val="000000"/>
          <w:sz w:val="21"/>
        </w:rPr>
        <w:t xml:space="preserve">Publication bias:</w:t>
      </w:r>
      <w:r>
        <w:rPr>
          <w:rFonts w:eastAsia="source serif 4" w:cs="source serif 4" w:ascii="source serif 4" w:hAnsi="source serif 4"/>
          <w:color w:val="000000"/>
          <w:sz w:val="21"/>
        </w:rPr>
        <w:t xml:space="preserve"> Intervention estimates can be inflated when small positive studies are more likely to be published; this concern was identified in a recent meta-analysis.[^25]</w:t>
      </w:r>
    </w:p>
    <w:p>
      <w:pPr>
        <w:numPr>
          <w:ilvl w:val="0"/>
          <w:numId w:val="2"/>
        </w:numPr>
        <w:spacing w:line="360" w:before="105" w:after="105" w:lineRule="auto"/>
      </w:pPr>
      <w:r>
        <w:rPr>
          <w:rFonts w:eastAsia="source serif 4" w:cs="source serif 4" w:ascii="source serif 4" w:hAnsi="source serif 4"/>
          <w:b/>
          <w:color w:val="000000"/>
          <w:sz w:val="21"/>
        </w:rPr>
        <w:t xml:space="preserve">Translation bias:</w:t>
      </w:r>
      <w:r>
        <w:rPr>
          <w:rFonts w:eastAsia="source serif 4" w:cs="source serif 4" w:ascii="source serif 4" w:hAnsi="source serif 4"/>
          <w:color w:val="000000"/>
          <w:sz w:val="21"/>
        </w:rPr>
        <w:t xml:space="preserve"> Associations between early scores and later outcomes may be translated into deterministic narratives not warranted by the predictive evidence.</w:t>
      </w:r>
    </w:p>
    <w:p>
      <w:pPr>
        <w:numPr>
          <w:ilvl w:val="0"/>
          <w:numId w:val="2"/>
        </w:numPr>
        <w:spacing w:line="360" w:before="105" w:after="105" w:lineRule="auto"/>
      </w:pPr>
      <w:r>
        <w:rPr>
          <w:rFonts w:eastAsia="source serif 4" w:cs="source serif 4" w:ascii="source serif 4" w:hAnsi="source serif 4"/>
          <w:b/>
          <w:color w:val="000000"/>
          <w:sz w:val="21"/>
        </w:rPr>
        <w:t xml:space="preserve">Parent-blaming:</w:t>
      </w:r>
      <w:r>
        <w:rPr>
          <w:rFonts w:eastAsia="source serif 4" w:cs="source serif 4" w:ascii="source serif 4" w:hAnsi="source serif 4"/>
          <w:color w:val="000000"/>
          <w:sz w:val="21"/>
        </w:rPr>
        <w:t xml:space="preserve"> Family interaction is one level of the causal system, not the entire system.</w:t>
      </w:r>
    </w:p>
    <w:p>
      <w:pPr>
        <w:spacing w:line="360" w:before="315" w:after="105" w:lineRule="auto"/>
        <w:ind w:left="-30"/>
        <w:jc w:val="left"/>
      </w:pPr>
      <w:bookmarkStart w:id="75" w:name="what_chapter_7_must_not_infer"/>
      <w:r>
        <w:rPr>
          <w:rFonts w:eastAsia="source serif 4" w:cs="source serif 4" w:ascii="source serif 4" w:hAnsi="source serif 4"/>
          <w:b/>
          <w:color w:val="000000"/>
          <w:sz w:val="24"/>
        </w:rPr>
        <w:t xml:space="preserve">What Chapter 7 Must Not Infer</w:t>
      </w:r>
      <w:bookmarkEnd w:id="75"/>
    </w:p>
    <w:p>
      <w:pPr>
        <w:spacing w:line="360" w:after="210" w:lineRule="auto"/>
      </w:pPr>
      <w:r>
        <w:rPr>
          <w:rFonts w:eastAsia="source serif 4" w:cs="source serif 4" w:ascii="source serif 4" w:hAnsi="source serif 4"/>
          <w:color w:val="000000"/>
        </w:rPr>
        <w:t xml:space="preserve">The chapter should explicitly reject the following inferences:</w:t>
      </w:r>
    </w:p>
    <w:p>
      <w:pPr>
        <w:numPr>
          <w:ilvl w:val="0"/>
          <w:numId w:val="3"/>
        </w:numPr>
        <w:spacing w:line="360" w:before="105" w:after="105" w:lineRule="auto"/>
      </w:pPr>
      <w:r>
        <w:rPr>
          <w:rFonts w:eastAsia="source serif 4" w:cs="source serif 4" w:ascii="source serif 4" w:hAnsi="source serif 4"/>
          <w:color w:val="000000"/>
          <w:sz w:val="21"/>
        </w:rPr>
        <w:t xml:space="preserve">Early language scores determine fixed intellectual destiny.</w:t>
      </w:r>
    </w:p>
    <w:p>
      <w:pPr>
        <w:numPr>
          <w:ilvl w:val="0"/>
          <w:numId w:val="3"/>
        </w:numPr>
        <w:spacing w:line="360" w:before="105" w:after="105" w:lineRule="auto"/>
      </w:pPr>
      <w:r>
        <w:rPr>
          <w:rFonts w:eastAsia="source serif 4" w:cs="source serif 4" w:ascii="source serif 4" w:hAnsi="source serif 4"/>
          <w:color w:val="000000"/>
          <w:sz w:val="21"/>
        </w:rPr>
        <w:t xml:space="preserve">More words automatically produce better development.</w:t>
      </w:r>
    </w:p>
    <w:p>
      <w:pPr>
        <w:numPr>
          <w:ilvl w:val="0"/>
          <w:numId w:val="3"/>
        </w:numPr>
        <w:spacing w:line="360" w:before="105" w:after="105" w:lineRule="auto"/>
      </w:pPr>
      <w:r>
        <w:rPr>
          <w:rFonts w:eastAsia="source serif 4" w:cs="source serif 4" w:ascii="source serif 4" w:hAnsi="source serif 4"/>
          <w:color w:val="000000"/>
          <w:sz w:val="21"/>
        </w:rPr>
        <w:t xml:space="preserve">Monolingual development is the human norm.</w:t>
      </w:r>
    </w:p>
    <w:p>
      <w:pPr>
        <w:numPr>
          <w:ilvl w:val="0"/>
          <w:numId w:val="3"/>
        </w:numPr>
        <w:spacing w:line="360" w:before="105" w:after="105" w:lineRule="auto"/>
      </w:pPr>
      <w:r>
        <w:rPr>
          <w:rFonts w:eastAsia="source serif 4" w:cs="source serif 4" w:ascii="source serif 4" w:hAnsi="source serif 4"/>
          <w:color w:val="000000"/>
          <w:sz w:val="21"/>
        </w:rPr>
        <w:t xml:space="preserve">Screens and humans provide equivalent learning conditions.</w:t>
      </w:r>
    </w:p>
    <w:p>
      <w:pPr>
        <w:numPr>
          <w:ilvl w:val="0"/>
          <w:numId w:val="3"/>
        </w:numPr>
        <w:spacing w:line="360" w:before="105" w:after="105" w:lineRule="auto"/>
      </w:pPr>
      <w:r>
        <w:rPr>
          <w:rFonts w:eastAsia="source serif 4" w:cs="source serif 4" w:ascii="source serif 4" w:hAnsi="source serif 4"/>
          <w:color w:val="000000"/>
          <w:sz w:val="21"/>
        </w:rPr>
        <w:t xml:space="preserve">Vocabulary size is equivalent to intelligence.</w:t>
      </w:r>
    </w:p>
    <w:p>
      <w:pPr>
        <w:numPr>
          <w:ilvl w:val="0"/>
          <w:numId w:val="3"/>
        </w:numPr>
        <w:spacing w:line="360" w:before="105" w:after="105" w:lineRule="auto"/>
      </w:pPr>
      <w:r>
        <w:rPr>
          <w:rFonts w:eastAsia="source serif 4" w:cs="source serif 4" w:ascii="source serif 4" w:hAnsi="source serif 4"/>
          <w:color w:val="000000"/>
          <w:sz w:val="21"/>
        </w:rPr>
        <w:t xml:space="preserve">Late talking automatically predicts long-term impairment.</w:t>
      </w:r>
    </w:p>
    <w:p>
      <w:pPr>
        <w:numPr>
          <w:ilvl w:val="0"/>
          <w:numId w:val="3"/>
        </w:numPr>
        <w:spacing w:line="360" w:before="105" w:after="105" w:lineRule="auto"/>
      </w:pPr>
      <w:r>
        <w:rPr>
          <w:rFonts w:eastAsia="source serif 4" w:cs="source serif 4" w:ascii="source serif 4" w:hAnsi="source serif 4"/>
          <w:color w:val="000000"/>
          <w:sz w:val="21"/>
        </w:rPr>
        <w:t xml:space="preserve">Grammar acquisition is fully explained by any one theory.</w:t>
      </w:r>
    </w:p>
    <w:p>
      <w:pPr>
        <w:numPr>
          <w:ilvl w:val="0"/>
          <w:numId w:val="3"/>
        </w:numPr>
        <w:spacing w:line="360" w:before="105" w:after="105" w:lineRule="auto"/>
      </w:pPr>
      <w:r>
        <w:rPr>
          <w:rFonts w:eastAsia="source serif 4" w:cs="source serif 4" w:ascii="source serif 4" w:hAnsi="source serif 4"/>
          <w:color w:val="000000"/>
          <w:sz w:val="21"/>
        </w:rPr>
        <w:t xml:space="preserve">Language development can be reduced to parental effort.</w:t>
      </w:r>
    </w:p>
    <w:p>
      <w:pPr>
        <w:numPr>
          <w:ilvl w:val="0"/>
          <w:numId w:val="3"/>
        </w:numPr>
        <w:spacing w:line="360" w:before="105" w:after="105" w:lineRule="auto"/>
      </w:pPr>
      <w:r>
        <w:rPr>
          <w:rFonts w:eastAsia="source serif 4" w:cs="source serif 4" w:ascii="source serif 4" w:hAnsi="source serif 4"/>
          <w:color w:val="000000"/>
          <w:sz w:val="21"/>
        </w:rPr>
        <w:t xml:space="preserve">Families with fewer resources care less about communication.</w:t>
      </w:r>
    </w:p>
    <w:p>
      <w:pPr>
        <w:numPr>
          <w:ilvl w:val="0"/>
          <w:numId w:val="3"/>
        </w:numPr>
        <w:spacing w:line="360" w:before="105" w:after="105" w:lineRule="auto"/>
      </w:pPr>
      <w:r>
        <w:rPr>
          <w:rFonts w:eastAsia="source serif 4" w:cs="source serif 4" w:ascii="source serif 4" w:hAnsi="source serif 4"/>
          <w:color w:val="000000"/>
          <w:sz w:val="21"/>
        </w:rPr>
        <w:t xml:space="preserve">A program that increases parent responsiveness proves that ordinary language differences are caused by deficient parenting.</w:t>
      </w:r>
    </w:p>
    <w:p>
      <w:pPr>
        <w:spacing w:line="360" w:before="315" w:after="105" w:lineRule="auto"/>
        <w:ind w:left="-30"/>
        <w:jc w:val="left"/>
      </w:pPr>
      <w:bookmarkStart w:id="76" w:name="parent_facing_translation_table"/>
      <w:r>
        <w:rPr>
          <w:rFonts w:eastAsia="source serif 4" w:cs="source serif 4" w:ascii="source serif 4" w:hAnsi="source serif 4"/>
          <w:b/>
          <w:color w:val="000000"/>
          <w:sz w:val="24"/>
        </w:rPr>
        <w:t xml:space="preserve">Parent-Facing Translation Table</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finding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Contingent interaction is associated with stronger language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Follow the child’s attention and respond to signals in ordinary routines; constant teaching is not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Receptive and expressive language develop differently.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Understanding more than a child can say is common; assess both.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Gesture is part of communication.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pointing, showing, gaze, movement, and sounds as meaningful opportunities for exchange.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Multilingual exposure is not inherently confusing.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the languages that support family relationships and participation; assess the child’s full repertoire.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interventions improve expressive language.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Seek evaluation when concern persists and ask what outcome, dosage, and follow-up evidence support the program.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Screen effects depend on context and displacement.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Ask whether the medium is contingent and whether it replaces responsive human interaction, sleep, play, or conversation.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Milestones vary.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trajectories and patterns, not a single age or word count, while taking persistent concerns seriously.</w:t>
            </w:r>
          </w:p>
        </w:tc>
      </w:tr>
    </w:tbl>
    <w:p>
      <w:pPr>
        <w:spacing w:lineRule="auto"/>
      </w:pPr>
    </w:p>
    <w:p>
      <w:pPr>
        <w:spacing w:line="360" w:after="210" w:lineRule="auto"/>
      </w:pPr>
      <w:r>
        <w:rPr>
          <w:rFonts w:eastAsia="source serif 4" w:cs="source serif 4" w:ascii="source serif 4" w:hAnsi="source serif 4"/>
          <w:color w:val="000000"/>
        </w:rPr>
        <w:t xml:space="preserve">These translations are deliberately low-pressure. They describe opportunities and routes to assessment, not a moral standard for family interaction.</w:t>
      </w:r>
    </w:p>
    <w:p>
      <w:pPr>
        <w:spacing w:line="360" w:before="315" w:after="105" w:lineRule="auto"/>
        <w:ind w:left="-30"/>
        <w:jc w:val="left"/>
      </w:pPr>
      <w:bookmarkStart w:id="77" w:name="research_deliverables"/>
      <w:r>
        <w:rPr>
          <w:rFonts w:eastAsia="source serif 4" w:cs="source serif 4" w:ascii="source serif 4" w:hAnsi="source serif 4"/>
          <w:b/>
          <w:color w:val="000000"/>
          <w:sz w:val="24"/>
        </w:rPr>
        <w:t xml:space="preserve">Research Deliverables</w:t>
      </w:r>
      <w:bookmarkEnd w:id="77"/>
    </w:p>
    <w:p>
      <w:pPr>
        <w:spacing w:line="360" w:after="210" w:lineRule="auto"/>
      </w:pPr>
      <w:r>
        <w:rPr>
          <w:rFonts w:eastAsia="source serif 4" w:cs="source serif 4" w:ascii="source serif 4" w:hAnsi="source serif 4"/>
          <w:color w:val="000000"/>
        </w:rPr>
        <w:t xml:space="preserve">Before drafting, the atlas should be assembled in the following order:</w:t>
      </w:r>
    </w:p>
    <w:p>
      <w:pPr>
        <w:numPr>
          <w:ilvl w:val="0"/>
          <w:numId w:val="4"/>
        </w:numPr>
        <w:spacing w:line="360" w:before="105" w:after="105" w:lineRule="auto"/>
      </w:pPr>
      <w:r>
        <w:rPr>
          <w:rFonts w:eastAsia="source serif 4" w:cs="source serif 4" w:ascii="source serif 4" w:hAnsi="source serif 4"/>
          <w:b/>
          <w:color w:val="000000"/>
          <w:sz w:val="21"/>
        </w:rPr>
        <w:t xml:space="preserve">Core evidence dossier:</w:t>
      </w:r>
      <w:r>
        <w:rPr>
          <w:rFonts w:eastAsia="source serif 4" w:cs="source serif 4" w:ascii="source serif 4" w:hAnsi="source serif 4"/>
          <w:color w:val="000000"/>
          <w:sz w:val="21"/>
        </w:rPr>
        <w:t xml:space="preserve"> one synthesis per module, with design, sample, language, outcome, effect estimate, confidence interval, follow-up, and limitations.</w:t>
      </w:r>
    </w:p>
    <w:p>
      <w:pPr>
        <w:numPr>
          <w:ilvl w:val="0"/>
          <w:numId w:val="4"/>
        </w:numPr>
        <w:spacing w:line="360" w:before="105" w:after="105" w:lineRule="auto"/>
      </w:pPr>
      <w:r>
        <w:rPr>
          <w:rFonts w:eastAsia="source serif 4" w:cs="source serif 4" w:ascii="source serif 4" w:hAnsi="source serif 4"/>
          <w:b/>
          <w:color w:val="000000"/>
          <w:sz w:val="21"/>
        </w:rPr>
        <w:t xml:space="preserve">Claim register:</w:t>
      </w:r>
      <w:r>
        <w:rPr>
          <w:rFonts w:eastAsia="source serif 4" w:cs="source serif 4" w:ascii="source serif 4" w:hAnsi="source serif 4"/>
          <w:color w:val="000000"/>
          <w:sz w:val="21"/>
        </w:rPr>
        <w:t xml:space="preserve"> update C7-01 through C7-12 with primary studies, syntheses, contradictions, and certainty grades.</w:t>
      </w:r>
    </w:p>
    <w:p>
      <w:pPr>
        <w:numPr>
          <w:ilvl w:val="0"/>
          <w:numId w:val="4"/>
        </w:numPr>
        <w:spacing w:line="360" w:before="105" w:after="105" w:lineRule="auto"/>
      </w:pPr>
      <w:r>
        <w:rPr>
          <w:rFonts w:eastAsia="source serif 4" w:cs="source serif 4" w:ascii="source serif 4" w:hAnsi="source serif 4"/>
          <w:b/>
          <w:color w:val="000000"/>
          <w:sz w:val="21"/>
        </w:rPr>
        <w:t xml:space="preserve">Landmark atlas:</w:t>
      </w:r>
      <w:r>
        <w:rPr>
          <w:rFonts w:eastAsia="source serif 4" w:cs="source serif 4" w:ascii="source serif 4" w:hAnsi="source serif 4"/>
          <w:color w:val="000000"/>
          <w:sz w:val="21"/>
        </w:rPr>
        <w:t xml:space="preserve"> include Eimas, Kuhl, Werker, Saffran, Bruner, Tomasello, Mundy, Goldin-Meadow, Carey, Bloom, Hart and Risley, conversational-turn studies, bilingual acquisition programs, and intervention trials—but evaluate each landmark rather than treating citation as confirmation.</w:t>
      </w:r>
    </w:p>
    <w:p>
      <w:pPr>
        <w:numPr>
          <w:ilvl w:val="0"/>
          <w:numId w:val="4"/>
        </w:numPr>
        <w:spacing w:line="360" w:before="105" w:after="105" w:lineRule="auto"/>
      </w:pPr>
      <w:r>
        <w:rPr>
          <w:rFonts w:eastAsia="source serif 4" w:cs="source serif 4" w:ascii="source serif 4" w:hAnsi="source serif 4"/>
          <w:b/>
          <w:color w:val="000000"/>
          <w:sz w:val="21"/>
        </w:rPr>
        <w:t xml:space="preserve">Measurement matrix:</w:t>
      </w:r>
      <w:r>
        <w:rPr>
          <w:rFonts w:eastAsia="source serif 4" w:cs="source serif 4" w:ascii="source serif 4" w:hAnsi="source serif 4"/>
          <w:color w:val="000000"/>
          <w:sz w:val="21"/>
        </w:rPr>
        <w:t xml:space="preserve"> separate parent report, language samples, standardized tests, laboratory preference/discrimination tasks, device logs, ecological momentary assessment, and content coding.</w:t>
      </w:r>
    </w:p>
    <w:p>
      <w:pPr>
        <w:numPr>
          <w:ilvl w:val="0"/>
          <w:numId w:val="4"/>
        </w:numPr>
        <w:spacing w:line="360" w:before="105" w:after="105" w:lineRule="auto"/>
      </w:pPr>
      <w:r>
        <w:rPr>
          <w:rFonts w:eastAsia="source serif 4" w:cs="source serif 4" w:ascii="source serif 4" w:hAnsi="source serif 4"/>
          <w:b/>
          <w:color w:val="000000"/>
          <w:sz w:val="21"/>
        </w:rPr>
        <w:t xml:space="preserve">Causal evidence matrix:</w:t>
      </w:r>
      <w:r>
        <w:rPr>
          <w:rFonts w:eastAsia="source serif 4" w:cs="source serif 4" w:ascii="source serif 4" w:hAnsi="source serif 4"/>
          <w:color w:val="000000"/>
          <w:sz w:val="21"/>
        </w:rPr>
        <w:t xml:space="preserve"> classify each result as association, prediction, contribution, intervention effect, prevention, or determinism.</w:t>
      </w:r>
    </w:p>
    <w:p>
      <w:pPr>
        <w:numPr>
          <w:ilvl w:val="0"/>
          <w:numId w:val="4"/>
        </w:numPr>
        <w:spacing w:line="360" w:before="105" w:after="105" w:lineRule="auto"/>
      </w:pPr>
      <w:r>
        <w:rPr>
          <w:rFonts w:eastAsia="source serif 4" w:cs="source serif 4" w:ascii="source serif 4" w:hAnsi="source serif 4"/>
          <w:b/>
          <w:color w:val="000000"/>
          <w:sz w:val="21"/>
        </w:rPr>
        <w:t xml:space="preserve">Intervention matrix:</w:t>
      </w:r>
      <w:r>
        <w:rPr>
          <w:rFonts w:eastAsia="source serif 4" w:cs="source serif 4" w:ascii="source serif 4" w:hAnsi="source serif 4"/>
          <w:color w:val="000000"/>
          <w:sz w:val="21"/>
        </w:rPr>
        <w:t xml:space="preserve"> record target population, active ingredients, delivery agent, setting, dosage, comparator, expressive and receptive outcomes, follow-up, implementation burden, and equity implications.</w:t>
      </w:r>
    </w:p>
    <w:p>
      <w:pPr>
        <w:numPr>
          <w:ilvl w:val="0"/>
          <w:numId w:val="4"/>
        </w:numPr>
        <w:spacing w:line="360" w:before="105" w:after="105" w:lineRule="auto"/>
      </w:pPr>
      <w:r>
        <w:rPr>
          <w:rFonts w:eastAsia="source serif 4" w:cs="source serif 4" w:ascii="source serif 4" w:hAnsi="source serif 4"/>
          <w:b/>
          <w:color w:val="000000"/>
          <w:sz w:val="21"/>
        </w:rPr>
        <w:t xml:space="preserve">Cultural and multilingual review:</w:t>
      </w:r>
      <w:r>
        <w:rPr>
          <w:rFonts w:eastAsia="source serif 4" w:cs="source serif 4" w:ascii="source serif 4" w:hAnsi="source serif 4"/>
          <w:color w:val="000000"/>
          <w:sz w:val="21"/>
        </w:rPr>
        <w:t xml:space="preserve"> include sign languages, multilingual families, non-Western settings, and culturally varied caregiver–child interaction patterns.</w:t>
      </w:r>
    </w:p>
    <w:p>
      <w:pPr>
        <w:numPr>
          <w:ilvl w:val="0"/>
          <w:numId w:val="4"/>
        </w:numPr>
        <w:spacing w:line="360" w:before="105" w:after="105" w:lineRule="auto"/>
      </w:pPr>
      <w:r>
        <w:rPr>
          <w:rFonts w:eastAsia="source serif 4" w:cs="source serif 4" w:ascii="source serif 4" w:hAnsi="source serif 4"/>
          <w:b/>
          <w:color w:val="000000"/>
          <w:sz w:val="21"/>
        </w:rPr>
        <w:t xml:space="preserve">What-cannot-be-inferred register:</w:t>
      </w:r>
      <w:r>
        <w:rPr>
          <w:rFonts w:eastAsia="source serif 4" w:cs="source serif 4" w:ascii="source serif 4" w:hAnsi="source serif 4"/>
          <w:color w:val="000000"/>
          <w:sz w:val="21"/>
        </w:rPr>
        <w:t xml:space="preserve"> retain the prohibitions above and add any new overclaims identified during drafting.</w:t>
      </w:r>
    </w:p>
    <w:p>
      <w:pPr>
        <w:numPr>
          <w:ilvl w:val="0"/>
          <w:numId w:val="4"/>
        </w:numPr>
        <w:spacing w:line="360" w:before="105" w:after="105" w:lineRule="auto"/>
      </w:pPr>
      <w:r>
        <w:rPr>
          <w:rFonts w:eastAsia="source serif 4" w:cs="source serif 4" w:ascii="source serif 4" w:hAnsi="source serif 4"/>
          <w:b/>
          <w:color w:val="000000"/>
          <w:sz w:val="21"/>
        </w:rPr>
        <w:t xml:space="preserve">Synthesis memo:</w:t>
      </w:r>
      <w:r>
        <w:rPr>
          <w:rFonts w:eastAsia="source serif 4" w:cs="source serif 4" w:ascii="source serif 4" w:hAnsi="source serif 4"/>
          <w:color w:val="000000"/>
          <w:sz w:val="21"/>
        </w:rPr>
        <w:t xml:space="preserve"> determine which parts of the proposed closing passage are empirical conclusions and which are interpretive or artistic language.</w:t>
      </w:r>
    </w:p>
    <w:p>
      <w:pPr>
        <w:spacing w:line="360" w:before="315" w:after="105" w:lineRule="auto"/>
        <w:ind w:left="-30"/>
        <w:jc w:val="left"/>
      </w:pPr>
      <w:bookmarkStart w:id="78" w:name="drafting_endpoint"/>
      <w:r>
        <w:rPr>
          <w:rFonts w:eastAsia="source serif 4" w:cs="source serif 4" w:ascii="source serif 4" w:hAnsi="source serif 4"/>
          <w:b/>
          <w:color w:val="000000"/>
          <w:sz w:val="24"/>
        </w:rPr>
        <w:t xml:space="preserve">Drafting Endpoint</w:t>
      </w:r>
      <w:bookmarkEnd w:id="78"/>
    </w:p>
    <w:p>
      <w:pPr>
        <w:spacing w:line="360" w:after="210" w:lineRule="auto"/>
      </w:pPr>
      <w:r>
        <w:rPr>
          <w:rFonts w:eastAsia="source serif 4" w:cs="source serif 4" w:ascii="source serif 4" w:hAnsi="source serif 4"/>
          <w:color w:val="000000"/>
        </w:rPr>
        <w:t xml:space="preserve">The proposed endpoint is supportable after revision. Its strongest scientific components are that language emerges gradually from earlier perceptual, vocal, gestural, attentional, and social capacities; that infants are prepared to learn but require culturally organized input; and that language is acquired through participation in interactions rather than through exposure considered in isolation.</w:t>
      </w:r>
    </w:p>
    <w:p>
      <w:pPr>
        <w:spacing w:line="360" w:after="210" w:lineRule="auto"/>
      </w:pPr>
      <w:r>
        <w:rPr>
          <w:rFonts w:eastAsia="source serif 4" w:cs="source serif 4" w:ascii="source serif 4" w:hAnsi="source serif 4"/>
          <w:color w:val="000000"/>
        </w:rPr>
        <w:t xml:space="preserve">The final sentences about sounds becoming symbols and language transmitting knowledge, identity, relationships, and culture should be marked as an interpretive synthesis grounded in developmental evidence, not as a direct experimental finding. The chapter’s central transformation can therefore stand:</w:t>
      </w:r>
    </w:p>
    <w:p>
      <w:pPr>
        <w:spacing w:line="360" w:after="210" w:lineRule="auto"/>
        <w:ind w:left="630"/>
      </w:pPr>
      <w:r>
        <w:rPr>
          <w:rFonts w:eastAsia="source serif 4" w:cs="source serif 4" w:ascii="source serif 4" w:hAnsi="source serif 4"/>
          <w:color w:val="000000"/>
        </w:rPr>
        <w:t xml:space="preserve">The child is not merely learning about the world. Through shared attention, vocal exchange, gesture, and emerging symbols, the child is beginning to participate in a symbolic world already inhabited by other people.</w:t>
      </w:r>
    </w:p>
    <w:p>
      <w:pPr>
        <w:spacing w:line="360" w:after="210" w:lineRule="auto"/>
      </w:pPr>
      <w:r>
        <w:rPr>
          <w:rFonts w:eastAsia="source serif 4" w:cs="source serif 4" w:ascii="source serif 4" w:hAnsi="source serif 4"/>
          <w:color w:val="000000"/>
        </w:rPr>
        <w:t xml:space="preserve">That formulation preserves the chapter’s literary force while remaining consistent with the evidence boundaries established by the research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references"/>
      <w:r>
        <w:rPr>
          <w:rFonts w:eastAsia="source serif 4" w:cs="source serif 4" w:ascii="source serif 4" w:hAnsi="source serif 4"/>
          <w:b/>
          <w:color w:val="000000"/>
          <w:sz w:val="24"/>
        </w:rPr>
        <w:t xml:space="preserve">References</w:t>
      </w:r>
      <w:bookmarkEnd w:id="79"/>
    </w:p>
    <w:p>
      <w:pPr>
        <w:numPr>
          <w:ilvl w:val="0"/>
          <w:numId w:val="5"/>
        </w:numPr>
        <w:spacing w:line="360" w:after="210" w:lineRule="auto"/>
      </w:pPr>
      <w:hyperlink r:id="rId5">
        <w:r>
          <w:rPr>
            <w:rFonts w:eastAsia="source sans 3" w:cs="source sans 3" w:ascii="source sans 3" w:hAnsi="source sans 3"/>
            <w:color w:val="#000"/>
            <w:sz w:val="21"/>
            <w:u w:val="single"/>
          </w:rPr>
          <w:t xml:space="preserve">Narrowing of intersensory speech perception in infancy | PNAS</w:t>
        </w:r>
      </w:hyperlink>
      <w:r>
        <w:rPr>
          <w:rFonts w:eastAsia="source serif 4" w:cs="source serif 4" w:ascii="source serif 4" w:hAnsi="source serif 4"/>
          <w:color w:val="000000"/>
          <w:sz w:val="21"/>
        </w:rPr>
        <w:t xml:space="preserve"> - The conventional view is that perceptual/cognitive development is an incremental process of acquisit...</w:t>
      </w:r>
    </w:p>
    <w:p>
      <w:pPr>
        <w:numPr>
          <w:ilvl w:val="0"/>
          <w:numId w:val="5"/>
        </w:numPr>
        <w:spacing w:line="360" w:after="210" w:lineRule="auto"/>
      </w:pPr>
      <w:hyperlink r:id="rId6">
        <w:r>
          <w:rPr>
            <w:rFonts w:eastAsia="source sans 3" w:cs="source sans 3" w:ascii="source sans 3" w:hAnsi="source sans 3"/>
            <w:color w:val="#000"/>
            <w:sz w:val="21"/>
            <w:u w:val="single"/>
          </w:rPr>
          <w:t xml:space="preserve">Theta brain rhythms index perceptual narrowing in infant speech perception</w:t>
        </w:r>
      </w:hyperlink>
      <w:r>
        <w:rPr>
          <w:rFonts w:eastAsia="source serif 4" w:cs="source serif 4" w:ascii="source serif 4" w:hAnsi="source serif 4"/>
          <w:color w:val="000000"/>
          <w:sz w:val="21"/>
        </w:rPr>
        <w:t xml:space="preserve"> - The development of speech perception shows a dramatic transition between infancy and adulthood. Betw...</w:t>
      </w:r>
    </w:p>
    <w:p>
      <w:pPr>
        <w:numPr>
          <w:ilvl w:val="0"/>
          <w:numId w:val="5"/>
        </w:numPr>
        <w:spacing w:line="360" w:after="210" w:lineRule="auto"/>
      </w:pPr>
      <w:hyperlink r:id="rId7">
        <w:r>
          <w:rPr>
            <w:rFonts w:eastAsia="source sans 3" w:cs="source sans 3" w:ascii="source sans 3" w:hAnsi="source sans 3"/>
            <w:color w:val="#000"/>
            <w:sz w:val="21"/>
            <w:u w:val="single"/>
          </w:rPr>
          <w:t xml:space="preserve">Usage-based approaches to language development: Where do we go from here? | Language and Cognition | Cambridge Core</w:t>
        </w:r>
      </w:hyperlink>
      <w:r>
        <w:rPr>
          <w:rFonts w:eastAsia="source serif 4" w:cs="source serif 4" w:ascii="source serif 4" w:hAnsi="source serif 4"/>
          <w:color w:val="000000"/>
          <w:sz w:val="21"/>
        </w:rPr>
        <w:t xml:space="preserve"> - Usage-based approaches to language development: Where do we go from here? - Volume 8 Issue 3</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The Developmental Origins of Joint Attention: Infants' Early ... - PMC</w:t>
        </w:r>
      </w:hyperlink>
      <w:r>
        <w:rPr>
          <w:rFonts w:eastAsia="source serif 4" w:cs="source serif 4" w:ascii="source serif 4" w:hAnsi="source serif 4"/>
          <w:color w:val="000000"/>
          <w:sz w:val="21"/>
        </w:rPr>
        <w:t xml:space="preserve"> - There are theoretical debates about the definition of joint attention, and empirical debates about w...</w:t>
      </w:r>
    </w:p>
    <w:p>
      <w:pPr>
        <w:numPr>
          <w:ilvl w:val="0"/>
          <w:numId w:val="5"/>
        </w:numPr>
        <w:spacing w:line="360" w:after="210" w:lineRule="auto"/>
      </w:pPr>
      <w:hyperlink r:id="rId9">
        <w:r>
          <w:rPr>
            <w:rFonts w:eastAsia="source sans 3" w:cs="source sans 3" w:ascii="source sans 3" w:hAnsi="source sans 3"/>
            <w:color w:val="#000"/>
            <w:sz w:val="21"/>
            <w:u w:val="single"/>
          </w:rPr>
          <w:t xml:space="preserve">Statistical learning of speech sounds is most robust during the period of perceptual attunement</w:t>
        </w:r>
      </w:hyperlink>
      <w:r>
        <w:rPr>
          <w:rFonts w:eastAsia="source serif 4" w:cs="source serif 4" w:ascii="source serif 4" w:hAnsi="source serif 4"/>
          <w:color w:val="000000"/>
          <w:sz w:val="21"/>
        </w:rPr>
        <w:t xml:space="preserve"> - Although statistical learning has been shown to be a domain-general mechanism, its constraints, such...</w:t>
      </w:r>
    </w:p>
    <w:p>
      <w:pPr>
        <w:numPr>
          <w:ilvl w:val="0"/>
          <w:numId w:val="5"/>
        </w:numPr>
        <w:spacing w:line="360" w:after="210" w:lineRule="auto"/>
      </w:pPr>
      <w:hyperlink r:id="rId10">
        <w:r>
          <w:rPr>
            <w:rFonts w:eastAsia="source sans 3" w:cs="source sans 3" w:ascii="source sans 3" w:hAnsi="source sans 3"/>
            <w:color w:val="#000"/>
            <w:sz w:val="21"/>
            <w:u w:val="single"/>
          </w:rPr>
          <w:t xml:space="preserve">Generalizability and representation in studies of infant ...</w:t>
        </w:r>
      </w:hyperlink>
      <w:r>
        <w:rPr>
          <w:rFonts w:eastAsia="source serif 4" w:cs="source serif 4" w:ascii="source serif 4" w:hAnsi="source serif 4"/>
          <w:color w:val="000000"/>
          <w:sz w:val="21"/>
        </w:rPr>
        <w:t xml:space="preserve"> - Forty years ago, Werker and Tees (1984) published a seminal finding which launched a proliferation o...</w:t>
      </w:r>
    </w:p>
    <w:p>
      <w:pPr>
        <w:numPr>
          <w:ilvl w:val="0"/>
          <w:numId w:val="5"/>
        </w:numPr>
        <w:spacing w:line="360" w:after="210" w:lineRule="auto"/>
      </w:pPr>
      <w:hyperlink r:id="rId11">
        <w:r>
          <w:rPr>
            <w:rFonts w:eastAsia="source sans 3" w:cs="source sans 3" w:ascii="source sans 3" w:hAnsi="source sans 3"/>
            <w:color w:val="#000"/>
            <w:sz w:val="21"/>
            <w:u w:val="single"/>
          </w:rPr>
          <w:t xml:space="preserve">Exploring Infant Gesture and Joint Attention as Related ... - PMC</w:t>
        </w:r>
      </w:hyperlink>
      <w:r>
        <w:rPr>
          <w:rFonts w:eastAsia="source serif 4" w:cs="source serif 4" w:ascii="source serif 4" w:hAnsi="source serif 4"/>
          <w:color w:val="000000"/>
          <w:sz w:val="21"/>
        </w:rPr>
        <w:t xml:space="preserve"> - by VC Salo · 2018 · Cited by 109 — In infancy, use of gesture and the ability to engage in joint att...</w:t>
      </w:r>
    </w:p>
    <w:p>
      <w:pPr>
        <w:numPr>
          <w:ilvl w:val="0"/>
          <w:numId w:val="5"/>
        </w:numPr>
        <w:spacing w:line="360" w:after="210" w:lineRule="auto"/>
      </w:pPr>
      <w:hyperlink r:id="rId12">
        <w:r>
          <w:rPr>
            <w:rFonts w:eastAsia="source sans 3" w:cs="source sans 3" w:ascii="source sans 3" w:hAnsi="source sans 3"/>
            <w:color w:val="#000"/>
            <w:sz w:val="21"/>
            <w:u w:val="single"/>
          </w:rPr>
          <w:t xml:space="preserve">Gesture Production Selectively Predicts Language Outcomes ...</w:t>
        </w:r>
      </w:hyperlink>
      <w:r>
        <w:rPr>
          <w:rFonts w:eastAsia="source serif 4" w:cs="source serif 4" w:ascii="source serif 4" w:hAnsi="source serif 4"/>
          <w:color w:val="000000"/>
          <w:sz w:val="21"/>
        </w:rPr>
        <w:t xml:space="preserve"> - This longitudinal study (data collected from 2019 to 2023) examines the relation between Spanish-Eng...</w:t>
      </w:r>
    </w:p>
    <w:p>
      <w:pPr>
        <w:numPr>
          <w:ilvl w:val="0"/>
          <w:numId w:val="5"/>
        </w:numPr>
        <w:spacing w:line="360" w:after="210" w:lineRule="auto"/>
      </w:pPr>
      <w:hyperlink r:id="rId13">
        <w:r>
          <w:rPr>
            <w:rFonts w:eastAsia="source sans 3" w:cs="source sans 3" w:ascii="source sans 3" w:hAnsi="source sans 3"/>
            <w:color w:val="#000"/>
            <w:sz w:val="21"/>
            <w:u w:val="single"/>
          </w:rPr>
          <w:t xml:space="preserve">How HANDy are baby signs? A systematic review of the impact of gestural communication on typically developing, hearing infants under the age of 36 months</w:t>
        </w:r>
      </w:hyperlink>
    </w:p>
    <w:p>
      <w:pPr>
        <w:numPr>
          <w:ilvl w:val="0"/>
          <w:numId w:val="5"/>
        </w:numPr>
        <w:spacing w:line="360" w:after="210" w:lineRule="auto"/>
      </w:pPr>
      <w:hyperlink r:id="rId14">
        <w:r>
          <w:rPr>
            <w:rFonts w:eastAsia="source sans 3" w:cs="source sans 3" w:ascii="source sans 3" w:hAnsi="source sans 3"/>
            <w:color w:val="#000"/>
            <w:sz w:val="21"/>
            <w:u w:val="single"/>
          </w:rPr>
          <w:t xml:space="preserve">[PDF] WORDS AND FACTS: CHILDREN'S FAST MAPPING, RETENTION ...</w:t>
        </w:r>
      </w:hyperlink>
    </w:p>
    <w:p>
      <w:pPr>
        <w:numPr>
          <w:ilvl w:val="0"/>
          <w:numId w:val="5"/>
        </w:numPr>
        <w:spacing w:line="360" w:after="210" w:lineRule="auto"/>
      </w:pPr>
      <w:hyperlink r:id="rId15">
        <w:r>
          <w:rPr>
            <w:rFonts w:eastAsia="source sans 3" w:cs="source sans 3" w:ascii="source sans 3" w:hAnsi="source sans 3"/>
            <w:color w:val="#000"/>
            <w:sz w:val="21"/>
            <w:u w:val="single"/>
          </w:rPr>
          <w:t xml:space="preserve">Language Experience in the Second Year of Life Predicts ... - PMC</w:t>
        </w:r>
      </w:hyperlink>
      <w:r>
        <w:rPr>
          <w:rFonts w:eastAsia="source serif 4" w:cs="source serif 4" w:ascii="source serif 4" w:hAnsi="source serif 4"/>
          <w:color w:val="000000"/>
          <w:sz w:val="21"/>
        </w:rPr>
        <w:t xml:space="preserve"> - Conversational turn counts at 18–24 months of age accounted for 14–27% of the variance in IQ, verbal...</w:t>
      </w:r>
    </w:p>
    <w:p>
      <w:pPr>
        <w:numPr>
          <w:ilvl w:val="0"/>
          <w:numId w:val="5"/>
        </w:numPr>
        <w:spacing w:line="360" w:after="210" w:lineRule="auto"/>
      </w:pPr>
      <w:hyperlink r:id="rId16">
        <w:r>
          <w:rPr>
            <w:rFonts w:eastAsia="source sans 3" w:cs="source sans 3" w:ascii="source sans 3" w:hAnsi="source sans 3"/>
            <w:color w:val="#000"/>
            <w:sz w:val="21"/>
            <w:u w:val="single"/>
          </w:rPr>
          <w:t xml:space="preserve">Theorizing 'Constructions' in Generative and Usage-Based ...</w:t>
        </w:r>
      </w:hyperlink>
      <w:r>
        <w:rPr>
          <w:rFonts w:eastAsia="source serif 4" w:cs="source serif 4" w:ascii="source serif 4" w:hAnsi="source serif 4"/>
          <w:color w:val="000000"/>
          <w:sz w:val="21"/>
        </w:rPr>
        <w:t xml:space="preserve"> - What is the nature and function of mental representations in cognitive science, and in human languag...</w:t>
      </w:r>
    </w:p>
    <w:p>
      <w:pPr>
        <w:numPr>
          <w:ilvl w:val="0"/>
          <w:numId w:val="5"/>
        </w:numPr>
        <w:spacing w:line="360" w:after="210" w:lineRule="auto"/>
      </w:pPr>
      <w:hyperlink r:id="rId17">
        <w:r>
          <w:rPr>
            <w:rFonts w:eastAsia="source sans 3" w:cs="source sans 3" w:ascii="source sans 3" w:hAnsi="source sans 3"/>
            <w:color w:val="#000"/>
            <w:sz w:val="21"/>
            <w:u w:val="single"/>
          </w:rPr>
          <w:t xml:space="preserve">The Scope of Usage-Based Theory - PMC</w:t>
        </w:r>
      </w:hyperlink>
      <w:r>
        <w:rPr>
          <w:rFonts w:eastAsia="source serif 4" w:cs="source serif 4" w:ascii="source serif 4" w:hAnsi="source serif 4"/>
          <w:color w:val="000000"/>
          <w:sz w:val="21"/>
        </w:rPr>
        <w:t xml:space="preserve"> - Usage-based approaches typically draw on a relatively small set of cognitive processes, such as cate...</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Beyond the 30-Million-Word Gap: Children's Conversational ... - PMC</w:t>
        </w:r>
      </w:hyperlink>
      <w:r>
        <w:rPr>
          <w:rFonts w:eastAsia="source serif 4" w:cs="source serif 4" w:ascii="source serif 4" w:hAnsi="source serif 4"/>
          <w:color w:val="000000"/>
          <w:sz w:val="21"/>
        </w:rPr>
        <w:t xml:space="preserve"> - Hart and Risley (1995) estimated that by age 3, children from higher-SES backgrounds had heard 30 mi...</w:t>
      </w:r>
    </w:p>
    <w:p>
      <w:pPr>
        <w:numPr>
          <w:ilvl w:val="0"/>
          <w:numId w:val="5"/>
        </w:numPr>
        <w:spacing w:line="360" w:after="210" w:lineRule="auto"/>
      </w:pPr>
      <w:hyperlink r:id="rId19">
        <w:r>
          <w:rPr>
            <w:rFonts w:eastAsia="source sans 3" w:cs="source sans 3" w:ascii="source sans 3" w:hAnsi="source sans 3"/>
            <w:color w:val="#000"/>
            <w:sz w:val="21"/>
            <w:u w:val="single"/>
          </w:rPr>
          <w:t xml:space="preserve">[PDF] RR1 A Meta-Analysis of Parent-Implemented Language Interventions</w:t>
        </w:r>
      </w:hyperlink>
    </w:p>
    <w:p>
      <w:pPr>
        <w:numPr>
          <w:ilvl w:val="0"/>
          <w:numId w:val="5"/>
        </w:numPr>
        <w:spacing w:line="360" w:after="210" w:lineRule="auto"/>
      </w:pPr>
      <w:hyperlink r:id="rId20">
        <w:r>
          <w:rPr>
            <w:rFonts w:eastAsia="source sans 3" w:cs="source sans 3" w:ascii="source sans 3" w:hAnsi="source sans 3"/>
            <w:color w:val="#000"/>
            <w:sz w:val="21"/>
            <w:u w:val="single"/>
          </w:rPr>
          <w:t xml:space="preserve">The effects of parent-implemented language interventions on ...</w:t>
        </w:r>
      </w:hyperlink>
      <w:r>
        <w:rPr>
          <w:rFonts w:eastAsia="source serif 4" w:cs="source serif 4" w:ascii="source serif 4" w:hAnsi="source serif 4"/>
          <w:color w:val="000000"/>
          <w:sz w:val="21"/>
        </w:rPr>
        <w:t xml:space="preserve"> - A systematic review of the literature identified 25 randomized controlled trials of parent-implement...</w:t>
      </w:r>
    </w:p>
    <w:p>
      <w:pPr>
        <w:numPr>
          <w:ilvl w:val="0"/>
          <w:numId w:val="5"/>
        </w:numPr>
        <w:spacing w:line="360" w:after="210" w:lineRule="auto"/>
      </w:pPr>
      <w:hyperlink r:id="rId21">
        <w:r>
          <w:rPr>
            <w:rFonts w:eastAsia="source sans 3" w:cs="source sans 3" w:ascii="source sans 3" w:hAnsi="source sans 3"/>
            <w:color w:val="#000"/>
            <w:sz w:val="21"/>
            <w:u w:val="single"/>
          </w:rPr>
          <w:t xml:space="preserve">Language Matters: Denying the Existence of the 30-Million-Word ...</w:t>
        </w:r>
      </w:hyperlink>
      <w:r>
        <w:rPr>
          <w:rFonts w:eastAsia="source serif 4" w:cs="source serif 4" w:ascii="source serif 4" w:hAnsi="source serif 4"/>
          <w:color w:val="000000"/>
          <w:sz w:val="21"/>
        </w:rPr>
        <w:t xml:space="preserve"> - What Hart and Risley (1995; hereafter HR) famously identified was an enormous difference in the amou...</w:t>
      </w:r>
    </w:p>
    <w:p>
      <w:pPr>
        <w:numPr>
          <w:ilvl w:val="0"/>
          <w:numId w:val="5"/>
        </w:numPr>
        <w:spacing w:line="360" w:after="210" w:lineRule="auto"/>
      </w:pPr>
      <w:hyperlink r:id="rId22">
        <w:r>
          <w:rPr>
            <w:rFonts w:eastAsia="source sans 3" w:cs="source sans 3" w:ascii="source sans 3" w:hAnsi="source sans 3"/>
            <w:color w:val="#000"/>
            <w:sz w:val="21"/>
            <w:u w:val="single"/>
          </w:rPr>
          <w:t xml:space="preserve">The education word gap emerges by 18months - PMC - NIH</w:t>
        </w:r>
      </w:hyperlink>
      <w:r>
        <w:rPr>
          <w:rFonts w:eastAsia="source serif 4" w:cs="source serif 4" w:ascii="source serif 4" w:hAnsi="source serif 4"/>
          <w:color w:val="000000"/>
          <w:sz w:val="21"/>
        </w:rPr>
        <w:t xml:space="preserve"> - Hart and Risley famously coined the term 30 million word gap by estimating through linear extrapolat...</w:t>
      </w:r>
    </w:p>
    <w:p>
      <w:pPr>
        <w:numPr>
          <w:ilvl w:val="0"/>
          <w:numId w:val="5"/>
        </w:numPr>
        <w:spacing w:line="360" w:after="210" w:lineRule="auto"/>
      </w:pPr>
      <w:hyperlink r:id="rId23">
        <w:r>
          <w:rPr>
            <w:rFonts w:eastAsia="source sans 3" w:cs="source sans 3" w:ascii="source sans 3" w:hAnsi="source sans 3"/>
            <w:color w:val="#000"/>
            <w:sz w:val="21"/>
            <w:u w:val="single"/>
          </w:rPr>
          <w:t xml:space="preserve">Two are better than one: Infant language learning from video ...</w:t>
        </w:r>
      </w:hyperlink>
      <w:r>
        <w:rPr>
          <w:rFonts w:eastAsia="source serif 4" w:cs="source serif 4" w:ascii="source serif 4" w:hAnsi="source serif 4"/>
          <w:color w:val="000000"/>
          <w:sz w:val="21"/>
        </w:rPr>
        <w:t xml:space="preserve"> - Studies show that young children learn new phonemes and words from humans significantly better than ...</w:t>
      </w:r>
    </w:p>
    <w:p>
      <w:pPr>
        <w:numPr>
          <w:ilvl w:val="0"/>
          <w:numId w:val="5"/>
        </w:numPr>
        <w:spacing w:line="360" w:after="210" w:lineRule="auto"/>
      </w:pPr>
      <w:hyperlink r:id="rId24">
        <w:r>
          <w:rPr>
            <w:rFonts w:eastAsia="source sans 3" w:cs="source sans 3" w:ascii="source sans 3" w:hAnsi="source sans 3"/>
            <w:color w:val="#000"/>
            <w:sz w:val="21"/>
            <w:u w:val="single"/>
          </w:rPr>
          <w:t xml:space="preserve">Skype me! Socially Contingent Interactions Help Toddlers Learn ...</w:t>
        </w:r>
      </w:hyperlink>
      <w:r>
        <w:rPr>
          <w:rFonts w:eastAsia="source serif 4" w:cs="source serif 4" w:ascii="source serif 4" w:hAnsi="source serif 4"/>
          <w:color w:val="000000"/>
          <w:sz w:val="21"/>
        </w:rPr>
        <w:t xml:space="preserve"> - Language learning takes place in the context of social interactions, yet the mechanisms that render ...</w:t>
      </w:r>
    </w:p>
    <w:p>
      <w:pPr>
        <w:numPr>
          <w:ilvl w:val="0"/>
          <w:numId w:val="5"/>
        </w:numPr>
        <w:spacing w:line="360" w:after="210" w:lineRule="auto"/>
      </w:pPr>
      <w:hyperlink r:id="rId25">
        <w:r>
          <w:rPr>
            <w:rFonts w:eastAsia="source sans 3" w:cs="source sans 3" w:ascii="source sans 3" w:hAnsi="source sans 3"/>
            <w:color w:val="#000"/>
            <w:sz w:val="21"/>
            <w:u w:val="single"/>
          </w:rPr>
          <w:t xml:space="preserve">The influence of screen time on children's language ... - PMC</w:t>
        </w:r>
      </w:hyperlink>
      <w:r>
        <w:rPr>
          <w:rFonts w:eastAsia="source serif 4" w:cs="source serif 4" w:ascii="source serif 4" w:hAnsi="source serif 4"/>
          <w:color w:val="000000"/>
          <w:sz w:val="21"/>
        </w:rPr>
        <w:t xml:space="preserve"> - An exponential increase in screen time amongst children and adults, has given rise to a plethora of ...</w:t>
      </w:r>
    </w:p>
    <w:p>
      <w:pPr>
        <w:numPr>
          <w:ilvl w:val="0"/>
          <w:numId w:val="5"/>
        </w:numPr>
        <w:spacing w:line="360" w:after="210" w:lineRule="auto"/>
      </w:pPr>
      <w:hyperlink r:id="rId26">
        <w:r>
          <w:rPr>
            <w:rFonts w:eastAsia="source sans 3" w:cs="source sans 3" w:ascii="source sans 3" w:hAnsi="source sans 3"/>
            <w:color w:val="#000"/>
            <w:sz w:val="21"/>
            <w:u w:val="single"/>
          </w:rPr>
          <w:t xml:space="preserve">Unsupervised Screen Exposure and Poor Language ...</w:t>
        </w:r>
      </w:hyperlink>
      <w:r>
        <w:rPr>
          <w:rFonts w:eastAsia="source serif 4" w:cs="source serif 4" w:ascii="source serif 4" w:hAnsi="source serif 4"/>
          <w:color w:val="000000"/>
          <w:sz w:val="21"/>
        </w:rPr>
        <w:t xml:space="preserve"> - Screen exposure has both negative and positive effects on the level of language skills a child acqui...</w:t>
      </w:r>
    </w:p>
    <w:p>
      <w:pPr>
        <w:numPr>
          <w:ilvl w:val="0"/>
          <w:numId w:val="5"/>
        </w:numPr>
        <w:spacing w:line="360" w:after="210" w:lineRule="auto"/>
      </w:pPr>
      <w:hyperlink r:id="rId27">
        <w:r>
          <w:rPr>
            <w:rFonts w:eastAsia="source sans 3" w:cs="source sans 3" w:ascii="source sans 3" w:hAnsi="source sans 3"/>
            <w:color w:val="#000"/>
            <w:sz w:val="21"/>
            <w:u w:val="single"/>
          </w:rPr>
          <w:t xml:space="preserve">Chapter: 4 Dual Language Learners: Capacities and ...</w:t>
        </w:r>
      </w:hyperlink>
      <w:r>
        <w:rPr>
          <w:rFonts w:eastAsia="source serif 4" w:cs="source serif 4" w:ascii="source serif 4" w:hAnsi="source serif 4"/>
          <w:color w:val="000000"/>
          <w:sz w:val="21"/>
        </w:rPr>
        <w:t xml:space="preserve"> - Read chapter 4 Dual Language Learners: Capacities and Influences on Language Development: Educating ...</w:t>
      </w:r>
    </w:p>
    <w:p>
      <w:pPr>
        <w:numPr>
          <w:ilvl w:val="0"/>
          <w:numId w:val="5"/>
        </w:numPr>
        <w:spacing w:line="360" w:after="210" w:lineRule="auto"/>
      </w:pPr>
      <w:hyperlink r:id="rId28">
        <w:r>
          <w:rPr>
            <w:rFonts w:eastAsia="source sans 3" w:cs="source sans 3" w:ascii="source sans 3" w:hAnsi="source sans 3"/>
            <w:color w:val="#000"/>
            <w:sz w:val="21"/>
            <w:u w:val="single"/>
          </w:rPr>
          <w:t xml:space="preserve">Late Language Emergence</w:t>
        </w:r>
      </w:hyperlink>
      <w:r>
        <w:rPr>
          <w:rFonts w:eastAsia="source serif 4" w:cs="source serif 4" w:ascii="source serif 4" w:hAnsi="source serif 4"/>
          <w:color w:val="000000"/>
          <w:sz w:val="21"/>
        </w:rPr>
        <w:t xml:space="preserve"> - Late language emergence is a delay in language onset with no other diagnosed disabilities or develop...</w:t>
      </w:r>
    </w:p>
    <w:p>
      <w:pPr>
        <w:numPr>
          <w:ilvl w:val="0"/>
          <w:numId w:val="5"/>
        </w:numPr>
        <w:spacing w:line="360" w:after="210" w:lineRule="auto"/>
      </w:pPr>
      <w:hyperlink r:id="rId29">
        <w:r>
          <w:rPr>
            <w:rFonts w:eastAsia="source sans 3" w:cs="source sans 3" w:ascii="source sans 3" w:hAnsi="source sans 3"/>
            <w:color w:val="#000"/>
            <w:sz w:val="21"/>
            <w:u w:val="single"/>
          </w:rPr>
          <w:t xml:space="preserve">Oral language interventions can improve language outcomes in children with neurodevelopmental disorders: A systematic review and meta‐analysis</w:t>
        </w:r>
      </w:hyperlink>
      <w:r>
        <w:rPr>
          <w:rFonts w:eastAsia="source serif 4" w:cs="source serif 4" w:ascii="source serif 4" w:hAnsi="source serif 4"/>
          <w:color w:val="000000"/>
          <w:sz w:val="21"/>
        </w:rPr>
        <w:t xml:space="preserve"> - ## Abstract</w:t>
      </w:r>
    </w:p>
    <w:p>
      <w:pPr>
        <w:spacing w:line="360" w:before="315" w:after="105" w:lineRule="auto"/>
        <w:ind w:left="-30"/>
        <w:jc w:val="left"/>
      </w:pPr>
      <w:bookmarkStart w:id="80" w:name="background"/>
      <w:r>
        <w:rPr>
          <w:rFonts w:eastAsia="source serif 4" w:cs="source serif 4" w:ascii="source serif 4" w:hAnsi="source serif 4"/>
          <w:b/>
          <w:color w:val="000000"/>
          <w:sz w:val="24"/>
        </w:rPr>
        <w:t xml:space="preserve">Background</w:t>
      </w:r>
      <w:bookmarkEnd w:id="80"/>
    </w:p>
    <w:p>
      <w:pPr>
        <w:spacing w:line="360" w:after="210" w:lineRule="auto"/>
      </w:pPr>
      <w:r>
        <w:rPr>
          <w:rFonts w:eastAsia="source serif 4" w:cs="source serif 4" w:ascii="source serif 4" w:hAnsi="source serif 4"/>
          <w:color w:val="000000"/>
        </w:rPr>
        <w:t xml:space="preserve">Young people who fail to develop language as expected face significant c...</w:t>
      </w:r>
    </w:p>
    <w:p>
      <w:pPr>
        <w:numPr>
          <w:ilvl w:val="0"/>
          <w:numId w:val="6"/>
        </w:numPr>
        <w:spacing w:line="360" w:after="210" w:lineRule="auto"/>
      </w:pPr>
      <w:hyperlink r:id="rId30">
        <w:r>
          <w:rPr>
            <w:rFonts w:eastAsia="source sans 3" w:cs="source sans 3" w:ascii="source sans 3" w:hAnsi="source sans 3"/>
            <w:color w:val="#000"/>
            <w:sz w:val="21"/>
            <w:u w:val="single"/>
          </w:rPr>
          <w:t xml:space="preserve">Interventions and their efficacy in supporting language ...</w:t>
        </w:r>
      </w:hyperlink>
      <w:r>
        <w:rPr>
          <w:rFonts w:eastAsia="source serif 4" w:cs="source serif 4" w:ascii="source serif 4" w:hAnsi="source serif 4"/>
          <w:color w:val="000000"/>
          <w:sz w:val="21"/>
        </w:rPr>
        <w:t xml:space="preserve"> - The 28 existing studies provide limited evidence of the efficacy of very early interventions promoti...</w:t>
      </w:r>
    </w:p>
    <w:p>
      <w:pPr>
        <w:numPr>
          <w:ilvl w:val="0"/>
          <w:numId w:val="6"/>
        </w:numPr>
        <w:spacing w:line="360" w:after="210" w:lineRule="auto"/>
      </w:pPr>
      <w:hyperlink r:id="rId31">
        <w:r>
          <w:rPr>
            <w:rFonts w:eastAsia="source sans 3" w:cs="source sans 3" w:ascii="source sans 3" w:hAnsi="source sans 3"/>
            <w:color w:val="#000"/>
            <w:sz w:val="21"/>
            <w:u w:val="single"/>
          </w:rPr>
          <w:t xml:space="preserve">Clinical practice guideline: Interventions for Developmental Language Delay and Disorders - PubMed</w:t>
        </w:r>
      </w:hyperlink>
      <w:r>
        <w:rPr>
          <w:rFonts w:eastAsia="source serif 4" w:cs="source serif 4" w:ascii="source serif 4" w:hAnsi="source serif 4"/>
          <w:color w:val="000000"/>
          <w:sz w:val="21"/>
        </w:rPr>
        <w:t xml:space="preserve"> - Early parent- and child-centered speech and language intervention implementing evidence-based interv...</w:t>
      </w:r>
    </w:p>
    <w:p>
      <w:pPr>
        <w:numPr>
          <w:ilvl w:val="0"/>
          <w:numId w:val="6"/>
        </w:numPr>
        <w:spacing w:line="360" w:after="210" w:lineRule="auto"/>
      </w:pPr>
      <w:hyperlink r:id="rId32">
        <w:r>
          <w:rPr>
            <w:rFonts w:eastAsia="source sans 3" w:cs="source sans 3" w:ascii="source sans 3" w:hAnsi="source sans 3"/>
            <w:color w:val="#000"/>
            <w:sz w:val="21"/>
            <w:u w:val="single"/>
          </w:rPr>
          <w:t xml:space="preserve">Constructing a Language: A Usage-Based Theory of Language ...</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26"/>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pnas.org/doi/10.1073/pnas.0904134106" TargetMode="External"/><Relationship Id="rId6" Type="http://schemas.openxmlformats.org/officeDocument/2006/relationships/hyperlink" Target="https://pmc.ncbi.nlm.nih.gov/articles/PMC3795304/" TargetMode="External"/><Relationship Id="rId7" Type="http://schemas.openxmlformats.org/officeDocument/2006/relationships/hyperlink" Target="https://www.cambridge.org/core/journals/language-and-cognition/article/usagebased-approaches-to-language-development-where-do-we-go-from-here/0A0BD82052B52BCAE891D2AF3570101F" TargetMode="External"/><Relationship Id="rId8" Type="http://schemas.openxmlformats.org/officeDocument/2006/relationships/hyperlink" Target="https://pmc.ncbi.nlm.nih.gov/articles/PMC11947298/" TargetMode="External"/><Relationship Id="rId9" Type="http://schemas.openxmlformats.org/officeDocument/2006/relationships/hyperlink" Target="https://www.sciencedirect.com/science/article/abs/pii/S0022096517303648" TargetMode="External"/><Relationship Id="rId10" Type="http://schemas.openxmlformats.org/officeDocument/2006/relationships/hyperlink" Target="https://pubmed.ncbi.nlm.nih.gov/39378532/" TargetMode="External"/><Relationship Id="rId11" Type="http://schemas.openxmlformats.org/officeDocument/2006/relationships/hyperlink" Target="https://pmc.ncbi.nlm.nih.gov/articles/PMC5927593/" TargetMode="External"/><Relationship Id="rId12" Type="http://schemas.openxmlformats.org/officeDocument/2006/relationships/hyperlink" Target="https://pmc.ncbi.nlm.nih.gov/articles/PMC12410338/" TargetMode="External"/><Relationship Id="rId13" Type="http://schemas.openxmlformats.org/officeDocument/2006/relationships/hyperlink" Target="https://journals.sagepub.com/doi/pdf/10.1177/0142723714562864" TargetMode="External"/><Relationship Id="rId14" Type="http://schemas.openxmlformats.org/officeDocument/2006/relationships/hyperlink" Target="http://repository.londonmet.ac.uk/909/1/HollandAmanda_WordsAndFacts.pdf" TargetMode="External"/><Relationship Id="rId15" Type="http://schemas.openxmlformats.org/officeDocument/2006/relationships/hyperlink" Target="https://pmc.ncbi.nlm.nih.gov/articles/PMC6192025/" TargetMode="External"/><Relationship Id="rId16" Type="http://schemas.openxmlformats.org/officeDocument/2006/relationships/hyperlink" Target="https://pmc.ncbi.nlm.nih.gov/articles/PMC7953035/" TargetMode="External"/><Relationship Id="rId17" Type="http://schemas.openxmlformats.org/officeDocument/2006/relationships/hyperlink" Target="https://pmc.ncbi.nlm.nih.gov/articles/PMC3647106/" TargetMode="External"/><Relationship Id="rId18" Type="http://schemas.openxmlformats.org/officeDocument/2006/relationships/hyperlink" Target="https://pmc.ncbi.nlm.nih.gov/articles/PMC5945324/" TargetMode="External"/><Relationship Id="rId19" Type="http://schemas.openxmlformats.org/officeDocument/2006/relationships/hyperlink" Target="https://bwg.ku.edu/wp-content/uploads/2022/06/RR1-A-Meta-Analysis-of-Parent-Implemented-Language-Interventions65.pdf" TargetMode="External"/><Relationship Id="rId20" Type="http://schemas.openxmlformats.org/officeDocument/2006/relationships/hyperlink" Target="https://ei.northwestern.edu/the-effects-of-parent-implemented-language-interventions-on-child-linguistic-outcomes-a-meta-analysis/" TargetMode="External"/><Relationship Id="rId21" Type="http://schemas.openxmlformats.org/officeDocument/2006/relationships/hyperlink" Target="https://pmc.ncbi.nlm.nih.gov/articles/PMC10370358/" TargetMode="External"/><Relationship Id="rId22" Type="http://schemas.openxmlformats.org/officeDocument/2006/relationships/hyperlink" Target="https://pmc.ncbi.nlm.nih.gov/articles/PMC8139043/" TargetMode="External"/><Relationship Id="rId23" Type="http://schemas.openxmlformats.org/officeDocument/2006/relationships/hyperlink" Target="https://pmc.ncbi.nlm.nih.gov/articles/PMC6176610/" TargetMode="External"/><Relationship Id="rId24" Type="http://schemas.openxmlformats.org/officeDocument/2006/relationships/hyperlink" Target="https://pmc.ncbi.nlm.nih.gov/articles/PMC3962808/" TargetMode="External"/><Relationship Id="rId25" Type="http://schemas.openxmlformats.org/officeDocument/2006/relationships/hyperlink" Target="https://pmc.ncbi.nlm.nih.gov/articles/PMC8905397/" TargetMode="External"/><Relationship Id="rId26" Type="http://schemas.openxmlformats.org/officeDocument/2006/relationships/hyperlink" Target="https://pmc.ncbi.nlm.nih.gov/articles/PMC11026032/" TargetMode="External"/><Relationship Id="rId27" Type="http://schemas.openxmlformats.org/officeDocument/2006/relationships/hyperlink" Target="https://www.nationalacademies.org/read/24677/chapter/6" TargetMode="External"/><Relationship Id="rId28" Type="http://schemas.openxmlformats.org/officeDocument/2006/relationships/hyperlink" Target="https://www.asha.org/practice-portal/clinical-topics/late-language-emergence/" TargetMode="External"/><Relationship Id="rId29" Type="http://schemas.openxmlformats.org/officeDocument/2006/relationships/hyperlink" Target="https://onlinelibrary.wiley.com/doi/full/10.1002/cl2.1368" TargetMode="External"/><Relationship Id="rId30" Type="http://schemas.openxmlformats.org/officeDocument/2006/relationships/hyperlink" Target="https://pubmed.ncbi.nlm.nih.gov/38901388/" TargetMode="External"/><Relationship Id="rId31" Type="http://schemas.openxmlformats.org/officeDocument/2006/relationships/hyperlink" Target="https://pubmed.ncbi.nlm.nih.gov/38377329/?fc=20230613131820&amp;ff=20240612015842&amp;v=2.18.0.post9+e462414" TargetMode="External"/><Relationship Id="rId32" Type="http://schemas.openxmlformats.org/officeDocument/2006/relationships/hyperlink" Target="https://www.hms.harvard.edu/cldp/pub/pdfs/Tomasellobookreview.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2026-09-04T12:03:56.861Z</dcterms:created>
  <dcterms:modified xsi:type="dcterms:W3CDTF">2026-09-04T12:03:56.861Z</dcterms:modified>
</cp:coreProperties>
</file>