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8_preliminary_research_pl_7521b5"/>
      <w:r>
        <w:rPr>
          <w:rFonts w:eastAsia="source serif 4" w:cs="source serif 4" w:ascii="source serif 4" w:hAnsi="source serif 4"/>
          <w:b/>
          <w:color w:val="000000"/>
          <w:sz w:val="39"/>
        </w:rPr>
        <w:t xml:space="preserve">Chapter 8 Preliminary Research Plan — The Expanding World</w:t>
      </w:r>
      <w:bookmarkEnd w:id="0"/>
    </w:p>
    <w:p>
      <w:pPr>
        <w:spacing w:line="360" w:before="315" w:after="105" w:lineRule="auto"/>
        <w:ind w:left="-30"/>
        <w:jc w:val="left"/>
      </w:pPr>
      <w:bookmarkStart w:id="1" w:name="executive_assessment"/>
      <w:r>
        <w:rPr>
          <w:rFonts w:eastAsia="source serif 4" w:cs="source serif 4" w:ascii="source serif 4" w:hAnsi="source serif 4"/>
          <w:b/>
          <w:color w:val="000000"/>
          <w:sz w:val="24"/>
        </w:rPr>
        <w:t xml:space="preserve">Executive assessment</w:t>
      </w:r>
      <w:bookmarkEnd w:id="1"/>
    </w:p>
    <w:p>
      <w:pPr>
        <w:spacing w:line="360" w:after="210" w:lineRule="auto"/>
      </w:pPr>
      <w:r>
        <w:rPr>
          <w:rFonts w:eastAsia="source serif 4" w:cs="source serif 4" w:ascii="source serif 4" w:hAnsi="source serif 4"/>
          <w:color w:val="000000"/>
        </w:rPr>
        <w:t xml:space="preserve">The chapter's central proposition is supportable if stated narrowly: from infancy through the first three years, development occurs through multiple recurrent relationships and settings, not only through one caregiver-child dyad. The strongest evidence supports a network model as a framework for organizing development; it does not establish that a larger network is inherently better, that every relationship has an independent causal effect, or that parents become interchangeable with other caregivers.</w:t>
      </w:r>
    </w:p>
    <w:p>
      <w:pPr>
        <w:spacing w:line="360" w:after="210" w:lineRule="auto"/>
      </w:pPr>
      <w:r>
        <w:rPr>
          <w:rFonts w:eastAsia="source serif 4" w:cs="source serif 4" w:ascii="source serif 4" w:hAnsi="source serif 4"/>
          <w:color w:val="000000"/>
        </w:rPr>
        <w:t xml:space="preserve">The evidence is strongest for three claims: infants can form attachment relationships with more than one caregiver; the quality of adult-child interaction matters more consistently than the mere presence or amount of nonparental care; and severe deprivation followed by stable, responsive family care can alter developmental trajectories, although recovery is often incomplete. Evidence for fathers, grandparents, siblings, peers, culture, and inequality is meaningful but more heterogeneous and more vulnerable to selection, measurement, and context effects.</w:t>
      </w:r>
    </w:p>
    <w:p>
      <w:pPr>
        <w:spacing w:line="360" w:after="210" w:lineRule="auto"/>
      </w:pPr>
      <w:r>
        <w:rPr>
          <w:rFonts w:eastAsia="source serif 4" w:cs="source serif 4" w:ascii="source serif 4" w:hAnsi="source serif 4"/>
          <w:color w:val="000000"/>
        </w:rPr>
        <w:t xml:space="preserve">The chapter should therefore move from a binary question—dyad versus network—to a conditional model: </w:t>
      </w:r>
      <w:r>
        <w:rPr>
          <w:rFonts w:eastAsia="source serif 4" w:cs="source serif 4" w:ascii="source serif 4" w:hAnsi="source serif 4"/>
          <w:b/>
          <w:color w:val="000000"/>
        </w:rPr>
        <w:t xml:space="preserve">child characteristics, relationship quality, continuity, material conditions, and cultural organization jointly shape the developmental ecology</w:t>
      </w:r>
      <w:r>
        <w:rPr>
          <w:rFonts w:eastAsia="source serif 4" w:cs="source serif 4" w:ascii="source serif 4" w:hAnsi="source serif 4"/>
          <w:color w:val="000000"/>
        </w:rPr>
        <w:t xml:space="preserve">.</w:t>
      </w:r>
    </w:p>
    <w:p>
      <w:pPr>
        <w:spacing w:line="360" w:before="315" w:after="105" w:lineRule="auto"/>
        <w:ind w:left="-30"/>
        <w:jc w:val="left"/>
      </w:pPr>
      <w:bookmarkStart w:id="2" w:name="recommended_thesis"/>
      <w:r>
        <w:rPr>
          <w:rFonts w:eastAsia="source serif 4" w:cs="source serif 4" w:ascii="source serif 4" w:hAnsi="source serif 4"/>
          <w:b/>
          <w:color w:val="000000"/>
          <w:sz w:val="24"/>
        </w:rPr>
        <w:t xml:space="preserve">Recommended thesis</w:t>
      </w:r>
      <w:bookmarkEnd w:id="2"/>
    </w:p>
    <w:p>
      <w:pPr>
        <w:spacing w:line="360" w:after="210" w:lineRule="auto"/>
        <w:ind w:left="630"/>
      </w:pPr>
      <w:r>
        <w:rPr>
          <w:rFonts w:eastAsia="source serif 4" w:cs="source serif 4" w:ascii="source serif 4" w:hAnsi="source serif 4"/>
          <w:color w:val="000000"/>
        </w:rPr>
        <w:t xml:space="preserve">Human development begins in intimate relationships but unfolds across a widening ecology of relationships, settings, institutions, and cultural practices. Multiple relationships can provide distinct opportunities for regulation, learning, communication, and participation; their effects depend on sensitivity, continuity, coordination, safety, resources, and the child's characteristics.</w:t>
      </w:r>
    </w:p>
    <w:p>
      <w:pPr>
        <w:spacing w:line="360" w:after="210" w:lineRule="auto"/>
      </w:pPr>
      <w:r>
        <w:rPr>
          <w:rFonts w:eastAsia="source serif 4" w:cs="source serif 4" w:ascii="source serif 4" w:hAnsi="source serif 4"/>
          <w:color w:val="000000"/>
        </w:rPr>
        <w:t xml:space="preserve">This formulation preserves the chapter's conceptual transition while avoiding three unsupported inferences: that more caregivers are always beneficial, that a single caregiver is necessary, or that observed associations identify independent causal effects.</w:t>
      </w:r>
    </w:p>
    <w:p>
      <w:pPr>
        <w:spacing w:line="360" w:before="315" w:after="105" w:lineRule="auto"/>
        <w:ind w:left="-30"/>
        <w:jc w:val="left"/>
      </w:pPr>
      <w:bookmarkStart w:id="3" w:name="evidence_architecture"/>
      <w:r>
        <w:rPr>
          <w:rFonts w:eastAsia="source serif 4" w:cs="source serif 4" w:ascii="source serif 4" w:hAnsi="source serif 4"/>
          <w:b/>
          <w:color w:val="000000"/>
          <w:sz w:val="24"/>
        </w:rPr>
        <w:t xml:space="preserve">Evidence architecture</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Best-supported conclusion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Overall 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Multiple caregivers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can develop meaningful attachment relationships with multiple caregivers; relationship configurations may matter more than a single attachment score.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Moderate: attachment-network reviews and longitudinal studies, with limited causal designs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Fathers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Sensitive, engaged fathering is associated with attachment, learning, and executive-function outcomes through several pathways; “father involvement” is too broad to be treated as one exposure.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Low–Moderate: longitudinal and meta-analytic evidence, substantial selection confounding</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Grandparents and kin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Kin can provide care, emotional support, and material resources; outcomes vary by role, household conditions, and cultural context.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Low: global review is broad but heterogeneous and geographically uneven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Siblings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Sibling interaction creates reciprocal opportunities for imitation, negotiation, conflict, and social cognition, but causal developmental effects remain difficult to isolate.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Low–Moderate: observational and systematic-review evidence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Peer interaction becomes increasingly relevant during toddlerhood and preschool years; positive peer relationships are associated with later prosocial development, but transactions are likely bidirectional.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Low–Moderate: longitudinal associations, few early causal tests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Childcare attendance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Attendance is not a unitary exposure; timing, quantity, type, quality, family selection, and home care must be separated.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Low–Moderate: large longitudinal cohorts, limited randomization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Childcare 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Warm, responsive process quality is more consistently related to development than structural indicators alone; average associations are small.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Moderate for association; lower for causal generalization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Continuity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Stable, responsive relationships and stable placements are plausibly protective; instability is not a single exposure and effects depend on timing, severity, and recovery opportunities.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Moderate in deprivation and placement research; lower in ordinary family transitions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Culture and niche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settings, caregiving customs, and caregiver psychology jointly organize developmental experience; cultural difference is not developmental deficit.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Conceptually strong; empirical comparability varies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Inequality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Household, neighborhood, employment, housing, and institutional resources are associated with developmental opportunity and outcomes.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Moderate for population-level association; causal pathways are multifactorial</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Severe deprivation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Extreme institutional deprivation can substantially disrupt attachment, cognition, stress regulation, and behavior; early family placement improves outcomes but does not guarantee full recovery.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Strongest in this chapter: randomized foster-care intervention plus longitudinal follow-up</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High for direction of effect; moderate for domain-specific persistence</w:t>
            </w:r>
          </w:p>
        </w:tc>
      </w:tr>
    </w:tbl>
    <w:p>
      <w:pPr>
        <w:spacing w:lineRule="auto"/>
      </w:pPr>
    </w:p>
    <w:p>
      <w:pPr>
        <w:spacing w:line="360" w:before="315" w:after="105" w:lineRule="auto"/>
        <w:ind w:left="-30"/>
        <w:jc w:val="left"/>
      </w:pPr>
      <w:bookmarkStart w:id="4" w:name="priority_research_sequence"/>
      <w:r>
        <w:rPr>
          <w:rFonts w:eastAsia="source serif 4" w:cs="source serif 4" w:ascii="source serif 4" w:hAnsi="source serif 4"/>
          <w:b/>
          <w:color w:val="000000"/>
          <w:sz w:val="24"/>
        </w:rPr>
        <w:t xml:space="preserve">Priority research sequence</w:t>
      </w:r>
      <w:bookmarkEnd w:id="4"/>
    </w:p>
    <w:p>
      <w:pPr>
        <w:spacing w:line="360" w:after="210" w:lineRule="auto"/>
      </w:pPr>
      <w:r>
        <w:rPr>
          <w:rFonts w:eastAsia="source serif 4" w:cs="source serif 4" w:ascii="source serif 4" w:hAnsi="source serif 4"/>
          <w:color w:val="000000"/>
        </w:rPr>
        <w:t xml:space="preserve">The proposed 15-module architecture is intellectually coherent but too repetitive in its current form. Childcare quality appears twice, and the chapter risks becoming a catalogue of relationship types rather than an explanation of mechanisms. A more efficient sequence is:</w:t>
      </w:r>
    </w:p>
    <w:p>
      <w:pPr>
        <w:numPr>
          <w:ilvl w:val="0"/>
          <w:numId w:val="1"/>
        </w:numPr>
        <w:spacing w:line="360" w:before="105" w:after="105" w:lineRule="auto"/>
      </w:pPr>
      <w:r>
        <w:rPr>
          <w:rFonts w:eastAsia="source serif 4" w:cs="source serif 4" w:ascii="source serif 4" w:hAnsi="source serif 4"/>
          <w:b/>
          <w:color w:val="000000"/>
          <w:sz w:val="21"/>
        </w:rPr>
        <w:t xml:space="preserve">From dyad to network:</w:t>
      </w:r>
      <w:r>
        <w:rPr>
          <w:rFonts w:eastAsia="source serif 4" w:cs="source serif 4" w:ascii="source serif 4" w:hAnsi="source serif 4"/>
          <w:color w:val="000000"/>
          <w:sz w:val="21"/>
        </w:rPr>
        <w:t xml:space="preserve"> define attachment networks, alloparenting, family systems, and the limits of the network metaphor.</w:t>
      </w:r>
    </w:p>
    <w:p>
      <w:pPr>
        <w:numPr>
          <w:ilvl w:val="0"/>
          <w:numId w:val="1"/>
        </w:numPr>
        <w:spacing w:line="360" w:before="105" w:after="105" w:lineRule="auto"/>
      </w:pPr>
      <w:r>
        <w:rPr>
          <w:rFonts w:eastAsia="source serif 4" w:cs="source serif 4" w:ascii="source serif 4" w:hAnsi="source serif 4"/>
          <w:b/>
          <w:color w:val="000000"/>
          <w:sz w:val="21"/>
        </w:rPr>
        <w:t xml:space="preserve">Relationship functions:</w:t>
      </w:r>
      <w:r>
        <w:rPr>
          <w:rFonts w:eastAsia="source serif 4" w:cs="source serif 4" w:ascii="source serif 4" w:hAnsi="source serif 4"/>
          <w:color w:val="000000"/>
          <w:sz w:val="21"/>
        </w:rPr>
        <w:t xml:space="preserve"> distinguish regulation, protection, learning, language, play, material support, cultural transmission, and social participation.</w:t>
      </w:r>
    </w:p>
    <w:p>
      <w:pPr>
        <w:numPr>
          <w:ilvl w:val="0"/>
          <w:numId w:val="1"/>
        </w:numPr>
        <w:spacing w:line="360" w:before="105" w:after="105" w:lineRule="auto"/>
      </w:pPr>
      <w:r>
        <w:rPr>
          <w:rFonts w:eastAsia="source serif 4" w:cs="source serif 4" w:ascii="source serif 4" w:hAnsi="source serif 4"/>
          <w:b/>
          <w:color w:val="000000"/>
          <w:sz w:val="21"/>
        </w:rPr>
        <w:t xml:space="preserve">Family network:</w:t>
      </w:r>
      <w:r>
        <w:rPr>
          <w:rFonts w:eastAsia="source serif 4" w:cs="source serif 4" w:ascii="source serif 4" w:hAnsi="source serif 4"/>
          <w:color w:val="000000"/>
          <w:sz w:val="21"/>
        </w:rPr>
        <w:t xml:space="preserve"> fathers, grandparents, siblings, and household configurations.</w:t>
      </w:r>
    </w:p>
    <w:p>
      <w:pPr>
        <w:numPr>
          <w:ilvl w:val="0"/>
          <w:numId w:val="1"/>
        </w:numPr>
        <w:spacing w:line="360" w:before="105" w:after="105" w:lineRule="auto"/>
      </w:pPr>
      <w:r>
        <w:rPr>
          <w:rFonts w:eastAsia="source serif 4" w:cs="source serif 4" w:ascii="source serif 4" w:hAnsi="source serif 4"/>
          <w:b/>
          <w:color w:val="000000"/>
          <w:sz w:val="21"/>
        </w:rPr>
        <w:t xml:space="preserve">Beyond the household:</w:t>
      </w:r>
      <w:r>
        <w:rPr>
          <w:rFonts w:eastAsia="source serif 4" w:cs="source serif 4" w:ascii="source serif 4" w:hAnsi="source serif 4"/>
          <w:color w:val="000000"/>
          <w:sz w:val="21"/>
        </w:rPr>
        <w:t xml:space="preserve"> peers, childcare, and institutional transitions.</w:t>
      </w:r>
    </w:p>
    <w:p>
      <w:pPr>
        <w:numPr>
          <w:ilvl w:val="0"/>
          <w:numId w:val="1"/>
        </w:numPr>
        <w:spacing w:line="360" w:before="105" w:after="105" w:lineRule="auto"/>
      </w:pPr>
      <w:r>
        <w:rPr>
          <w:rFonts w:eastAsia="source serif 4" w:cs="source serif 4" w:ascii="source serif 4" w:hAnsi="source serif 4"/>
          <w:b/>
          <w:color w:val="000000"/>
          <w:sz w:val="21"/>
        </w:rPr>
        <w:t xml:space="preserve">Continuity, disruption, and recovery:</w:t>
      </w:r>
      <w:r>
        <w:rPr>
          <w:rFonts w:eastAsia="source serif 4" w:cs="source serif 4" w:ascii="source serif 4" w:hAnsi="source serif 4"/>
          <w:color w:val="000000"/>
          <w:sz w:val="21"/>
        </w:rPr>
        <w:t xml:space="preserve"> ordinary instability versus severe deprivation.</w:t>
      </w:r>
    </w:p>
    <w:p>
      <w:pPr>
        <w:numPr>
          <w:ilvl w:val="0"/>
          <w:numId w:val="1"/>
        </w:numPr>
        <w:spacing w:line="360" w:before="105" w:after="105" w:lineRule="auto"/>
      </w:pPr>
      <w:r>
        <w:rPr>
          <w:rFonts w:eastAsia="source serif 4" w:cs="source serif 4" w:ascii="source serif 4" w:hAnsi="source serif 4"/>
          <w:b/>
          <w:color w:val="000000"/>
          <w:sz w:val="21"/>
        </w:rPr>
        <w:t xml:space="preserve">Culture and developmental niches:</w:t>
      </w:r>
      <w:r>
        <w:rPr>
          <w:rFonts w:eastAsia="source serif 4" w:cs="source serif 4" w:ascii="source serif 4" w:hAnsi="source serif 4"/>
          <w:color w:val="000000"/>
          <w:sz w:val="21"/>
        </w:rPr>
        <w:t xml:space="preserve"> settings, customs, caregiver psychology, and culturally organized expectations.</w:t>
      </w:r>
    </w:p>
    <w:p>
      <w:pPr>
        <w:numPr>
          <w:ilvl w:val="0"/>
          <w:numId w:val="1"/>
        </w:numPr>
        <w:spacing w:line="360" w:before="105" w:after="105" w:lineRule="auto"/>
      </w:pPr>
      <w:r>
        <w:rPr>
          <w:rFonts w:eastAsia="source serif 4" w:cs="source serif 4" w:ascii="source serif 4" w:hAnsi="source serif 4"/>
          <w:b/>
          <w:color w:val="000000"/>
          <w:sz w:val="21"/>
        </w:rPr>
        <w:t xml:space="preserve">Opportunity structures:</w:t>
      </w:r>
      <w:r>
        <w:rPr>
          <w:rFonts w:eastAsia="source serif 4" w:cs="source serif 4" w:ascii="source serif 4" w:hAnsi="source serif 4"/>
          <w:color w:val="000000"/>
          <w:sz w:val="21"/>
        </w:rPr>
        <w:t xml:space="preserve"> inequality, neighborhoods, services, leave policies, and childcare access.</w:t>
      </w:r>
    </w:p>
    <w:p>
      <w:pPr>
        <w:numPr>
          <w:ilvl w:val="0"/>
          <w:numId w:val="1"/>
        </w:numPr>
        <w:spacing w:line="360" w:before="105" w:after="105" w:lineRule="auto"/>
      </w:pPr>
      <w:r>
        <w:rPr>
          <w:rFonts w:eastAsia="source serif 4" w:cs="source serif 4" w:ascii="source serif 4" w:hAnsi="source serif 4"/>
          <w:b/>
          <w:color w:val="000000"/>
          <w:sz w:val="21"/>
        </w:rPr>
        <w:t xml:space="preserve">Integration:</w:t>
      </w:r>
      <w:r>
        <w:rPr>
          <w:rFonts w:eastAsia="source serif 4" w:cs="source serif 4" w:ascii="source serif 4" w:hAnsi="source serif 4"/>
          <w:color w:val="000000"/>
          <w:sz w:val="21"/>
        </w:rPr>
        <w:t xml:space="preserve"> revise Bronfenbrenner as an evidence-organizing model rather than a causal theory by itself.</w:t>
      </w:r>
    </w:p>
    <w:p>
      <w:pPr>
        <w:spacing w:line="360" w:after="210" w:lineRule="auto"/>
      </w:pPr>
      <w:r>
        <w:rPr>
          <w:rFonts w:eastAsia="source serif 4" w:cs="source serif 4" w:ascii="source serif 4" w:hAnsi="source serif 4"/>
          <w:color w:val="000000"/>
        </w:rPr>
        <w:t xml:space="preserve">This structure eliminates the duplicate childcare modules and places childcare quality inside a broader distinction between </w:t>
      </w:r>
      <w:r>
        <w:rPr>
          <w:rFonts w:eastAsia="source serif 4" w:cs="source serif 4" w:ascii="source serif 4" w:hAnsi="source serif 4"/>
          <w:b/>
          <w:color w:val="000000"/>
        </w:rPr>
        <w:t xml:space="preserve">attendance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experience</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system conditions</w:t>
      </w:r>
      <w:r>
        <w:rPr>
          <w:rFonts w:eastAsia="source serif 4" w:cs="source serif 4" w:ascii="source serif 4" w:hAnsi="source serif 4"/>
          <w:color w:val="000000"/>
        </w:rPr>
        <w:t xml:space="preserve">.</w:t>
      </w:r>
    </w:p>
    <w:p>
      <w:pPr>
        <w:spacing w:line="360" w:before="315" w:after="105" w:lineRule="auto"/>
        <w:ind w:left="-30"/>
        <w:jc w:val="left"/>
      </w:pPr>
      <w:bookmarkStart w:id="5" w:name="evidence_cards"/>
      <w:r>
        <w:rPr>
          <w:rFonts w:eastAsia="source serif 4" w:cs="source serif 4" w:ascii="source serif 4" w:hAnsi="source serif 4"/>
          <w:b/>
          <w:color w:val="000000"/>
          <w:sz w:val="24"/>
        </w:rPr>
        <w:t xml:space="preserve">Evidence cards</w:t>
      </w:r>
      <w:bookmarkEnd w:id="5"/>
    </w:p>
    <w:p>
      <w:pPr>
        <w:spacing w:line="360" w:before="315" w:after="105" w:lineRule="auto"/>
        <w:ind w:left="-30"/>
        <w:jc w:val="left"/>
      </w:pPr>
      <w:bookmarkStart w:id="6" w:name="multiple_attachment_relationships"/>
      <w:r>
        <w:rPr>
          <w:rFonts w:eastAsia="source serif 4" w:cs="source serif 4" w:ascii="source serif 4" w:hAnsi="source serif 4"/>
          <w:b/>
          <w:color w:val="000000"/>
          <w:sz w:val="24"/>
        </w:rPr>
        <w:t xml:space="preserve">Multiple attachment relationships</w:t>
      </w:r>
      <w:bookmarkEnd w:id="6"/>
    </w:p>
    <w:p>
      <w:pPr>
        <w:spacing w:line="360" w:before="315" w:after="105" w:lineRule="auto"/>
        <w:ind w:left="-30"/>
        <w:jc w:val="left"/>
      </w:pPr>
      <w:bookmarkStart w:id="7" w:name="what_we_know"/>
      <w:r>
        <w:rPr>
          <w:rFonts w:eastAsia="source serif 4" w:cs="source serif 4" w:ascii="source serif 4" w:hAnsi="source serif 4"/>
          <w:b/>
          <w:color w:val="000000"/>
          <w:sz w:val="24"/>
        </w:rPr>
        <w:t xml:space="preserve">What We Know</w:t>
      </w:r>
      <w:bookmarkEnd w:id="7"/>
    </w:p>
    <w:p>
      <w:pPr>
        <w:spacing w:line="360" w:after="210" w:lineRule="auto"/>
      </w:pPr>
      <w:r>
        <w:rPr>
          <w:rFonts w:eastAsia="source serif 4" w:cs="source serif 4" w:ascii="source serif 4" w:hAnsi="source serif 4"/>
          <w:color w:val="000000"/>
        </w:rPr>
        <w:t xml:space="preserve">Infants are capable of forming meaningful attachment relationships with multiple caregivers. Contemporary attachment-network work recommends examining configurations across caregivers rather than assuming that one parent-child relationship fully represents the child's relational world.[</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8" w:name="how_confident_we_are"/>
      <w:r>
        <w:rPr>
          <w:rFonts w:eastAsia="source serif 4" w:cs="source serif 4" w:ascii="source serif 4" w:hAnsi="source serif 4"/>
          <w:b/>
          <w:color w:val="000000"/>
          <w:sz w:val="24"/>
        </w:rPr>
        <w:t xml:space="preserve">How Confident We Are</w:t>
      </w:r>
      <w:bookmarkEnd w:id="8"/>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claim is consistent with attachment theory, observational research, and reviews, but the field lacks a single agreed method for defining “meaningful,” comparing relationships, or estimating network effects.</w:t>
      </w:r>
    </w:p>
    <w:p>
      <w:pPr>
        <w:spacing w:line="360" w:before="315" w:after="105" w:lineRule="auto"/>
        <w:ind w:left="-30"/>
        <w:jc w:val="left"/>
      </w:pPr>
      <w:bookmarkStart w:id="9" w:name="evidence_and_causal_assessment"/>
      <w:r>
        <w:rPr>
          <w:rFonts w:eastAsia="source serif 4" w:cs="source serif 4" w:ascii="source serif 4" w:hAnsi="source serif 4"/>
          <w:b/>
          <w:color w:val="000000"/>
          <w:sz w:val="24"/>
        </w:rPr>
        <w:t xml:space="preserve">Evidence and Causal Assessment</w:t>
      </w:r>
      <w:bookmarkEnd w:id="9"/>
    </w:p>
    <w:p>
      <w:pPr>
        <w:spacing w:line="360" w:after="210" w:lineRule="auto"/>
      </w:pPr>
      <w:r>
        <w:rPr>
          <w:rFonts w:eastAsia="source serif 4" w:cs="source serif 4" w:ascii="source serif 4" w:hAnsi="source serif 4"/>
          <w:color w:val="000000"/>
        </w:rPr>
        <w:t xml:space="preserve">The evidence is primarily longitudinal and observational. Sensitivity is consistently related to attachment security across caregivers, but caregiver sensitivity is also shaped by child behavior, family stress, resources, and relationship history. A secure relationship with one caregiver should not be treated as proof that all other relationships are secure or interchangeable.[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315" w:after="105" w:lineRule="auto"/>
        <w:ind w:left="-30"/>
        <w:jc w:val="left"/>
      </w:pPr>
      <w:bookmarkStart w:id="10" w:name="effect_size_and_persistence"/>
      <w:r>
        <w:rPr>
          <w:rFonts w:eastAsia="source serif 4" w:cs="source serif 4" w:ascii="source serif 4" w:hAnsi="source serif 4"/>
          <w:b/>
          <w:color w:val="000000"/>
          <w:sz w:val="24"/>
        </w:rPr>
        <w:t xml:space="preserve">Effect Size and Persistence</w:t>
      </w:r>
      <w:bookmarkEnd w:id="10"/>
    </w:p>
    <w:p>
      <w:pPr>
        <w:spacing w:line="360" w:after="210" w:lineRule="auto"/>
      </w:pPr>
      <w:r>
        <w:rPr>
          <w:rFonts w:eastAsia="source serif 4" w:cs="source serif 4" w:ascii="source serif 4" w:hAnsi="source serif 4"/>
          <w:color w:val="000000"/>
        </w:rPr>
        <w:t xml:space="preserve">The relevant effect is relational configuration rather than a simple dose-response quantity. Persistence is likely relationship-specific and developmentally revisable; the evidence does not justify claiming that early attachment classifications determine adult functioning.</w:t>
      </w:r>
    </w:p>
    <w:p>
      <w:pPr>
        <w:spacing w:line="360" w:before="315" w:after="105" w:lineRule="auto"/>
        <w:ind w:left="-30"/>
        <w:jc w:val="left"/>
      </w:pPr>
      <w:bookmarkStart w:id="11" w:name="bias_heterogeneity_and_confounding"/>
      <w:r>
        <w:rPr>
          <w:rFonts w:eastAsia="source serif 4" w:cs="source serif 4" w:ascii="source serif 4" w:hAnsi="source serif 4"/>
          <w:b/>
          <w:color w:val="000000"/>
          <w:sz w:val="24"/>
        </w:rPr>
        <w:t xml:space="preserve">Bias, Heterogeneity, and Confounding</w:t>
      </w:r>
      <w:bookmarkEnd w:id="11"/>
    </w:p>
    <w:p>
      <w:pPr>
        <w:spacing w:line="360" w:after="210" w:lineRule="auto"/>
      </w:pPr>
      <w:r>
        <w:rPr>
          <w:rFonts w:eastAsia="source serif 4" w:cs="source serif 4" w:ascii="source serif 4" w:hAnsi="source serif 4"/>
          <w:color w:val="000000"/>
        </w:rPr>
        <w:t xml:space="preserve">Studies vary in whether they assess mothers, fathers, kin, or professional caregivers, and many samples overrepresent Western, relatively stable families. The chapter should report network composition, caregiving time, sensitivity, continuity, and cultural organization separately.</w:t>
      </w:r>
    </w:p>
    <w:p>
      <w:pPr>
        <w:spacing w:line="360" w:before="315" w:after="105" w:lineRule="auto"/>
        <w:ind w:left="-30"/>
        <w:jc w:val="left"/>
      </w:pPr>
      <w:bookmarkStart w:id="12" w:name="what_remains_uncertain"/>
      <w:r>
        <w:rPr>
          <w:rFonts w:eastAsia="source serif 4" w:cs="source serif 4" w:ascii="source serif 4" w:hAnsi="source serif 4"/>
          <w:b/>
          <w:color w:val="000000"/>
          <w:sz w:val="24"/>
        </w:rPr>
        <w:t xml:space="preserve">What Remains Uncertain</w:t>
      </w:r>
      <w:bookmarkEnd w:id="12"/>
    </w:p>
    <w:p>
      <w:pPr>
        <w:spacing w:line="360" w:after="210" w:lineRule="auto"/>
      </w:pPr>
      <w:r>
        <w:rPr>
          <w:rFonts w:eastAsia="source serif 4" w:cs="source serif 4" w:ascii="source serif 4" w:hAnsi="source serif 4"/>
          <w:color w:val="000000"/>
        </w:rPr>
        <w:t xml:space="preserve">How many relationships can be simultaneously maintained as attachment relationships, whether network security has additive or interactive effects, and how network patterns differ across cultures and family structures.</w:t>
      </w:r>
    </w:p>
    <w:p>
      <w:pPr>
        <w:spacing w:line="360" w:before="315" w:after="105" w:lineRule="auto"/>
        <w:ind w:left="-30"/>
        <w:jc w:val="left"/>
      </w:pPr>
      <w:bookmarkStart w:id="13" w:name="what_this_does_not_mean"/>
      <w:r>
        <w:rPr>
          <w:rFonts w:eastAsia="source serif 4" w:cs="source serif 4" w:ascii="source serif 4" w:hAnsi="source serif 4"/>
          <w:b/>
          <w:color w:val="000000"/>
          <w:sz w:val="24"/>
        </w:rPr>
        <w:t xml:space="preserve">What This Does Not Mean</w:t>
      </w:r>
      <w:bookmarkEnd w:id="13"/>
    </w:p>
    <w:p>
      <w:pPr>
        <w:spacing w:line="360" w:after="210" w:lineRule="auto"/>
      </w:pPr>
      <w:r>
        <w:rPr>
          <w:rFonts w:eastAsia="source serif 4" w:cs="source serif 4" w:ascii="source serif 4" w:hAnsi="source serif 4"/>
          <w:color w:val="000000"/>
        </w:rPr>
        <w:t xml:space="preserve">Children do not need a single exclusive caregiver, but neither does evidence show that adding caregivers automatically improves development.</w:t>
      </w:r>
    </w:p>
    <w:p>
      <w:pPr>
        <w:spacing w:line="360" w:before="315" w:after="105" w:lineRule="auto"/>
        <w:ind w:left="-30"/>
        <w:jc w:val="left"/>
      </w:pPr>
      <w:bookmarkStart w:id="14" w:name="what_action_is_reasonably_justified"/>
      <w:r>
        <w:rPr>
          <w:rFonts w:eastAsia="source serif 4" w:cs="source serif 4" w:ascii="source serif 4" w:hAnsi="source serif 4"/>
          <w:b/>
          <w:color w:val="000000"/>
          <w:sz w:val="24"/>
        </w:rPr>
        <w:t xml:space="preserve">What Action Is Reasonably Justified</w:t>
      </w:r>
      <w:bookmarkEnd w:id="14"/>
    </w:p>
    <w:p>
      <w:pPr>
        <w:spacing w:line="360" w:after="210" w:lineRule="auto"/>
      </w:pPr>
      <w:r>
        <w:rPr>
          <w:rFonts w:eastAsia="source serif 4" w:cs="source serif 4" w:ascii="source serif 4" w:hAnsi="source serif 4"/>
          <w:color w:val="000000"/>
        </w:rPr>
        <w:t xml:space="preserve">Support stable access to responsive caregivers and reduce avoidable disruptions. Do not prescribe one universal family structure.</w:t>
      </w:r>
    </w:p>
    <w:p>
      <w:pPr>
        <w:spacing w:line="360" w:before="315" w:after="105" w:lineRule="auto"/>
        <w:ind w:left="-30"/>
        <w:jc w:val="left"/>
      </w:pPr>
      <w:bookmarkStart w:id="15" w:name="fathers_and_development"/>
      <w:r>
        <w:rPr>
          <w:rFonts w:eastAsia="source serif 4" w:cs="source serif 4" w:ascii="source serif 4" w:hAnsi="source serif 4"/>
          <w:b/>
          <w:color w:val="000000"/>
          <w:sz w:val="24"/>
        </w:rPr>
        <w:t xml:space="preserve">Fathers and development</w:t>
      </w:r>
      <w:bookmarkEnd w:id="15"/>
    </w:p>
    <w:p>
      <w:pPr>
        <w:spacing w:line="360" w:before="315" w:after="105" w:lineRule="auto"/>
        <w:ind w:left="-30"/>
        <w:jc w:val="left"/>
      </w:pPr>
      <w:bookmarkStart w:id="16" w:name="what_we_know_2"/>
      <w:r>
        <w:rPr>
          <w:rFonts w:eastAsia="source serif 4" w:cs="source serif 4" w:ascii="source serif 4" w:hAnsi="source serif 4"/>
          <w:b/>
          <w:color w:val="000000"/>
          <w:sz w:val="24"/>
        </w:rPr>
        <w:t xml:space="preserve">What We Know</w:t>
      </w:r>
      <w:bookmarkEnd w:id="16"/>
    </w:p>
    <w:p>
      <w:pPr>
        <w:spacing w:line="360" w:after="210" w:lineRule="auto"/>
      </w:pPr>
      <w:r>
        <w:rPr>
          <w:rFonts w:eastAsia="source serif 4" w:cs="source serif 4" w:ascii="source serif 4" w:hAnsi="source serif 4"/>
          <w:color w:val="000000"/>
        </w:rPr>
        <w:t xml:space="preserve">Fathers can contribute through caregiving, sensitivity, play, cognitive stimulation, emotional support, and material or social resources. Meta-analytic evidence reports small-to-moderate associations between positive father involvement and early learning, while longitudinal studies link sensitive fathering with later executive function after adjustment for several child and family factors.[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before="315" w:after="105" w:lineRule="auto"/>
        <w:ind w:left="-30"/>
        <w:jc w:val="left"/>
      </w:pPr>
      <w:bookmarkStart w:id="17" w:name="how_confident_we_are_2"/>
      <w:r>
        <w:rPr>
          <w:rFonts w:eastAsia="source serif 4" w:cs="source serif 4" w:ascii="source serif 4" w:hAnsi="source serif 4"/>
          <w:b/>
          <w:color w:val="000000"/>
          <w:sz w:val="24"/>
        </w:rPr>
        <w:t xml:space="preserve">How Confident We Are</w:t>
      </w:r>
      <w:bookmarkEnd w:id="17"/>
    </w:p>
    <w:p>
      <w:pPr>
        <w:spacing w:line="360" w:after="210" w:lineRule="auto"/>
      </w:pPr>
      <w:r>
        <w:rPr>
          <w:rFonts w:eastAsia="source serif 4" w:cs="source serif 4" w:ascii="source serif 4" w:hAnsi="source serif 4"/>
          <w:b/>
          <w:color w:val="000000"/>
        </w:rPr>
        <w:t xml:space="preserve">Moderate for contribution; Low–Moderate for independent causal effects.</w:t>
      </w:r>
      <w:r>
        <w:rPr>
          <w:rFonts w:eastAsia="source serif 4" w:cs="source serif 4" w:ascii="source serif 4" w:hAnsi="source serif 4"/>
          <w:color w:val="000000"/>
        </w:rPr>
        <w:t xml:space="preserve"> “Father involvement” combines time, responsibility, warmth, play, discipline, and financial provision, making pooled effects difficult to interpret.</w:t>
      </w:r>
    </w:p>
    <w:p>
      <w:pPr>
        <w:spacing w:line="360" w:before="315" w:after="105" w:lineRule="auto"/>
        <w:ind w:left="-30"/>
        <w:jc w:val="left"/>
      </w:pPr>
      <w:bookmarkStart w:id="18" w:name="evidence_and_causal_assessment_2"/>
      <w:r>
        <w:rPr>
          <w:rFonts w:eastAsia="source serif 4" w:cs="source serif 4" w:ascii="source serif 4" w:hAnsi="source serif 4"/>
          <w:b/>
          <w:color w:val="000000"/>
          <w:sz w:val="24"/>
        </w:rPr>
        <w:t xml:space="preserve">Evidence and Causal Assessment</w:t>
      </w:r>
      <w:bookmarkEnd w:id="18"/>
    </w:p>
    <w:p>
      <w:pPr>
        <w:spacing w:line="360" w:after="210" w:lineRule="auto"/>
      </w:pPr>
      <w:r>
        <w:rPr>
          <w:rFonts w:eastAsia="source serif 4" w:cs="source serif 4" w:ascii="source serif 4" w:hAnsi="source serif 4"/>
          <w:color w:val="000000"/>
        </w:rPr>
        <w:t xml:space="preserve">Longitudinal studies are informative but cannot fully remove socioeconomic selection, coparenting quality, paternal mental health, employment, residence, and child-driven effects. Evidence on emotion regulation is notably mixed: a recent review found few direct associations and stronger dependence on moderators and measurement choices.[^7]</w:t>
      </w:r>
    </w:p>
    <w:p>
      <w:pPr>
        <w:spacing w:line="360" w:before="315" w:after="105" w:lineRule="auto"/>
        <w:ind w:left="-30"/>
        <w:jc w:val="left"/>
      </w:pPr>
      <w:bookmarkStart w:id="19" w:name="effect_size_and_persistence_2"/>
      <w:r>
        <w:rPr>
          <w:rFonts w:eastAsia="source serif 4" w:cs="source serif 4" w:ascii="source serif 4" w:hAnsi="source serif 4"/>
          <w:b/>
          <w:color w:val="000000"/>
          <w:sz w:val="24"/>
        </w:rPr>
        <w:t xml:space="preserve">Effect Size and Persistence</w:t>
      </w:r>
      <w:bookmarkEnd w:id="19"/>
    </w:p>
    <w:p>
      <w:pPr>
        <w:spacing w:line="360" w:after="210" w:lineRule="auto"/>
      </w:pPr>
      <w:r>
        <w:rPr>
          <w:rFonts w:eastAsia="source serif 4" w:cs="source serif 4" w:ascii="source serif 4" w:hAnsi="source serif 4"/>
          <w:color w:val="000000"/>
        </w:rPr>
        <w:t xml:space="preserve">Average associations are generally small to moderate and do not establish unique or permanent father effects. Sensitivity and interaction quality are more interpretable than contact frequency alone.</w:t>
      </w:r>
    </w:p>
    <w:p>
      <w:pPr>
        <w:spacing w:line="360" w:before="315" w:after="105" w:lineRule="auto"/>
        <w:ind w:left="-30"/>
        <w:jc w:val="left"/>
      </w:pPr>
      <w:bookmarkStart w:id="20" w:name="what_this_does_not_mean_2"/>
      <w:r>
        <w:rPr>
          <w:rFonts w:eastAsia="source serif 4" w:cs="source serif 4" w:ascii="source serif 4" w:hAnsi="source serif 4"/>
          <w:b/>
          <w:color w:val="000000"/>
          <w:sz w:val="24"/>
        </w:rPr>
        <w:t xml:space="preserve">What This Does Not Mean</w:t>
      </w:r>
      <w:bookmarkEnd w:id="20"/>
    </w:p>
    <w:p>
      <w:pPr>
        <w:spacing w:line="360" w:after="210" w:lineRule="auto"/>
      </w:pPr>
      <w:r>
        <w:rPr>
          <w:rFonts w:eastAsia="source serif 4" w:cs="source serif 4" w:ascii="source serif 4" w:hAnsi="source serif 4"/>
          <w:color w:val="000000"/>
        </w:rPr>
        <w:t xml:space="preserve">Fathers should not be framed as mothers' substitutes, nor should mothers and fathers be assigned rigidly gendered developmental functions.</w:t>
      </w:r>
    </w:p>
    <w:p>
      <w:pPr>
        <w:spacing w:line="360" w:before="315" w:after="105" w:lineRule="auto"/>
        <w:ind w:left="-30"/>
        <w:jc w:val="left"/>
      </w:pPr>
      <w:bookmarkStart w:id="21" w:name="what_action_is_reasonably_justified_2"/>
      <w:r>
        <w:rPr>
          <w:rFonts w:eastAsia="source serif 4" w:cs="source serif 4" w:ascii="source serif 4" w:hAnsi="source serif 4"/>
          <w:b/>
          <w:color w:val="000000"/>
          <w:sz w:val="24"/>
        </w:rPr>
        <w:t xml:space="preserve">What Action Is Reasonably Justified</w:t>
      </w:r>
      <w:bookmarkEnd w:id="21"/>
    </w:p>
    <w:p>
      <w:pPr>
        <w:spacing w:line="360" w:after="210" w:lineRule="auto"/>
      </w:pPr>
      <w:r>
        <w:rPr>
          <w:rFonts w:eastAsia="source serif 4" w:cs="source serif 4" w:ascii="source serif 4" w:hAnsi="source serif 4"/>
          <w:color w:val="000000"/>
        </w:rPr>
        <w:t xml:space="preserve">Policies that enable fathers' sustained, responsive participation—such as leave, flexible work, and mental-health support—are more defensible than prescriptions about a particular style of father play.</w:t>
      </w:r>
    </w:p>
    <w:p>
      <w:pPr>
        <w:spacing w:line="360" w:before="315" w:after="105" w:lineRule="auto"/>
        <w:ind w:left="-30"/>
        <w:jc w:val="left"/>
      </w:pPr>
      <w:bookmarkStart w:id="22" w:name="kin_siblings_and_peers"/>
      <w:r>
        <w:rPr>
          <w:rFonts w:eastAsia="source serif 4" w:cs="source serif 4" w:ascii="source serif 4" w:hAnsi="source serif 4"/>
          <w:b/>
          <w:color w:val="000000"/>
          <w:sz w:val="24"/>
        </w:rPr>
        <w:t xml:space="preserve">Kin, siblings, and peers</w:t>
      </w:r>
      <w:bookmarkEnd w:id="22"/>
    </w:p>
    <w:p>
      <w:pPr>
        <w:spacing w:line="360" w:before="315" w:after="105" w:lineRule="auto"/>
        <w:ind w:left="-30"/>
        <w:jc w:val="left"/>
      </w:pPr>
      <w:bookmarkStart w:id="23" w:name="what_we_know_3"/>
      <w:r>
        <w:rPr>
          <w:rFonts w:eastAsia="source serif 4" w:cs="source serif 4" w:ascii="source serif 4" w:hAnsi="source serif 4"/>
          <w:b/>
          <w:color w:val="000000"/>
          <w:sz w:val="24"/>
        </w:rPr>
        <w:t xml:space="preserve">What We Know</w:t>
      </w:r>
      <w:bookmarkEnd w:id="23"/>
    </w:p>
    <w:p>
      <w:pPr>
        <w:spacing w:line="360" w:after="210" w:lineRule="auto"/>
      </w:pPr>
      <w:r>
        <w:rPr>
          <w:rFonts w:eastAsia="source serif 4" w:cs="source serif 4" w:ascii="source serif 4" w:hAnsi="source serif 4"/>
          <w:color w:val="000000"/>
        </w:rPr>
        <w:t xml:space="preserve">Grandparents and extended kin may provide care, support, and resources, but global evidence is heterogeneous and nearly half of the reviewed grandparent studies were U.S.-based. A systematic review identified 205 studies and emphasized gaps in measurement and mechanism specification. Sibling research documents reciprocal interaction and distinctive opportunities for social learning, but a 2024 systematic review found only 63 eligible studies from 713 screened records and noted representativeness and standardization limitations.[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color w:val="000000"/>
        </w:rPr>
        <w:t xml:space="preserve">Peer interaction should be treated as a developmental context that becomes increasingly consequential across toddlerhood and preschool, not as a uniform force beginning in infancy. Longitudinal work in preschoolers links higher-quality peer relationships with later trust and prosocial behavior, but the pathways remain transactional and are not equivalent to causal peer effects.[^10]</w:t>
      </w:r>
    </w:p>
    <w:p>
      <w:pPr>
        <w:spacing w:line="360" w:before="315" w:after="105" w:lineRule="auto"/>
        <w:ind w:left="-30"/>
        <w:jc w:val="left"/>
      </w:pPr>
      <w:bookmarkStart w:id="24" w:name="how_confident_we_are_3"/>
      <w:r>
        <w:rPr>
          <w:rFonts w:eastAsia="source serif 4" w:cs="source serif 4" w:ascii="source serif 4" w:hAnsi="source serif 4"/>
          <w:b/>
          <w:color w:val="000000"/>
          <w:sz w:val="24"/>
        </w:rPr>
        <w:t xml:space="preserve">How Confident We Are</w:t>
      </w:r>
      <w:bookmarkEnd w:id="24"/>
    </w:p>
    <w:p>
      <w:pPr>
        <w:spacing w:line="360" w:after="210" w:lineRule="auto"/>
      </w:pPr>
      <w:r>
        <w:rPr>
          <w:rFonts w:eastAsia="source serif 4" w:cs="source serif 4" w:ascii="source serif 4" w:hAnsi="source serif 4"/>
          <w:b/>
          <w:color w:val="000000"/>
        </w:rPr>
        <w:t xml:space="preserve">Low–Moderate.</w:t>
      </w:r>
      <w:r>
        <w:rPr>
          <w:rFonts w:eastAsia="source serif 4" w:cs="source serif 4" w:ascii="source serif 4" w:hAnsi="source serif 4"/>
          <w:color w:val="000000"/>
        </w:rPr>
        <w:t xml:space="preserve"> The existence and relevance of these relationships are well supported; claims about independent effects, sensitive periods, or universal benefits are not.</w:t>
      </w:r>
    </w:p>
    <w:p>
      <w:pPr>
        <w:spacing w:line="360" w:before="315" w:after="105" w:lineRule="auto"/>
        <w:ind w:left="-30"/>
        <w:jc w:val="left"/>
      </w:pPr>
      <w:bookmarkStart w:id="25" w:name="what_this_does_not_mean_3"/>
      <w:r>
        <w:rPr>
          <w:rFonts w:eastAsia="source serif 4" w:cs="source serif 4" w:ascii="source serif 4" w:hAnsi="source serif 4"/>
          <w:b/>
          <w:color w:val="000000"/>
          <w:sz w:val="24"/>
        </w:rPr>
        <w:t xml:space="preserve">What This Does Not Mean</w:t>
      </w:r>
      <w:bookmarkEnd w:id="25"/>
    </w:p>
    <w:p>
      <w:pPr>
        <w:spacing w:line="360" w:after="210" w:lineRule="auto"/>
      </w:pPr>
      <w:r>
        <w:rPr>
          <w:rFonts w:eastAsia="source serif 4" w:cs="source serif 4" w:ascii="source serif 4" w:hAnsi="source serif 4"/>
          <w:color w:val="000000"/>
        </w:rPr>
        <w:t xml:space="preserve">Siblings are not automatically beneficial teachers, peers do not automatically improve social skills, and extended-family involvement is not uniformly protective.</w:t>
      </w:r>
    </w:p>
    <w:p>
      <w:pPr>
        <w:spacing w:line="360" w:before="315" w:after="105" w:lineRule="auto"/>
        <w:ind w:left="-30"/>
        <w:jc w:val="left"/>
      </w:pPr>
      <w:bookmarkStart w:id="26" w:name="what_action_is_reasonably_justified_3"/>
      <w:r>
        <w:rPr>
          <w:rFonts w:eastAsia="source serif 4" w:cs="source serif 4" w:ascii="source serif 4" w:hAnsi="source serif 4"/>
          <w:b/>
          <w:color w:val="000000"/>
          <w:sz w:val="24"/>
        </w:rPr>
        <w:t xml:space="preserve">What Action Is Reasonably Justified</w:t>
      </w:r>
      <w:bookmarkEnd w:id="26"/>
    </w:p>
    <w:p>
      <w:pPr>
        <w:spacing w:line="360" w:after="210" w:lineRule="auto"/>
      </w:pPr>
      <w:r>
        <w:rPr>
          <w:rFonts w:eastAsia="source serif 4" w:cs="source serif 4" w:ascii="source serif 4" w:hAnsi="source serif 4"/>
          <w:color w:val="000000"/>
        </w:rPr>
        <w:t xml:space="preserve">Treat kin and peer relationships as potential developmental resources whose value depends on safety, reciprocity, adult support, group composition, and cultural meaning.</w:t>
      </w:r>
    </w:p>
    <w:p>
      <w:pPr>
        <w:spacing w:line="360" w:before="315" w:after="105" w:lineRule="auto"/>
        <w:ind w:left="-30"/>
        <w:jc w:val="left"/>
      </w:pPr>
      <w:bookmarkStart w:id="27" w:name="childcare_attendance_and_quality"/>
      <w:r>
        <w:rPr>
          <w:rFonts w:eastAsia="source serif 4" w:cs="source serif 4" w:ascii="source serif 4" w:hAnsi="source serif 4"/>
          <w:b/>
          <w:color w:val="000000"/>
          <w:sz w:val="24"/>
        </w:rPr>
        <w:t xml:space="preserve">Childcare attendance and quality</w:t>
      </w:r>
      <w:bookmarkEnd w:id="27"/>
    </w:p>
    <w:p>
      <w:pPr>
        <w:spacing w:line="360" w:before="315" w:after="105" w:lineRule="auto"/>
        <w:ind w:left="-30"/>
        <w:jc w:val="left"/>
      </w:pPr>
      <w:bookmarkStart w:id="28" w:name="what_we_know_4"/>
      <w:r>
        <w:rPr>
          <w:rFonts w:eastAsia="source serif 4" w:cs="source serif 4" w:ascii="source serif 4" w:hAnsi="source serif 4"/>
          <w:b/>
          <w:color w:val="000000"/>
          <w:sz w:val="24"/>
        </w:rPr>
        <w:t xml:space="preserve">What We Know</w:t>
      </w:r>
      <w:bookmarkEnd w:id="28"/>
    </w:p>
    <w:p>
      <w:pPr>
        <w:spacing w:line="360" w:after="210" w:lineRule="auto"/>
      </w:pPr>
      <w:r>
        <w:rPr>
          <w:rFonts w:eastAsia="source serif 4" w:cs="source serif 4" w:ascii="source serif 4" w:hAnsi="source serif 4"/>
          <w:color w:val="000000"/>
        </w:rPr>
        <w:t xml:space="preserve">Childcare attendance should be decomposed into type, timing, duration, stability, caregiver-child interaction, group composition, structural conditions, and what care displaces. NICHD materials report that higher-quality care was associated with somewhat better cognitive and language functioning in the first three years, while family characteristics were often stronger and more consistent predictors than childcare features.[^11]</w:t>
      </w:r>
    </w:p>
    <w:p>
      <w:pPr>
        <w:spacing w:line="360" w:after="210" w:lineRule="auto"/>
      </w:pPr>
      <w:r>
        <w:rPr>
          <w:rFonts w:eastAsia="source serif 4" w:cs="source serif 4" w:ascii="source serif 4" w:hAnsi="source serif 4"/>
          <w:color w:val="000000"/>
        </w:rPr>
        <w:t xml:space="preserve">Process quality—warmth, responsiveness, language support, and educator-child interaction—is more consistently related to outcomes than structural indicators considered alone. A meta-analysis of European longitudinal studies found small associations between process quality and later language, literacy, and mathematics, with global process-quality effects around ES = .11; a separate meta-analysis found a small association with socio-emotional development, r = .103, 95% CI [.052, .155]. These estimates are associations, not universal causal effects.[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before="315" w:after="105" w:lineRule="auto"/>
        <w:ind w:left="-30"/>
        <w:jc w:val="left"/>
      </w:pPr>
      <w:bookmarkStart w:id="29" w:name="how_confident_we_are_4"/>
      <w:r>
        <w:rPr>
          <w:rFonts w:eastAsia="source serif 4" w:cs="source serif 4" w:ascii="source serif 4" w:hAnsi="source serif 4"/>
          <w:b/>
          <w:color w:val="000000"/>
          <w:sz w:val="24"/>
        </w:rPr>
        <w:t xml:space="preserve">How Confident We Are</w:t>
      </w:r>
      <w:bookmarkEnd w:id="29"/>
    </w:p>
    <w:p>
      <w:pPr>
        <w:spacing w:line="360" w:after="210" w:lineRule="auto"/>
      </w:pPr>
      <w:r>
        <w:rPr>
          <w:rFonts w:eastAsia="source serif 4" w:cs="source serif 4" w:ascii="source serif 4" w:hAnsi="source serif 4"/>
          <w:b/>
          <w:color w:val="000000"/>
        </w:rPr>
        <w:t xml:space="preserve">Moderate for the importance of interaction quality; Low–Moderate for average attendance effects.</w:t>
      </w:r>
      <w:r>
        <w:rPr>
          <w:rFonts w:eastAsia="source serif 4" w:cs="source serif 4" w:ascii="source serif 4" w:hAnsi="source serif 4"/>
          <w:color w:val="000000"/>
        </w:rPr>
        <w:t xml:space="preserve"> Selection into childcare, family income, parental employment, local provision, and home-care quality complicate causal interpretation.</w:t>
      </w:r>
    </w:p>
    <w:p>
      <w:pPr>
        <w:spacing w:line="360" w:before="315" w:after="105" w:lineRule="auto"/>
        <w:ind w:left="-30"/>
        <w:jc w:val="left"/>
      </w:pPr>
      <w:bookmarkStart w:id="30" w:name="what_this_does_not_mean_4"/>
      <w:r>
        <w:rPr>
          <w:rFonts w:eastAsia="source serif 4" w:cs="source serif 4" w:ascii="source serif 4" w:hAnsi="source serif 4"/>
          <w:b/>
          <w:color w:val="000000"/>
          <w:sz w:val="24"/>
        </w:rPr>
        <w:t xml:space="preserve">What This Does Not Mean</w:t>
      </w:r>
      <w:bookmarkEnd w:id="30"/>
    </w:p>
    <w:p>
      <w:pPr>
        <w:spacing w:line="360" w:after="210" w:lineRule="auto"/>
      </w:pPr>
      <w:r>
        <w:rPr>
          <w:rFonts w:eastAsia="source serif 4" w:cs="source serif 4" w:ascii="source serif 4" w:hAnsi="source serif 4"/>
          <w:color w:val="000000"/>
        </w:rPr>
        <w:t xml:space="preserve">Childcare is neither inherently harmful nor inherently beneficial. More hours are not a reliable proxy for better or worse development.</w:t>
      </w:r>
    </w:p>
    <w:p>
      <w:pPr>
        <w:spacing w:line="360" w:before="315" w:after="105" w:lineRule="auto"/>
        <w:ind w:left="-30"/>
        <w:jc w:val="left"/>
      </w:pPr>
      <w:bookmarkStart w:id="31" w:name="what_action_is_reasonably_justified_4"/>
      <w:r>
        <w:rPr>
          <w:rFonts w:eastAsia="source serif 4" w:cs="source serif 4" w:ascii="source serif 4" w:hAnsi="source serif 4"/>
          <w:b/>
          <w:color w:val="000000"/>
          <w:sz w:val="24"/>
        </w:rPr>
        <w:t xml:space="preserve">What Action Is Reasonably Justified</w:t>
      </w:r>
      <w:bookmarkEnd w:id="31"/>
    </w:p>
    <w:p>
      <w:pPr>
        <w:spacing w:line="360" w:after="210" w:lineRule="auto"/>
      </w:pPr>
      <w:r>
        <w:rPr>
          <w:rFonts w:eastAsia="source serif 4" w:cs="source serif 4" w:ascii="source serif 4" w:hAnsi="source serif 4"/>
          <w:color w:val="000000"/>
        </w:rPr>
        <w:t xml:space="preserve">Improve staff-child interaction, training, ratios, group size, continuity, compensation, and family partnership while recognizing that structural improvements matter partly because they enable better process quality. Policies should support families' real choices rather than moralize attendance.</w:t>
      </w:r>
    </w:p>
    <w:p>
      <w:pPr>
        <w:spacing w:line="360" w:before="315" w:after="105" w:lineRule="auto"/>
        <w:ind w:left="-30"/>
        <w:jc w:val="left"/>
      </w:pPr>
      <w:bookmarkStart w:id="32" w:name="continuity_disruption_and_severe_8c5cea"/>
      <w:r>
        <w:rPr>
          <w:rFonts w:eastAsia="source serif 4" w:cs="source serif 4" w:ascii="source serif 4" w:hAnsi="source serif 4"/>
          <w:b/>
          <w:color w:val="000000"/>
          <w:sz w:val="24"/>
        </w:rPr>
        <w:t xml:space="preserve">Continuity, disruption, and severe deprivation</w:t>
      </w:r>
      <w:bookmarkEnd w:id="32"/>
    </w:p>
    <w:p>
      <w:pPr>
        <w:spacing w:line="360" w:before="315" w:after="105" w:lineRule="auto"/>
        <w:ind w:left="-30"/>
        <w:jc w:val="left"/>
      </w:pPr>
      <w:bookmarkStart w:id="33" w:name="what_we_know_5"/>
      <w:r>
        <w:rPr>
          <w:rFonts w:eastAsia="source serif 4" w:cs="source serif 4" w:ascii="source serif 4" w:hAnsi="source serif 4"/>
          <w:b/>
          <w:color w:val="000000"/>
          <w:sz w:val="24"/>
        </w:rPr>
        <w:t xml:space="preserve">What We Know</w:t>
      </w:r>
      <w:bookmarkEnd w:id="33"/>
    </w:p>
    <w:p>
      <w:pPr>
        <w:spacing w:line="360" w:after="210" w:lineRule="auto"/>
      </w:pPr>
      <w:r>
        <w:rPr>
          <w:rFonts w:eastAsia="source serif 4" w:cs="source serif 4" w:ascii="source serif 4" w:hAnsi="source serif 4"/>
          <w:color w:val="000000"/>
        </w:rPr>
        <w:t xml:space="preserve">The strongest causal evidence in the chapter comes from the Bucharest Early Intervention Project. Institutionalized children randomly assigned to quality foster care showed improved outcomes compared with care as usual, including more secure attachment; family placement, earlier placement, caregiving quality, and placement stability were important moderators. Recovery was substantial in some domains but incomplete in many.[</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15][^16]</w:t>
      </w:r>
    </w:p>
    <w:p>
      <w:pPr>
        <w:spacing w:line="360" w:before="315" w:after="105" w:lineRule="auto"/>
        <w:ind w:left="-30"/>
        <w:jc w:val="left"/>
      </w:pPr>
      <w:bookmarkStart w:id="34" w:name="how_confident_we_are_5"/>
      <w:r>
        <w:rPr>
          <w:rFonts w:eastAsia="source serif 4" w:cs="source serif 4" w:ascii="source serif 4" w:hAnsi="source serif 4"/>
          <w:b/>
          <w:color w:val="000000"/>
          <w:sz w:val="24"/>
        </w:rPr>
        <w:t xml:space="preserve">How Confident We Are</w:t>
      </w:r>
      <w:bookmarkEnd w:id="34"/>
    </w:p>
    <w:p>
      <w:pPr>
        <w:spacing w:line="360" w:after="210" w:lineRule="auto"/>
      </w:pPr>
      <w:r>
        <w:rPr>
          <w:rFonts w:eastAsia="source serif 4" w:cs="source serif 4" w:ascii="source serif 4" w:hAnsi="source serif 4"/>
          <w:b/>
          <w:color w:val="000000"/>
        </w:rPr>
        <w:t xml:space="preserve">High for the developmental danger of severe deprivation and the benefit of responsive family placement; Moderate for extrapolation to ordinary childcare or family transitions.</w:t>
      </w:r>
      <w:r>
        <w:rPr>
          <w:rFonts w:eastAsia="source serif 4" w:cs="source serif 4" w:ascii="source serif 4" w:hAnsi="source serif 4"/>
          <w:color w:val="000000"/>
        </w:rPr>
        <w:t xml:space="preserve"> Institutional care is an extreme exposure involving deprivation across several systems, not simply “many caregivers” or “nonparental care.”</w:t>
      </w:r>
    </w:p>
    <w:p>
      <w:pPr>
        <w:spacing w:line="360" w:before="315" w:after="105" w:lineRule="auto"/>
        <w:ind w:left="-30"/>
        <w:jc w:val="left"/>
      </w:pPr>
      <w:bookmarkStart w:id="35" w:name="what_this_does_not_mean_5"/>
      <w:r>
        <w:rPr>
          <w:rFonts w:eastAsia="source serif 4" w:cs="source serif 4" w:ascii="source serif 4" w:hAnsi="source serif 4"/>
          <w:b/>
          <w:color w:val="000000"/>
          <w:sz w:val="24"/>
        </w:rPr>
        <w:t xml:space="preserve">What This Does Not Mean</w:t>
      </w:r>
      <w:bookmarkEnd w:id="35"/>
    </w:p>
    <w:p>
      <w:pPr>
        <w:spacing w:line="360" w:after="210" w:lineRule="auto"/>
      </w:pPr>
      <w:r>
        <w:rPr>
          <w:rFonts w:eastAsia="source serif 4" w:cs="source serif 4" w:ascii="source serif 4" w:hAnsi="source serif 4"/>
          <w:color w:val="000000"/>
        </w:rPr>
        <w:t xml:space="preserve">Ordinary childcare, divorce, relocation, or a change of caregiver should not be equated with institutional deprivation. Early adversity does not make a fixed outcome inevitable, and recovery is not guaranteed by a single intervention.</w:t>
      </w:r>
    </w:p>
    <w:p>
      <w:pPr>
        <w:spacing w:line="360" w:before="315" w:after="105" w:lineRule="auto"/>
        <w:ind w:left="-30"/>
        <w:jc w:val="left"/>
      </w:pPr>
      <w:bookmarkStart w:id="36" w:name="what_action_is_reasonably_justified_5"/>
      <w:r>
        <w:rPr>
          <w:rFonts w:eastAsia="source serif 4" w:cs="source serif 4" w:ascii="source serif 4" w:hAnsi="source serif 4"/>
          <w:b/>
          <w:color w:val="000000"/>
          <w:sz w:val="24"/>
        </w:rPr>
        <w:t xml:space="preserve">What Action Is Reasonably Justified</w:t>
      </w:r>
      <w:bookmarkEnd w:id="36"/>
    </w:p>
    <w:p>
      <w:pPr>
        <w:spacing w:line="360" w:after="210" w:lineRule="auto"/>
      </w:pPr>
      <w:r>
        <w:rPr>
          <w:rFonts w:eastAsia="source serif 4" w:cs="source serif 4" w:ascii="source serif 4" w:hAnsi="source serif 4"/>
          <w:color w:val="000000"/>
        </w:rPr>
        <w:t xml:space="preserve">Prevent severe deprivation, prioritize stable family-based care, monitor placement quality and continuity, and provide sustained support rather than assuming that placement alone resolves developmental effects.</w:t>
      </w:r>
    </w:p>
    <w:p>
      <w:pPr>
        <w:spacing w:line="360" w:before="315" w:after="105" w:lineRule="auto"/>
        <w:ind w:left="-30"/>
        <w:jc w:val="left"/>
      </w:pPr>
      <w:bookmarkStart w:id="37" w:name="culture_developmental_niches_and_ecology"/>
      <w:r>
        <w:rPr>
          <w:rFonts w:eastAsia="source serif 4" w:cs="source serif 4" w:ascii="source serif 4" w:hAnsi="source serif 4"/>
          <w:b/>
          <w:color w:val="000000"/>
          <w:sz w:val="24"/>
        </w:rPr>
        <w:t xml:space="preserve">Culture, developmental niches, and ecology</w:t>
      </w:r>
      <w:bookmarkEnd w:id="37"/>
    </w:p>
    <w:p>
      <w:pPr>
        <w:spacing w:line="360" w:before="315" w:after="105" w:lineRule="auto"/>
        <w:ind w:left="-30"/>
        <w:jc w:val="left"/>
      </w:pPr>
      <w:bookmarkStart w:id="38" w:name="what_we_know_6"/>
      <w:r>
        <w:rPr>
          <w:rFonts w:eastAsia="source serif 4" w:cs="source serif 4" w:ascii="source serif 4" w:hAnsi="source serif 4"/>
          <w:b/>
          <w:color w:val="000000"/>
          <w:sz w:val="24"/>
        </w:rPr>
        <w:t xml:space="preserve">What We Know</w:t>
      </w:r>
      <w:bookmarkEnd w:id="38"/>
    </w:p>
    <w:p>
      <w:pPr>
        <w:spacing w:line="360" w:after="210" w:lineRule="auto"/>
      </w:pPr>
      <w:r>
        <w:rPr>
          <w:rFonts w:eastAsia="source serif 4" w:cs="source serif 4" w:ascii="source serif 4" w:hAnsi="source serif 4"/>
          <w:color w:val="000000"/>
        </w:rPr>
        <w:t xml:space="preserve">Developmental niche theory defines three interacting subsystems: the child's physical and social settings, culturally regulated caregiving customs, and caregiver psychology. Bronfenbrenner's ecological framework remains useful for organizing nested settings and their connections, but a framework is not itself evidence that every ecological layer has a separable causal effect.[</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18][^19]</w:t>
      </w:r>
    </w:p>
    <w:p>
      <w:pPr>
        <w:spacing w:line="360" w:after="210" w:lineRule="auto"/>
      </w:pPr>
      <w:r>
        <w:rPr>
          <w:rFonts w:eastAsia="source serif 4" w:cs="source serif 4" w:ascii="source serif 4" w:hAnsi="source serif 4"/>
          <w:color w:val="000000"/>
        </w:rPr>
        <w:t xml:space="preserve">Culture should be treated as an organizing system for everyday participation, expectations, language, autonomy, interdependence, and caregiving—not as a background variable or a ranking of families. The chapter should distinguish universal developmental processes from culturally variable forms, timing, goals, and interpretations.</w:t>
      </w:r>
    </w:p>
    <w:p>
      <w:pPr>
        <w:spacing w:line="360" w:before="315" w:after="105" w:lineRule="auto"/>
        <w:ind w:left="-30"/>
        <w:jc w:val="left"/>
      </w:pPr>
      <w:bookmarkStart w:id="39" w:name="how_confident_we_are_6"/>
      <w:r>
        <w:rPr>
          <w:rFonts w:eastAsia="source serif 4" w:cs="source serif 4" w:ascii="source serif 4" w:hAnsi="source serif 4"/>
          <w:b/>
          <w:color w:val="000000"/>
          <w:sz w:val="24"/>
        </w:rPr>
        <w:t xml:space="preserve">How Confident We Are</w:t>
      </w:r>
      <w:bookmarkEnd w:id="39"/>
    </w:p>
    <w:p>
      <w:pPr>
        <w:spacing w:line="360" w:after="210" w:lineRule="auto"/>
      </w:pPr>
      <w:r>
        <w:rPr>
          <w:rFonts w:eastAsia="source serif 4" w:cs="source serif 4" w:ascii="source serif 4" w:hAnsi="source serif 4"/>
          <w:b/>
          <w:color w:val="000000"/>
        </w:rPr>
        <w:t xml:space="preserve">Moderate conceptually; Low–Moderate for specific cross-cultural causal claims.</w:t>
      </w:r>
      <w:r>
        <w:rPr>
          <w:rFonts w:eastAsia="source serif 4" w:cs="source serif 4" w:ascii="source serif 4" w:hAnsi="source serif 4"/>
          <w:color w:val="000000"/>
        </w:rPr>
        <w:t xml:space="preserve"> Comparative research faces measurement non-equivalence, sampling imbalance, translation problems, and the risk of treating WEIRD norms as developmental standards.</w:t>
      </w:r>
    </w:p>
    <w:p>
      <w:pPr>
        <w:spacing w:line="360" w:before="315" w:after="105" w:lineRule="auto"/>
        <w:ind w:left="-30"/>
        <w:jc w:val="left"/>
      </w:pPr>
      <w:bookmarkStart w:id="40" w:name="what_action_is_reasonably_justified_6"/>
      <w:r>
        <w:rPr>
          <w:rFonts w:eastAsia="source serif 4" w:cs="source serif 4" w:ascii="source serif 4" w:hAnsi="source serif 4"/>
          <w:b/>
          <w:color w:val="000000"/>
          <w:sz w:val="24"/>
        </w:rPr>
        <w:t xml:space="preserve">What Action Is Reasonably Justified</w:t>
      </w:r>
      <w:bookmarkEnd w:id="40"/>
    </w:p>
    <w:p>
      <w:pPr>
        <w:spacing w:line="360" w:after="210" w:lineRule="auto"/>
      </w:pPr>
      <w:r>
        <w:rPr>
          <w:rFonts w:eastAsia="source serif 4" w:cs="source serif 4" w:ascii="source serif 4" w:hAnsi="source serif 4"/>
          <w:color w:val="000000"/>
        </w:rPr>
        <w:t xml:space="preserve">Use culturally responsive measures and avoid deficit language when developmental practices differ. Institutions should adapt services to families' social organization rather than requiring one culturally narrow model of participation.</w:t>
      </w:r>
    </w:p>
    <w:p>
      <w:pPr>
        <w:spacing w:line="360" w:before="315" w:after="105" w:lineRule="auto"/>
        <w:ind w:left="-30"/>
        <w:jc w:val="left"/>
      </w:pPr>
      <w:bookmarkStart w:id="41" w:name="inequality_and_opportunity"/>
      <w:r>
        <w:rPr>
          <w:rFonts w:eastAsia="source serif 4" w:cs="source serif 4" w:ascii="source serif 4" w:hAnsi="source serif 4"/>
          <w:b/>
          <w:color w:val="000000"/>
          <w:sz w:val="24"/>
        </w:rPr>
        <w:t xml:space="preserve">Inequality and opportunity</w:t>
      </w:r>
      <w:bookmarkEnd w:id="41"/>
    </w:p>
    <w:p>
      <w:pPr>
        <w:spacing w:line="360" w:before="315" w:after="105" w:lineRule="auto"/>
        <w:ind w:left="-30"/>
        <w:jc w:val="left"/>
      </w:pPr>
      <w:bookmarkStart w:id="42" w:name="what_we_know_7"/>
      <w:r>
        <w:rPr>
          <w:rFonts w:eastAsia="source serif 4" w:cs="source serif 4" w:ascii="source serif 4" w:hAnsi="source serif 4"/>
          <w:b/>
          <w:color w:val="000000"/>
          <w:sz w:val="24"/>
        </w:rPr>
        <w:t xml:space="preserve">What We Know</w:t>
      </w:r>
      <w:bookmarkEnd w:id="42"/>
    </w:p>
    <w:p>
      <w:pPr>
        <w:spacing w:line="360" w:after="210" w:lineRule="auto"/>
      </w:pPr>
      <w:r>
        <w:rPr>
          <w:rFonts w:eastAsia="source serif 4" w:cs="source serif 4" w:ascii="source serif 4" w:hAnsi="source serif 4"/>
          <w:color w:val="000000"/>
        </w:rPr>
        <w:t xml:space="preserve">Early developmental opportunity is patterned by household and neighborhood resources, parental employment and job strain, housing, education, wealth, and institutional access. A European review identified multiple household- and neighborhood-level social factors associated with adverse early health and developmental outcomes.[^20]</w:t>
      </w:r>
    </w:p>
    <w:p>
      <w:pPr>
        <w:spacing w:line="360" w:before="315" w:after="105" w:lineRule="auto"/>
        <w:ind w:left="-30"/>
        <w:jc w:val="left"/>
      </w:pPr>
      <w:bookmarkStart w:id="43" w:name="how_confident_we_are_7"/>
      <w:r>
        <w:rPr>
          <w:rFonts w:eastAsia="source serif 4" w:cs="source serif 4" w:ascii="source serif 4" w:hAnsi="source serif 4"/>
          <w:b/>
          <w:color w:val="000000"/>
          <w:sz w:val="24"/>
        </w:rPr>
        <w:t xml:space="preserve">How Confident We Are</w:t>
      </w:r>
      <w:bookmarkEnd w:id="43"/>
    </w:p>
    <w:p>
      <w:pPr>
        <w:spacing w:line="360" w:after="210" w:lineRule="auto"/>
      </w:pPr>
      <w:r>
        <w:rPr>
          <w:rFonts w:eastAsia="source serif 4" w:cs="source serif 4" w:ascii="source serif 4" w:hAnsi="source serif 4"/>
          <w:b/>
          <w:color w:val="000000"/>
        </w:rPr>
        <w:t xml:space="preserve">Moderate for the existence of social gradients; Low–Moderate for any single mechanism.</w:t>
      </w:r>
      <w:r>
        <w:rPr>
          <w:rFonts w:eastAsia="source serif 4" w:cs="source serif 4" w:ascii="source serif 4" w:hAnsi="source serif 4"/>
          <w:color w:val="000000"/>
        </w:rPr>
        <w:t xml:space="preserve"> Inequality operates through material conditions, stress, time, service access, neighborhood safety, discrimination, and relationship opportunities; it should not be reduced to parental behavior.</w:t>
      </w:r>
    </w:p>
    <w:p>
      <w:pPr>
        <w:spacing w:line="360" w:before="315" w:after="105" w:lineRule="auto"/>
        <w:ind w:left="-30"/>
        <w:jc w:val="left"/>
      </w:pPr>
      <w:bookmarkStart w:id="44" w:name="what_action_is_reasonably_justified_7"/>
      <w:r>
        <w:rPr>
          <w:rFonts w:eastAsia="source serif 4" w:cs="source serif 4" w:ascii="source serif 4" w:hAnsi="source serif 4"/>
          <w:b/>
          <w:color w:val="000000"/>
          <w:sz w:val="24"/>
        </w:rPr>
        <w:t xml:space="preserve">What Action Is Reasonably Justified</w:t>
      </w:r>
      <w:bookmarkEnd w:id="44"/>
    </w:p>
    <w:p>
      <w:pPr>
        <w:spacing w:line="360" w:after="210" w:lineRule="auto"/>
      </w:pPr>
      <w:r>
        <w:rPr>
          <w:rFonts w:eastAsia="source serif 4" w:cs="source serif 4" w:ascii="source serif 4" w:hAnsi="source serif 4"/>
          <w:color w:val="000000"/>
        </w:rPr>
        <w:t xml:space="preserve">Prioritize income, housing, health, leave, childcare affordability and quality, neighborhood safety, and accessible family services. The appropriate unit of intervention is often the developmental system, not the parent's isolated behavior.</w:t>
      </w:r>
    </w:p>
    <w:p>
      <w:pPr>
        <w:spacing w:line="360" w:before="315" w:after="105" w:lineRule="auto"/>
        <w:ind w:left="-30"/>
        <w:jc w:val="left"/>
      </w:pPr>
      <w:bookmarkStart w:id="45" w:name="causal_maps"/>
      <w:r>
        <w:rPr>
          <w:rFonts w:eastAsia="source serif 4" w:cs="source serif 4" w:ascii="source serif 4" w:hAnsi="source serif 4"/>
          <w:b/>
          <w:color w:val="000000"/>
          <w:sz w:val="24"/>
        </w:rPr>
        <w:t xml:space="preserve">Causal maps</w:t>
      </w:r>
      <w:bookmarkEnd w:id="45"/>
    </w:p>
    <w:p>
      <w:pPr>
        <w:spacing w:line="360" w:before="315" w:after="105" w:lineRule="auto"/>
        <w:ind w:left="-30"/>
        <w:jc w:val="left"/>
      </w:pPr>
      <w:bookmarkStart w:id="46" w:name="social_ecology"/>
      <w:r>
        <w:rPr>
          <w:rFonts w:eastAsia="source serif 4" w:cs="source serif 4" w:ascii="source serif 4" w:hAnsi="source serif 4"/>
          <w:b/>
          <w:color w:val="000000"/>
          <w:sz w:val="24"/>
        </w:rPr>
        <w:t xml:space="preserve">Social ecology</w:t>
      </w:r>
      <w:bookmarkEnd w:id="46"/>
    </w:p>
    <w:p>
      <w:pPr>
        <w:spacing w:line="360" w:after="210" w:lineRule="auto"/>
      </w:pPr>
      <w:r>
        <w:rPr>
          <w:rStyle w:val="VerbatimChar"/>
          <w:rFonts w:eastAsia="menlo" w:cs="menlo" w:ascii="menlo" w:hAnsi="menlo"/>
          <w:color w:val="000000"/>
          <w:sz w:val="18"/>
          <w:shd w:val="clear" w:color="auto" w:fill="F8F8FA"/>
        </w:rPr>
        <w:t xml:space="preserve">Resources and institutions -&gt; caregiver availability and stress -&gt; relationship quality and continuity -&gt; interaction opportunities -&gt; regulation, language, learning, and participation</w:t>
      </w:r>
    </w:p>
    <w:p>
      <w:pPr>
        <w:spacing w:line="360" w:after="210" w:lineRule="auto"/>
      </w:pPr>
      <w:r>
        <w:rPr>
          <w:rFonts w:eastAsia="source serif 4" w:cs="source serif 4" w:ascii="source serif 4" w:hAnsi="source serif 4"/>
          <w:color w:val="000000"/>
        </w:rPr>
        <w:t xml:space="preserve">The arrows should be presented as reciprocal. Child characteristics and behavior also influence caregiver responses, sibling interaction, peer acceptance, and childcare experience.</w:t>
      </w:r>
    </w:p>
    <w:p>
      <w:pPr>
        <w:spacing w:line="360" w:before="315" w:after="105" w:lineRule="auto"/>
        <w:ind w:left="-30"/>
        <w:jc w:val="left"/>
      </w:pPr>
      <w:bookmarkStart w:id="47" w:name="childcare"/>
      <w:r>
        <w:rPr>
          <w:rFonts w:eastAsia="source serif 4" w:cs="source serif 4" w:ascii="source serif 4" w:hAnsi="source serif 4"/>
          <w:b/>
          <w:color w:val="000000"/>
          <w:sz w:val="24"/>
        </w:rPr>
        <w:t xml:space="preserve">Childcare</w:t>
      </w:r>
      <w:bookmarkEnd w:id="47"/>
    </w:p>
    <w:p>
      <w:pPr>
        <w:spacing w:line="360" w:after="210" w:lineRule="auto"/>
      </w:pPr>
      <w:r>
        <w:rPr>
          <w:rStyle w:val="VerbatimChar"/>
          <w:rFonts w:eastAsia="menlo" w:cs="menlo" w:ascii="menlo" w:hAnsi="menlo"/>
          <w:color w:val="000000"/>
          <w:sz w:val="18"/>
          <w:shd w:val="clear" w:color="auto" w:fill="F8F8FA"/>
        </w:rPr>
        <w:t xml:space="preserve">Childcare access -&gt; type/timing/quantity -&gt; process quality and continuity -&gt; proximal interactions -&gt; developmental experiences -&gt; outcomes</w:t>
      </w:r>
    </w:p>
    <w:p>
      <w:pPr>
        <w:spacing w:line="360" w:after="210" w:lineRule="auto"/>
      </w:pPr>
      <w:r>
        <w:rPr>
          <w:rFonts w:eastAsia="source serif 4" w:cs="source serif 4" w:ascii="source serif 4" w:hAnsi="source serif 4"/>
          <w:color w:val="000000"/>
        </w:rPr>
        <w:t xml:space="preserve">Family selection, home environment, and policy context confound the path from attendance to outcomes. Quality is not a label attached to a center; it is partly an interactional process supported or constrained by structural conditions.</w:t>
      </w:r>
    </w:p>
    <w:p>
      <w:pPr>
        <w:spacing w:line="360" w:before="315" w:after="105" w:lineRule="auto"/>
        <w:ind w:left="-30"/>
        <w:jc w:val="left"/>
      </w:pPr>
      <w:bookmarkStart w:id="48" w:name="family_system"/>
      <w:r>
        <w:rPr>
          <w:rFonts w:eastAsia="source serif 4" w:cs="source serif 4" w:ascii="source serif 4" w:hAnsi="source serif 4"/>
          <w:b/>
          <w:color w:val="000000"/>
          <w:sz w:val="24"/>
        </w:rPr>
        <w:t xml:space="preserve">Family system</w:t>
      </w:r>
      <w:bookmarkEnd w:id="48"/>
    </w:p>
    <w:p>
      <w:pPr>
        <w:spacing w:line="360" w:after="210" w:lineRule="auto"/>
      </w:pPr>
      <w:r>
        <w:rPr>
          <w:rStyle w:val="VerbatimChar"/>
          <w:rFonts w:eastAsia="menlo" w:cs="menlo" w:ascii="menlo" w:hAnsi="menlo"/>
          <w:color w:val="000000"/>
          <w:sz w:val="18"/>
          <w:shd w:val="clear" w:color="auto" w:fill="F8F8FA"/>
        </w:rPr>
        <w:t xml:space="preserve">Parent characteristics &lt;-&gt; coparenting and family relationships &lt;-&gt; child behavior &lt;-&gt; caregiver responses &lt;-&gt; developmental outcomes</w:t>
      </w:r>
    </w:p>
    <w:p>
      <w:pPr>
        <w:spacing w:line="360" w:after="210" w:lineRule="auto"/>
      </w:pPr>
      <w:r>
        <w:rPr>
          <w:rFonts w:eastAsia="source serif 4" w:cs="source serif 4" w:ascii="source serif 4" w:hAnsi="source serif 4"/>
          <w:color w:val="000000"/>
        </w:rPr>
        <w:t xml:space="preserve">This map prevents father or mother effects from being interpreted as static, one-directional exposures.</w:t>
      </w:r>
    </w:p>
    <w:p>
      <w:pPr>
        <w:spacing w:line="360" w:before="315" w:after="105" w:lineRule="auto"/>
        <w:ind w:left="-30"/>
        <w:jc w:val="left"/>
      </w:pPr>
      <w:bookmarkStart w:id="49" w:name="culture_and_opportunity"/>
      <w:r>
        <w:rPr>
          <w:rFonts w:eastAsia="source serif 4" w:cs="source serif 4" w:ascii="source serif 4" w:hAnsi="source serif 4"/>
          <w:b/>
          <w:color w:val="000000"/>
          <w:sz w:val="24"/>
        </w:rPr>
        <w:t xml:space="preserve">Culture and opportunity</w:t>
      </w:r>
      <w:bookmarkEnd w:id="49"/>
    </w:p>
    <w:p>
      <w:pPr>
        <w:spacing w:line="360" w:after="210" w:lineRule="auto"/>
      </w:pPr>
      <w:r>
        <w:rPr>
          <w:rStyle w:val="VerbatimChar"/>
          <w:rFonts w:eastAsia="menlo" w:cs="menlo" w:ascii="menlo" w:hAnsi="menlo"/>
          <w:color w:val="000000"/>
          <w:sz w:val="18"/>
          <w:shd w:val="clear" w:color="auto" w:fill="F8F8FA"/>
        </w:rPr>
        <w:t xml:space="preserve">Cultural models + material resources + institutions -&gt; caregiving customs and available settings -&gt; daily participation -&gt; developmental pathways</w:t>
      </w:r>
    </w:p>
    <w:p>
      <w:pPr>
        <w:spacing w:line="360" w:after="210" w:lineRule="auto"/>
      </w:pPr>
      <w:r>
        <w:rPr>
          <w:rFonts w:eastAsia="source serif 4" w:cs="source serif 4" w:ascii="source serif 4" w:hAnsi="source serif 4"/>
          <w:color w:val="000000"/>
        </w:rPr>
        <w:t xml:space="preserve">The model should distinguish cultural meaning from measurable causal mediation and should not treat cultural difference as evidence of impairment.</w:t>
      </w:r>
    </w:p>
    <w:p>
      <w:pPr>
        <w:spacing w:line="360" w:before="315" w:after="105" w:lineRule="auto"/>
        <w:ind w:left="-30"/>
        <w:jc w:val="left"/>
      </w:pPr>
      <w:bookmarkStart w:id="50" w:name="developmental_timeline_revise_the_draft"/>
      <w:r>
        <w:rPr>
          <w:rFonts w:eastAsia="source serif 4" w:cs="source serif 4" w:ascii="source serif 4" w:hAnsi="source serif 4"/>
          <w:b/>
          <w:color w:val="000000"/>
          <w:sz w:val="24"/>
        </w:rPr>
        <w:t xml:space="preserve">Developmental timeline: revise the draft</w:t>
      </w:r>
      <w:bookmarkEnd w:id="50"/>
    </w:p>
    <w:p>
      <w:pPr>
        <w:spacing w:line="360" w:after="210" w:lineRule="auto"/>
      </w:pPr>
      <w:r>
        <w:rPr>
          <w:rFonts w:eastAsia="source serif 4" w:cs="source serif 4" w:ascii="source serif 4" w:hAnsi="source serif 4"/>
          <w:color w:val="000000"/>
        </w:rPr>
        <w:t xml:space="preserve">The proposed timeline is useful as a heuristic but should not imply rigid stage boundaries or that social expansion occurs only after six months. Newborns can experience care from several people, while peer-like social interest and institutional participation vary widely by context.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Better-supported formulation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 months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Recurrent caregivers and familiar social routines organize regulation; multiple relationships may already be present.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6–12 months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Social selectivity, shared attention, and recognition of familiar people become more visible; network structure remains culturally and familially variable.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Locomotion, imitation, gesture, and emerging language widen participation across caregivers and settings.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Reciprocal interaction with siblings and other children becomes more observable; childcare quality and continuity may shape repeated learning contexts.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24–36 months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Peer play, institutional participation, symbolic communication, and culturally organized expectations increasingly interact.</w:t>
            </w:r>
          </w:p>
        </w:tc>
      </w:tr>
    </w:tbl>
    <w:p>
      <w:pPr>
        <w:spacing w:lineRule="auto"/>
      </w:pPr>
    </w:p>
    <w:p>
      <w:pPr>
        <w:spacing w:line="360" w:before="315" w:after="105" w:lineRule="auto"/>
        <w:ind w:left="-30"/>
        <w:jc w:val="left"/>
      </w:pPr>
      <w:bookmarkStart w:id="51" w:name="claim_register_recommended_wording"/>
      <w:r>
        <w:rPr>
          <w:rFonts w:eastAsia="source serif 4" w:cs="source serif 4" w:ascii="source serif 4" w:hAnsi="source serif 4"/>
          <w:b/>
          <w:color w:val="000000"/>
          <w:sz w:val="24"/>
        </w:rPr>
        <w:t xml:space="preserve">Claim register: recommended wording</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claim</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 is distributed across recurrent relationships and settings, not confined to one dyad.</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can form meaningful relationships with multiple caregivers.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Fathers can contribute through several relational, caregiving, and resource pathways; average effects are heterogeneous.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Kin relationships can influence development, with effects dependent on role, context, and resources.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Sibling interaction creates distinctive opportunities for reciprocal learning, but independent causal effects are uncertain.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Peer interaction is increasingly relevant across toddlerhood and preschool, with bidirectional selection and influence.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Childcare outcomes depend on quality, context, family selection, and what care displaces.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Continuity and responsive relationships can support stability; disruption effects depend on timing, severity, and recovery conditions.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Cultural systems organize developmental experiences and expectations; difference is not deficit.</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inequality shapes developmental opportunity through interacting material, relational, and institutional pathways.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Severe relational and material deprivation can substantially alter trajectories, while early family placement can support partial or substantial recovery.</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High/Moderate by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 ecological model is a better organizing framework than a single-dyad model, but it does not replace causal analysis.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Moderate</w:t>
            </w:r>
          </w:p>
        </w:tc>
      </w:tr>
    </w:tbl>
    <w:p>
      <w:pPr>
        <w:spacing w:lineRule="auto"/>
      </w:pPr>
    </w:p>
    <w:p>
      <w:pPr>
        <w:spacing w:line="360" w:before="315" w:after="105" w:lineRule="auto"/>
        <w:ind w:left="-30"/>
        <w:jc w:val="left"/>
      </w:pPr>
      <w:bookmarkStart w:id="52" w:name="replication_and_controversy_register"/>
      <w:r>
        <w:rPr>
          <w:rFonts w:eastAsia="source serif 4" w:cs="source serif 4" w:ascii="source serif 4" w:hAnsi="source serif 4"/>
          <w:b/>
          <w:color w:val="000000"/>
          <w:sz w:val="24"/>
        </w:rPr>
        <w:t xml:space="preserve">Replication and controversy register</w:t>
      </w:r>
      <w:bookmarkEnd w:id="52"/>
    </w:p>
    <w:p>
      <w:pPr>
        <w:numPr>
          <w:ilvl w:val="0"/>
          <w:numId w:val="2"/>
        </w:numPr>
        <w:spacing w:line="360" w:before="105" w:after="105" w:lineRule="auto"/>
      </w:pPr>
      <w:r>
        <w:rPr>
          <w:rFonts w:eastAsia="source serif 4" w:cs="source serif 4" w:ascii="source serif 4" w:hAnsi="source serif 4"/>
          <w:b/>
          <w:color w:val="000000"/>
          <w:sz w:val="21"/>
        </w:rPr>
        <w:t xml:space="preserve">Attachment networks:</w:t>
      </w:r>
      <w:r>
        <w:rPr>
          <w:rFonts w:eastAsia="source serif 4" w:cs="source serif 4" w:ascii="source serif 4" w:hAnsi="source serif 4"/>
          <w:color w:val="000000"/>
          <w:sz w:val="21"/>
        </w:rPr>
        <w:t xml:space="preserve"> establish whether network-level measures predict outcomes beyond caregiver-specific sensitivity and security.</w:t>
      </w:r>
    </w:p>
    <w:p>
      <w:pPr>
        <w:numPr>
          <w:ilvl w:val="0"/>
          <w:numId w:val="2"/>
        </w:numPr>
        <w:spacing w:line="360" w:before="105" w:after="105" w:lineRule="auto"/>
      </w:pPr>
      <w:r>
        <w:rPr>
          <w:rFonts w:eastAsia="source serif 4" w:cs="source serif 4" w:ascii="source serif 4" w:hAnsi="source serif 4"/>
          <w:b/>
          <w:color w:val="000000"/>
          <w:sz w:val="21"/>
        </w:rPr>
        <w:t xml:space="preserve">Father effects:</w:t>
      </w:r>
      <w:r>
        <w:rPr>
          <w:rFonts w:eastAsia="source serif 4" w:cs="source serif 4" w:ascii="source serif 4" w:hAnsi="source serif 4"/>
          <w:color w:val="000000"/>
          <w:sz w:val="21"/>
        </w:rPr>
        <w:t xml:space="preserve"> separate direct caregiving from coparenting, income, residence, leave access, paternal mental health, and child-driven involvement.</w:t>
      </w:r>
    </w:p>
    <w:p>
      <w:pPr>
        <w:numPr>
          <w:ilvl w:val="0"/>
          <w:numId w:val="2"/>
        </w:numPr>
        <w:spacing w:line="360" w:before="105" w:after="105" w:lineRule="auto"/>
      </w:pPr>
      <w:r>
        <w:rPr>
          <w:rFonts w:eastAsia="source serif 4" w:cs="source serif 4" w:ascii="source serif 4" w:hAnsi="source serif 4"/>
          <w:b/>
          <w:color w:val="000000"/>
          <w:sz w:val="21"/>
        </w:rPr>
        <w:t xml:space="preserve">Grandparents and kin:</w:t>
      </w:r>
      <w:r>
        <w:rPr>
          <w:rFonts w:eastAsia="source serif 4" w:cs="source serif 4" w:ascii="source serif 4" w:hAnsi="source serif 4"/>
          <w:color w:val="000000"/>
          <w:sz w:val="21"/>
        </w:rPr>
        <w:t xml:space="preserve"> expand beyond U.S.-centered samples and distinguish caregiving, co-residence, financial support, and conflict.</w:t>
      </w:r>
    </w:p>
    <w:p>
      <w:pPr>
        <w:numPr>
          <w:ilvl w:val="0"/>
          <w:numId w:val="2"/>
        </w:numPr>
        <w:spacing w:line="360" w:before="105" w:after="105" w:lineRule="auto"/>
      </w:pPr>
      <w:r>
        <w:rPr>
          <w:rFonts w:eastAsia="source serif 4" w:cs="source serif 4" w:ascii="source serif 4" w:hAnsi="source serif 4"/>
          <w:b/>
          <w:color w:val="000000"/>
          <w:sz w:val="21"/>
        </w:rPr>
        <w:t xml:space="preserve">Siblings:</w:t>
      </w:r>
      <w:r>
        <w:rPr>
          <w:rFonts w:eastAsia="source serif 4" w:cs="source serif 4" w:ascii="source serif 4" w:hAnsi="source serif 4"/>
          <w:color w:val="000000"/>
          <w:sz w:val="21"/>
        </w:rPr>
        <w:t xml:space="preserve"> use longitudinal and genetically informed designs where possible; distinguish age spacing, temperament similarity, family stress, and reciprocal influence.</w:t>
      </w:r>
    </w:p>
    <w:p>
      <w:pPr>
        <w:numPr>
          <w:ilvl w:val="0"/>
          <w:numId w:val="2"/>
        </w:numPr>
        <w:spacing w:line="360" w:before="105" w:after="105" w:lineRule="auto"/>
      </w:pPr>
      <w:r>
        <w:rPr>
          <w:rFonts w:eastAsia="source serif 4" w:cs="source serif 4" w:ascii="source serif 4" w:hAnsi="source serif 4"/>
          <w:b/>
          <w:color w:val="000000"/>
          <w:sz w:val="21"/>
        </w:rPr>
        <w:t xml:space="preserve">Peers:</w:t>
      </w:r>
      <w:r>
        <w:rPr>
          <w:rFonts w:eastAsia="source serif 4" w:cs="source serif 4" w:ascii="source serif 4" w:hAnsi="source serif 4"/>
          <w:color w:val="000000"/>
          <w:sz w:val="21"/>
        </w:rPr>
        <w:t xml:space="preserve"> avoid projecting school-age peer processes into infancy; identify the developmental onset of reliable peer effects.</w:t>
      </w:r>
    </w:p>
    <w:p>
      <w:pPr>
        <w:numPr>
          <w:ilvl w:val="0"/>
          <w:numId w:val="2"/>
        </w:numPr>
        <w:spacing w:line="360" w:before="105" w:after="105" w:lineRule="auto"/>
      </w:pPr>
      <w:r>
        <w:rPr>
          <w:rFonts w:eastAsia="source serif 4" w:cs="source serif 4" w:ascii="source serif 4" w:hAnsi="source serif 4"/>
          <w:b/>
          <w:color w:val="000000"/>
          <w:sz w:val="21"/>
        </w:rPr>
        <w:t xml:space="preserve">Childcare:</w:t>
      </w:r>
      <w:r>
        <w:rPr>
          <w:rFonts w:eastAsia="source serif 4" w:cs="source serif 4" w:ascii="source serif 4" w:hAnsi="source serif 4"/>
          <w:color w:val="000000"/>
          <w:sz w:val="21"/>
        </w:rPr>
        <w:t xml:space="preserve"> compare attendance, process quality, structural quality, continuity, and home-care counterfactuals; report absolute and standardized effects.</w:t>
      </w:r>
    </w:p>
    <w:p>
      <w:pPr>
        <w:numPr>
          <w:ilvl w:val="0"/>
          <w:numId w:val="2"/>
        </w:numPr>
        <w:spacing w:line="360" w:before="105" w:after="105" w:lineRule="auto"/>
      </w:pPr>
      <w:r>
        <w:rPr>
          <w:rFonts w:eastAsia="source serif 4" w:cs="source serif 4" w:ascii="source serif 4" w:hAnsi="source serif 4"/>
          <w:b/>
          <w:color w:val="000000"/>
          <w:sz w:val="21"/>
        </w:rPr>
        <w:t xml:space="preserve">Culture:</w:t>
      </w:r>
      <w:r>
        <w:rPr>
          <w:rFonts w:eastAsia="source serif 4" w:cs="source serif 4" w:ascii="source serif 4" w:hAnsi="source serif 4"/>
          <w:color w:val="000000"/>
          <w:sz w:val="21"/>
        </w:rPr>
        <w:t xml:space="preserve"> test measurement equivalence and include non-WEIRD populations as theory-generating cases rather than deviations from a norm.</w:t>
      </w:r>
    </w:p>
    <w:p>
      <w:pPr>
        <w:numPr>
          <w:ilvl w:val="0"/>
          <w:numId w:val="2"/>
        </w:numPr>
        <w:spacing w:line="360" w:before="105" w:after="105" w:lineRule="auto"/>
      </w:pPr>
      <w:r>
        <w:rPr>
          <w:rFonts w:eastAsia="source serif 4" w:cs="source serif 4" w:ascii="source serif 4" w:hAnsi="source serif 4"/>
          <w:b/>
          <w:color w:val="000000"/>
          <w:sz w:val="21"/>
        </w:rPr>
        <w:t xml:space="preserve">Institutional recovery:</w:t>
      </w:r>
      <w:r>
        <w:rPr>
          <w:rFonts w:eastAsia="source serif 4" w:cs="source serif 4" w:ascii="source serif 4" w:hAnsi="source serif 4"/>
          <w:color w:val="000000"/>
          <w:sz w:val="21"/>
        </w:rPr>
        <w:t xml:space="preserve"> separate average recovery from individual trajectories, domain-specific plasticity, placement stability, and post-intervention support.</w:t>
      </w:r>
    </w:p>
    <w:p>
      <w:pPr>
        <w:spacing w:line="360" w:before="315" w:after="105" w:lineRule="auto"/>
        <w:ind w:left="-30"/>
        <w:jc w:val="left"/>
      </w:pPr>
      <w:bookmarkStart w:id="53" w:name="what_the_chapter_can_and_cannot_conclude"/>
      <w:r>
        <w:rPr>
          <w:rFonts w:eastAsia="source serif 4" w:cs="source serif 4" w:ascii="source serif 4" w:hAnsi="source serif 4"/>
          <w:b/>
          <w:color w:val="000000"/>
          <w:sz w:val="24"/>
        </w:rPr>
        <w:t xml:space="preserve">What the chapter can and cannot conclude</w:t>
      </w:r>
      <w:bookmarkEnd w:id="53"/>
    </w:p>
    <w:p>
      <w:pPr>
        <w:spacing w:line="360" w:before="315" w:after="105" w:lineRule="auto"/>
        <w:ind w:left="-30"/>
        <w:jc w:val="left"/>
      </w:pPr>
      <w:bookmarkStart w:id="54" w:name="supported_conclusion"/>
      <w:r>
        <w:rPr>
          <w:rFonts w:eastAsia="source serif 4" w:cs="source serif 4" w:ascii="source serif 4" w:hAnsi="source serif 4"/>
          <w:b/>
          <w:color w:val="000000"/>
          <w:sz w:val="24"/>
        </w:rPr>
        <w:t xml:space="preserve">Supported conclusion</w:t>
      </w:r>
      <w:bookmarkEnd w:id="54"/>
    </w:p>
    <w:p>
      <w:pPr>
        <w:spacing w:line="360" w:after="210" w:lineRule="auto"/>
      </w:pPr>
      <w:r>
        <w:rPr>
          <w:rFonts w:eastAsia="source serif 4" w:cs="source serif 4" w:ascii="source serif 4" w:hAnsi="source serif 4"/>
          <w:color w:val="000000"/>
        </w:rPr>
        <w:t xml:space="preserve">Children become participants in an expanding social ecology. Multiple caregivers, kin, siblings, peers, childcare providers, institutions, and cultural systems can provide different developmental experiences, but their contributions depend on interaction quality, continuity, coordination, child characteristics, and material conditions.</w:t>
      </w:r>
    </w:p>
    <w:p>
      <w:pPr>
        <w:spacing w:line="360" w:before="315" w:after="105" w:lineRule="auto"/>
        <w:ind w:left="-30"/>
        <w:jc w:val="left"/>
      </w:pPr>
      <w:bookmarkStart w:id="55" w:name="not_supported"/>
      <w:r>
        <w:rPr>
          <w:rFonts w:eastAsia="source serif 4" w:cs="source serif 4" w:ascii="source serif 4" w:hAnsi="source serif 4"/>
          <w:b/>
          <w:color w:val="000000"/>
          <w:sz w:val="24"/>
        </w:rPr>
        <w:t xml:space="preserve">Not supported</w:t>
      </w:r>
      <w:bookmarkEnd w:id="55"/>
    </w:p>
    <w:p>
      <w:pPr>
        <w:numPr>
          <w:ilvl w:val="0"/>
          <w:numId w:val="3"/>
        </w:numPr>
        <w:spacing w:line="360" w:before="105" w:after="105" w:lineRule="auto"/>
      </w:pPr>
      <w:r>
        <w:rPr>
          <w:rFonts w:eastAsia="source serif 4" w:cs="source serif 4" w:ascii="source serif 4" w:hAnsi="source serif 4"/>
          <w:color w:val="000000"/>
          <w:sz w:val="21"/>
        </w:rPr>
        <w:t xml:space="preserve">A larger caregiver network is always better.</w:t>
      </w:r>
    </w:p>
    <w:p>
      <w:pPr>
        <w:numPr>
          <w:ilvl w:val="0"/>
          <w:numId w:val="3"/>
        </w:numPr>
        <w:spacing w:line="360" w:before="105" w:after="105" w:lineRule="auto"/>
      </w:pPr>
      <w:r>
        <w:rPr>
          <w:rFonts w:eastAsia="source serif 4" w:cs="source serif 4" w:ascii="source serif 4" w:hAnsi="source serif 4"/>
          <w:color w:val="000000"/>
          <w:sz w:val="21"/>
        </w:rPr>
        <w:t xml:space="preserve">A single exclusive caregiver is necessary.</w:t>
      </w:r>
    </w:p>
    <w:p>
      <w:pPr>
        <w:numPr>
          <w:ilvl w:val="0"/>
          <w:numId w:val="3"/>
        </w:numPr>
        <w:spacing w:line="360" w:before="105" w:after="105" w:lineRule="auto"/>
      </w:pPr>
      <w:r>
        <w:rPr>
          <w:rFonts w:eastAsia="source serif 4" w:cs="source serif 4" w:ascii="source serif 4" w:hAnsi="source serif 4"/>
          <w:color w:val="000000"/>
          <w:sz w:val="21"/>
        </w:rPr>
        <w:t xml:space="preserve">Fathers and mothers have interchangeable or rigidly unique functions.</w:t>
      </w:r>
    </w:p>
    <w:p>
      <w:pPr>
        <w:numPr>
          <w:ilvl w:val="0"/>
          <w:numId w:val="3"/>
        </w:numPr>
        <w:spacing w:line="360" w:before="105" w:after="105" w:lineRule="auto"/>
      </w:pPr>
      <w:r>
        <w:rPr>
          <w:rFonts w:eastAsia="source serif 4" w:cs="source serif 4" w:ascii="source serif 4" w:hAnsi="source serif 4"/>
          <w:color w:val="000000"/>
          <w:sz w:val="21"/>
        </w:rPr>
        <w:t xml:space="preserve">Childcare attendance alone predicts developmental benefit or harm.</w:t>
      </w:r>
    </w:p>
    <w:p>
      <w:pPr>
        <w:numPr>
          <w:ilvl w:val="0"/>
          <w:numId w:val="3"/>
        </w:numPr>
        <w:spacing w:line="360" w:before="105" w:after="105" w:lineRule="auto"/>
      </w:pPr>
      <w:r>
        <w:rPr>
          <w:rFonts w:eastAsia="source serif 4" w:cs="source serif 4" w:ascii="source serif 4" w:hAnsi="source serif 4"/>
          <w:color w:val="000000"/>
          <w:sz w:val="21"/>
        </w:rPr>
        <w:t xml:space="preserve">Peer exposure automatically creates social competence.</w:t>
      </w:r>
    </w:p>
    <w:p>
      <w:pPr>
        <w:numPr>
          <w:ilvl w:val="0"/>
          <w:numId w:val="3"/>
        </w:numPr>
        <w:spacing w:line="360" w:before="105" w:after="105" w:lineRule="auto"/>
      </w:pPr>
      <w:r>
        <w:rPr>
          <w:rFonts w:eastAsia="source serif 4" w:cs="source serif 4" w:ascii="source serif 4" w:hAnsi="source serif 4"/>
          <w:color w:val="000000"/>
          <w:sz w:val="21"/>
        </w:rPr>
        <w:t xml:space="preserve">Cultural variation demonstrates developmental deficiency.</w:t>
      </w:r>
    </w:p>
    <w:p>
      <w:pPr>
        <w:numPr>
          <w:ilvl w:val="0"/>
          <w:numId w:val="3"/>
        </w:numPr>
        <w:spacing w:line="360" w:before="105" w:after="105" w:lineRule="auto"/>
      </w:pPr>
      <w:r>
        <w:rPr>
          <w:rFonts w:eastAsia="source serif 4" w:cs="source serif 4" w:ascii="source serif 4" w:hAnsi="source serif 4"/>
          <w:color w:val="000000"/>
          <w:sz w:val="21"/>
        </w:rPr>
        <w:t xml:space="preserve">Early instability determines lifelong outcomes.</w:t>
      </w:r>
    </w:p>
    <w:p>
      <w:pPr>
        <w:numPr>
          <w:ilvl w:val="0"/>
          <w:numId w:val="3"/>
        </w:numPr>
        <w:spacing w:line="360" w:before="105" w:after="105" w:lineRule="auto"/>
      </w:pPr>
      <w:r>
        <w:rPr>
          <w:rFonts w:eastAsia="source serif 4" w:cs="source serif 4" w:ascii="source serif 4" w:hAnsi="source serif 4"/>
          <w:color w:val="000000"/>
          <w:sz w:val="21"/>
        </w:rPr>
        <w:t xml:space="preserve">Social inequality can be explained by parenting quality.</w:t>
      </w:r>
    </w:p>
    <w:p>
      <w:pPr>
        <w:spacing w:line="360" w:before="315" w:after="105" w:lineRule="auto"/>
        <w:ind w:left="-30"/>
        <w:jc w:val="left"/>
      </w:pPr>
      <w:bookmarkStart w:id="56" w:name="parent_facing_translation_table"/>
      <w:r>
        <w:rPr>
          <w:rFonts w:eastAsia="source serif 4" w:cs="source serif 4" w:ascii="source serif 4" w:hAnsi="source serif 4"/>
          <w:b/>
          <w:color w:val="000000"/>
          <w:sz w:val="24"/>
        </w:rPr>
        <w:t xml:space="preserve">Parent-facing translation table</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finding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Proportionate translation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Multiple relationships can be meaningful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child may benefit from several familiar, responsive adults; there is no evidence-based requirement to manufacture a large network.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Quality matters more than labels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Ask whether the child is safe, known, comforted, engaged, and cared for consistently—not whether care is called “parental” or “childcare.”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Father involvement is heterogeneous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Sustained, sensitive participation matters more than performing a prescribed style of fatherhood.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Childcare effects are conditional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Evaluate actual interaction quality and continuity, not attendance as a moral 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Culture organizes development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Different caregiving goals and routines should not be treated as deficits without evidence of harm.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Inequality changes options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Families need material and institutional support; developmental outcomes are not simply tests of parental virtue.</w:t>
            </w:r>
          </w:p>
        </w:tc>
      </w:tr>
    </w:tbl>
    <w:p>
      <w:pPr>
        <w:spacing w:lineRule="auto"/>
      </w:pPr>
    </w:p>
    <w:p>
      <w:pPr>
        <w:spacing w:line="360" w:before="315" w:after="105" w:lineRule="auto"/>
        <w:ind w:left="-30"/>
        <w:jc w:val="left"/>
      </w:pPr>
      <w:bookmarkStart w:id="57" w:name="drafting_endpoint"/>
      <w:r>
        <w:rPr>
          <w:rFonts w:eastAsia="source serif 4" w:cs="source serif 4" w:ascii="source serif 4" w:hAnsi="source serif 4"/>
          <w:b/>
          <w:color w:val="000000"/>
          <w:sz w:val="24"/>
        </w:rPr>
        <w:t xml:space="preserve">Drafting endpoint</w:t>
      </w:r>
      <w:bookmarkEnd w:id="57"/>
    </w:p>
    <w:p>
      <w:pPr>
        <w:spacing w:line="360" w:after="210" w:lineRule="auto"/>
      </w:pPr>
      <w:r>
        <w:rPr>
          <w:rFonts w:eastAsia="source serif 4" w:cs="source serif 4" w:ascii="source serif 4" w:hAnsi="source serif 4"/>
          <w:color w:val="000000"/>
        </w:rPr>
        <w:t xml:space="preserve">The chapter can responsibly end with the following synthesis:</w:t>
      </w:r>
    </w:p>
    <w:p>
      <w:pPr>
        <w:spacing w:line="360" w:after="210" w:lineRule="auto"/>
        <w:ind w:left="630"/>
      </w:pPr>
      <w:r>
        <w:rPr>
          <w:rFonts w:eastAsia="source serif 4" w:cs="source serif 4" w:ascii="source serif 4" w:hAnsi="source serif 4"/>
          <w:color w:val="000000"/>
        </w:rPr>
        <w:t xml:space="preserve">Human development begins in intimate relationships, but it does not remain confined to them. As children grow, they participate in expanding networks of caregivers, siblings, peers, institutions, and cultural systems. These relationships create opportunities for regulation, communication, learning, and belonging, but their effects are conditional rather than automatic. No single relationship explains development by itself. Development reflects the ongoing interaction between the child and a widening social ecology—and the resources, policies, and cultural meanings that organize that ecology.</w:t>
      </w:r>
    </w:p>
    <w:p>
      <w:pPr>
        <w:spacing w:line="360" w:after="210" w:lineRule="auto"/>
      </w:pPr>
      <w:r>
        <w:rPr>
          <w:rFonts w:eastAsia="source serif 4" w:cs="source serif 4" w:ascii="source serif 4" w:hAnsi="source serif 4"/>
          <w:color w:val="000000"/>
        </w:rPr>
        <w:t xml:space="preserve">The strongest conceptual transition is therefore not “from parent to society,” but </w:t>
      </w:r>
      <w:r>
        <w:rPr>
          <w:rFonts w:eastAsia="source serif 4" w:cs="source serif 4" w:ascii="source serif 4" w:hAnsi="source serif 4"/>
          <w:b/>
          <w:color w:val="000000"/>
        </w:rPr>
        <w:t xml:space="preserve">from one relationship as the presumed unit of analysis to the child-in-network as a more adequate developmental object</w:t>
      </w:r>
      <w:r>
        <w:rPr>
          <w:rFonts w:eastAsia="source serif 4" w:cs="source serif 4" w:ascii="source serif 4" w:hAnsi="source serif 4"/>
          <w:color w:val="000000"/>
        </w:rPr>
        <w:t xml:space="preserve">. Chapter 9 can then ask how children regulate emotion within this ecology, without implying that the ecology has a single uniform effect.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references"/>
      <w:r>
        <w:rPr>
          <w:rFonts w:eastAsia="source serif 4" w:cs="source serif 4" w:ascii="source serif 4" w:hAnsi="source serif 4"/>
          <w:b/>
          <w:color w:val="000000"/>
          <w:sz w:val="24"/>
        </w:rPr>
        <w:t xml:space="preserve">References</w:t>
      </w:r>
      <w:bookmarkEnd w:id="58"/>
    </w:p>
    <w:p>
      <w:pPr>
        <w:numPr>
          <w:ilvl w:val="0"/>
          <w:numId w:val="4"/>
        </w:numPr>
        <w:spacing w:line="360" w:after="210" w:lineRule="auto"/>
      </w:pPr>
      <w:hyperlink r:id="rId5">
        <w:r>
          <w:rPr>
            <w:rFonts w:eastAsia="source sans 3" w:cs="source sans 3" w:ascii="source sans 3" w:hAnsi="source sans 3"/>
            <w:color w:val="#000"/>
            <w:sz w:val="21"/>
            <w:u w:val="single"/>
          </w:rPr>
          <w:t xml:space="preserve">Early attachment networks to multiple caregivers</w:t>
        </w:r>
      </w:hyperlink>
    </w:p>
    <w:p>
      <w:pPr>
        <w:numPr>
          <w:ilvl w:val="0"/>
          <w:numId w:val="4"/>
        </w:numPr>
        <w:spacing w:line="360" w:after="210" w:lineRule="auto"/>
      </w:pPr>
      <w:hyperlink r:id="rId6">
        <w:r>
          <w:rPr>
            <w:rFonts w:eastAsia="source sans 3" w:cs="source sans 3" w:ascii="source sans 3" w:hAnsi="source sans 3"/>
            <w:color w:val="#000"/>
            <w:sz w:val="21"/>
            <w:u w:val="single"/>
          </w:rPr>
          <w:t xml:space="preserve">Early attachment networks to multiple caregivers: History, assessment models, and future research recommendations</w:t>
        </w:r>
      </w:hyperlink>
    </w:p>
    <w:p>
      <w:pPr>
        <w:numPr>
          <w:ilvl w:val="0"/>
          <w:numId w:val="4"/>
        </w:numPr>
        <w:spacing w:line="360" w:after="210" w:lineRule="auto"/>
      </w:pPr>
      <w:hyperlink r:id="rId7">
        <w:r>
          <w:rPr>
            <w:rFonts w:eastAsia="source sans 3" w:cs="source sans 3" w:ascii="source sans 3" w:hAnsi="source sans 3"/>
            <w:color w:val="#000"/>
            <w:sz w:val="21"/>
            <w:u w:val="single"/>
          </w:rPr>
          <w:t xml:space="preserve">The longitudinal and concurrent relationship between caregiver ...</w:t>
        </w:r>
      </w:hyperlink>
      <w:r>
        <w:rPr>
          <w:rFonts w:eastAsia="source serif 4" w:cs="source serif 4" w:ascii="source serif 4" w:hAnsi="source serif 4"/>
          <w:color w:val="000000"/>
          <w:sz w:val="21"/>
        </w:rPr>
        <w:t xml:space="preserve"> - The present study aimed to systematically review and meta-analyze the concurrent and longitudinal re...</w:t>
      </w:r>
    </w:p>
    <w:p>
      <w:pPr>
        <w:numPr>
          <w:ilvl w:val="0"/>
          <w:numId w:val="4"/>
        </w:numPr>
        <w:spacing w:line="360" w:after="210" w:lineRule="auto"/>
      </w:pPr>
      <w:hyperlink r:id="rId8">
        <w:r>
          <w:rPr>
            <w:rFonts w:eastAsia="source sans 3" w:cs="source sans 3" w:ascii="source sans 3" w:hAnsi="source sans 3"/>
            <w:color w:val="#000"/>
            <w:sz w:val="21"/>
            <w:u w:val="single"/>
          </w:rPr>
          <w:t xml:space="preserve">Attachment Relationship Quality with Mothers and Fathers and Child ...</w:t>
        </w:r>
      </w:hyperlink>
      <w:r>
        <w:rPr>
          <w:rFonts w:eastAsia="source serif 4" w:cs="source serif 4" w:ascii="source serif 4" w:hAnsi="source serif 4"/>
          <w:color w:val="000000"/>
          <w:sz w:val="21"/>
        </w:rPr>
        <w:t xml:space="preserve"> - A growing body of research suggests that, compared with single parent-child attachment relationships...</w:t>
      </w:r>
    </w:p>
    <w:p>
      <w:pPr>
        <w:numPr>
          <w:ilvl w:val="0"/>
          <w:numId w:val="4"/>
        </w:numPr>
        <w:spacing w:line="360" w:after="210" w:lineRule="auto"/>
      </w:pPr>
      <w:hyperlink r:id="rId9">
        <w:r>
          <w:rPr>
            <w:rFonts w:eastAsia="source sans 3" w:cs="source sans 3" w:ascii="source sans 3" w:hAnsi="source sans 3"/>
            <w:color w:val="#000"/>
            <w:sz w:val="21"/>
            <w:u w:val="single"/>
          </w:rPr>
          <w:t xml:space="preserve">Fathers' Sensitive Parenting and the Development of Early ...</w:t>
        </w:r>
      </w:hyperlink>
      <w:r>
        <w:rPr>
          <w:rFonts w:eastAsia="source serif 4" w:cs="source serif 4" w:ascii="source serif 4" w:hAnsi="source serif 4"/>
          <w:color w:val="000000"/>
          <w:sz w:val="21"/>
        </w:rPr>
        <w:t xml:space="preserve"> - Using data from a diverse sample of 620 families residing in rural, predominately low-income communi...</w:t>
      </w:r>
    </w:p>
    <w:p>
      <w:pPr>
        <w:numPr>
          <w:ilvl w:val="0"/>
          <w:numId w:val="4"/>
        </w:numPr>
        <w:spacing w:line="360" w:after="210" w:lineRule="auto"/>
      </w:pPr>
      <w:hyperlink r:id="rId10">
        <w:r>
          <w:rPr>
            <w:rFonts w:eastAsia="source sans 3" w:cs="source sans 3" w:ascii="source sans 3" w:hAnsi="source sans 3"/>
            <w:color w:val="#000"/>
            <w:sz w:val="21"/>
            <w:u w:val="single"/>
          </w:rPr>
          <w:t xml:space="preserve">Father Involvement During Early Childhood and Its Association with Children's Early Learning: A Meta-Analysis</w:t>
        </w:r>
      </w:hyperlink>
      <w:r>
        <w:rPr>
          <w:rFonts w:eastAsia="source serif 4" w:cs="source serif 4" w:ascii="source serif 4" w:hAnsi="source serif 4"/>
          <w:color w:val="000000"/>
          <w:sz w:val="21"/>
        </w:rPr>
        <w:t xml:space="preserve"> - Research Findings: In the present meta-analysis, information from 21 studies (representing 22 separa...</w:t>
      </w:r>
    </w:p>
    <w:p>
      <w:pPr>
        <w:numPr>
          <w:ilvl w:val="0"/>
          <w:numId w:val="4"/>
        </w:numPr>
        <w:spacing w:line="360" w:after="210" w:lineRule="auto"/>
      </w:pPr>
      <w:hyperlink r:id="rId11">
        <w:r>
          <w:rPr>
            <w:rFonts w:eastAsia="source sans 3" w:cs="source sans 3" w:ascii="source sans 3" w:hAnsi="source sans 3"/>
            <w:color w:val="#000"/>
            <w:sz w:val="21"/>
            <w:u w:val="single"/>
          </w:rPr>
          <w:t xml:space="preserve">Father involvement and emotion regulation during early ... - PMC</w:t>
        </w:r>
      </w:hyperlink>
      <w:r>
        <w:rPr>
          <w:rFonts w:eastAsia="source serif 4" w:cs="source serif 4" w:ascii="source serif 4" w:hAnsi="source serif 4"/>
          <w:color w:val="000000"/>
          <w:sz w:val="21"/>
        </w:rPr>
        <w:t xml:space="preserve"> - Father involvement, defined in terms of both the quantity and quality of ways in which fathers may b...</w:t>
      </w:r>
    </w:p>
    <w:p>
      <w:pPr>
        <w:numPr>
          <w:ilvl w:val="0"/>
          <w:numId w:val="4"/>
        </w:numPr>
        <w:spacing w:line="360" w:after="210" w:lineRule="auto"/>
      </w:pPr>
      <w:hyperlink r:id="rId12">
        <w:r>
          <w:rPr>
            <w:rFonts w:eastAsia="source sans 3" w:cs="source sans 3" w:ascii="source sans 3" w:hAnsi="source sans 3"/>
            <w:color w:val="#000"/>
            <w:sz w:val="21"/>
            <w:u w:val="single"/>
          </w:rPr>
          <w:t xml:space="preserve">How Do Grandparents Influence Child Health and Development? A Systematic Review</w:t>
        </w:r>
      </w:hyperlink>
    </w:p>
    <w:p>
      <w:pPr>
        <w:numPr>
          <w:ilvl w:val="0"/>
          <w:numId w:val="4"/>
        </w:numPr>
        <w:spacing w:line="360" w:after="210" w:lineRule="auto"/>
      </w:pPr>
      <w:hyperlink r:id="rId13">
        <w:r>
          <w:rPr>
            <w:rFonts w:eastAsia="source sans 3" w:cs="source sans 3" w:ascii="source sans 3" w:hAnsi="source sans 3"/>
            <w:color w:val="#000"/>
            <w:sz w:val="21"/>
            <w:u w:val="single"/>
          </w:rPr>
          <w:t xml:space="preserve">Observation of Early Social Interactions in Sibling Dyads</w:t>
        </w:r>
      </w:hyperlink>
      <w:r>
        <w:rPr>
          <w:rFonts w:eastAsia="source serif 4" w:cs="source serif 4" w:ascii="source serif 4" w:hAnsi="source serif 4"/>
          <w:color w:val="000000"/>
          <w:sz w:val="21"/>
        </w:rPr>
        <w:t xml:space="preserve"> - Sibling relationships provide unique social experiences that can vary across the lifespan. Early sib...</w:t>
      </w:r>
    </w:p>
    <w:p>
      <w:pPr>
        <w:numPr>
          <w:ilvl w:val="0"/>
          <w:numId w:val="4"/>
        </w:numPr>
        <w:spacing w:line="360" w:after="210" w:lineRule="auto"/>
      </w:pPr>
      <w:hyperlink r:id="rId14">
        <w:r>
          <w:rPr>
            <w:rFonts w:eastAsia="source sans 3" w:cs="source sans 3" w:ascii="source sans 3" w:hAnsi="source sans 3"/>
            <w:color w:val="#000"/>
            <w:sz w:val="21"/>
            <w:u w:val="single"/>
          </w:rPr>
          <w:t xml:space="preserve">Developmental Relations between Children's Peer Relationship ...</w:t>
        </w:r>
      </w:hyperlink>
      <w:r>
        <w:rPr>
          <w:rFonts w:eastAsia="source serif 4" w:cs="source serif 4" w:ascii="source serif 4" w:hAnsi="source serif 4"/>
          <w:color w:val="000000"/>
          <w:sz w:val="21"/>
        </w:rPr>
        <w:t xml:space="preserve"> - Positive peer relationships are important for children's prosocial development, yet the mechanisms t...</w:t>
      </w:r>
    </w:p>
    <w:p>
      <w:pPr>
        <w:numPr>
          <w:ilvl w:val="0"/>
          <w:numId w:val="4"/>
        </w:numPr>
        <w:spacing w:line="360" w:after="210" w:lineRule="auto"/>
      </w:pPr>
      <w:hyperlink r:id="rId15">
        <w:r>
          <w:rPr>
            <w:rFonts w:eastAsia="source sans 3" w:cs="source sans 3" w:ascii="source sans 3" w:hAnsi="source sans 3"/>
            <w:color w:val="#000"/>
            <w:sz w:val="21"/>
            <w:u w:val="single"/>
          </w:rPr>
          <w:t xml:space="preserve">[PDF] The NICHD Study of Early Child Care and Youth Development</w:t>
        </w:r>
      </w:hyperlink>
    </w:p>
    <w:p>
      <w:pPr>
        <w:numPr>
          <w:ilvl w:val="0"/>
          <w:numId w:val="4"/>
        </w:numPr>
        <w:spacing w:line="360" w:after="210" w:lineRule="auto"/>
      </w:pPr>
      <w:hyperlink r:id="rId16">
        <w:r>
          <w:rPr>
            <w:rFonts w:eastAsia="source sans 3" w:cs="source sans 3" w:ascii="source sans 3" w:hAnsi="source sans 3"/>
            <w:color w:val="#000"/>
            <w:sz w:val="21"/>
            <w:u w:val="single"/>
          </w:rPr>
          <w:t xml:space="preserve">The Impact of Process Quality in Early Childhood Education ...</w:t>
        </w:r>
      </w:hyperlink>
      <w:r>
        <w:rPr>
          <w:rFonts w:eastAsia="source serif 4" w:cs="source serif 4" w:ascii="source serif 4" w:hAnsi="source serif 4"/>
          <w:color w:val="000000"/>
          <w:sz w:val="21"/>
        </w:rPr>
        <w:t xml:space="preserve"> - by RMV Sluiter · 2025 · Cited by 30 — We investigated the relationship between process quality in ea...</w:t>
      </w:r>
    </w:p>
    <w:p>
      <w:pPr>
        <w:numPr>
          <w:ilvl w:val="0"/>
          <w:numId w:val="4"/>
        </w:numPr>
        <w:spacing w:line="360" w:after="210" w:lineRule="auto"/>
      </w:pPr>
      <w:hyperlink r:id="rId17">
        <w:r>
          <w:rPr>
            <w:rFonts w:eastAsia="source sans 3" w:cs="source sans 3" w:ascii="source sans 3" w:hAnsi="source sans 3"/>
            <w:color w:val="#000"/>
            <w:sz w:val="21"/>
            <w:u w:val="single"/>
          </w:rPr>
          <w:t xml:space="preserve">Impact of Process Quality in Early Childhood Education and ...</w:t>
        </w:r>
      </w:hyperlink>
      <w:r>
        <w:rPr>
          <w:rFonts w:eastAsia="source serif 4" w:cs="source serif 4" w:ascii="source serif 4" w:hAnsi="source serif 4"/>
          <w:color w:val="000000"/>
          <w:sz w:val="21"/>
        </w:rPr>
        <w:t xml:space="preserve"> - Abstract. This meta-analysis studies the association of pedagogical processes in early childhood car...</w:t>
      </w:r>
    </w:p>
    <w:p>
      <w:pPr>
        <w:numPr>
          <w:ilvl w:val="0"/>
          <w:numId w:val="4"/>
        </w:numPr>
        <w:spacing w:line="360" w:after="210" w:lineRule="auto"/>
      </w:pPr>
      <w:hyperlink r:id="rId18">
        <w:r>
          <w:rPr>
            <w:rFonts w:eastAsia="source sans 3" w:cs="source sans 3" w:ascii="source sans 3" w:hAnsi="source sans 3"/>
            <w:color w:val="#000"/>
            <w:sz w:val="21"/>
            <w:u w:val="single"/>
          </w:rPr>
          <w:t xml:space="preserve">Recovery from Severe Deprivation: The Bucharest Early ...</w:t>
        </w:r>
      </w:hyperlink>
      <w:r>
        <w:rPr>
          <w:rFonts w:eastAsia="source serif 4" w:cs="source serif 4" w:ascii="source serif 4" w:hAnsi="source serif 4"/>
          <w:color w:val="000000"/>
          <w:sz w:val="21"/>
        </w:rPr>
        <w:t xml:space="preserve"> - The BEIP assessed the impacts of institutional care and an FC intervention from infancy through adol...</w:t>
      </w:r>
    </w:p>
    <w:p>
      <w:pPr>
        <w:numPr>
          <w:ilvl w:val="0"/>
          <w:numId w:val="4"/>
        </w:numPr>
        <w:spacing w:line="360" w:after="210" w:lineRule="auto"/>
      </w:pPr>
      <w:hyperlink r:id="rId19">
        <w:r>
          <w:rPr>
            <w:rFonts w:eastAsia="source sans 3" w:cs="source sans 3" w:ascii="source sans 3" w:hAnsi="source sans 3"/>
            <w:color w:val="#000"/>
            <w:sz w:val="21"/>
            <w:u w:val="single"/>
          </w:rPr>
          <w:t xml:space="preserve">Alternatives for Abandoned Children: Insights from the Bucharest ...</w:t>
        </w:r>
      </w:hyperlink>
      <w:r>
        <w:rPr>
          <w:rFonts w:eastAsia="source serif 4" w:cs="source serif 4" w:ascii="source serif 4" w:hAnsi="source serif 4"/>
          <w:color w:val="000000"/>
          <w:sz w:val="21"/>
        </w:rPr>
        <w:t xml:space="preserve"> - The Bucharest Early Intervention Project is the first and only randomized controlled trial of foster...</w:t>
      </w:r>
    </w:p>
    <w:p>
      <w:pPr>
        <w:numPr>
          <w:ilvl w:val="0"/>
          <w:numId w:val="4"/>
        </w:numPr>
        <w:spacing w:line="360" w:after="210" w:lineRule="auto"/>
      </w:pPr>
      <w:hyperlink r:id="rId20">
        <w:r>
          <w:rPr>
            <w:rFonts w:eastAsia="source sans 3" w:cs="source sans 3" w:ascii="source sans 3" w:hAnsi="source sans 3"/>
            <w:color w:val="#000"/>
            <w:sz w:val="21"/>
            <w:u w:val="single"/>
          </w:rPr>
          <w:t xml:space="preserve">The Effects of Psychosocial Deprivation on Attachment - PMC - NIH</w:t>
        </w:r>
      </w:hyperlink>
      <w:r>
        <w:rPr>
          <w:rFonts w:eastAsia="source serif 4" w:cs="source serif 4" w:ascii="source serif 4" w:hAnsi="source serif 4"/>
          <w:color w:val="000000"/>
          <w:sz w:val="21"/>
        </w:rPr>
        <w:t xml:space="preserve"> - The absence of typical caregiving, including warm and responsive parenting, has been suggested to si...</w:t>
      </w:r>
    </w:p>
    <w:p>
      <w:pPr>
        <w:numPr>
          <w:ilvl w:val="0"/>
          <w:numId w:val="4"/>
        </w:numPr>
        <w:spacing w:line="360" w:after="210" w:lineRule="auto"/>
      </w:pPr>
      <w:hyperlink r:id="rId21">
        <w:r>
          <w:rPr>
            <w:rFonts w:eastAsia="source sans 3" w:cs="source sans 3" w:ascii="source sans 3" w:hAnsi="source sans 3"/>
            <w:color w:val="#000"/>
            <w:sz w:val="21"/>
            <w:u w:val="single"/>
          </w:rPr>
          <w:t xml:space="preserve">Developmental-Niche-1986.pdf</w:t>
        </w:r>
      </w:hyperlink>
    </w:p>
    <w:p>
      <w:pPr>
        <w:numPr>
          <w:ilvl w:val="0"/>
          <w:numId w:val="4"/>
        </w:numPr>
        <w:spacing w:line="360" w:after="210" w:lineRule="auto"/>
      </w:pPr>
      <w:hyperlink r:id="rId22">
        <w:r>
          <w:rPr>
            <w:rFonts w:eastAsia="source sans 3" w:cs="source sans 3" w:ascii="source sans 3" w:hAnsi="source sans 3"/>
            <w:color w:val="#000"/>
            <w:sz w:val="21"/>
            <w:u w:val="single"/>
          </w:rPr>
          <w:t xml:space="preserve">The Developmental Niche: A Conceptualization at the ...</w:t>
        </w:r>
      </w:hyperlink>
      <w:r>
        <w:rPr>
          <w:rFonts w:eastAsia="source serif 4" w:cs="source serif 4" w:ascii="source serif 4" w:hAnsi="source serif 4"/>
          <w:color w:val="000000"/>
          <w:sz w:val="21"/>
        </w:rPr>
        <w:t xml:space="preserve"> - Introduces the concept of "developmental niche" as a framework for examining the cultural structurin...</w:t>
      </w:r>
    </w:p>
    <w:p>
      <w:pPr>
        <w:numPr>
          <w:ilvl w:val="0"/>
          <w:numId w:val="4"/>
        </w:numPr>
        <w:spacing w:line="360" w:after="210" w:lineRule="auto"/>
      </w:pPr>
      <w:hyperlink r:id="rId23">
        <w:r>
          <w:rPr>
            <w:rFonts w:eastAsia="source sans 3" w:cs="source sans 3" w:ascii="source sans 3" w:hAnsi="source sans 3"/>
            <w:color w:val="#000"/>
            <w:sz w:val="21"/>
            <w:u w:val="single"/>
          </w:rPr>
          <w:t xml:space="preserve">Review of studies applying Bronfenbrenner's bioecological ...</w:t>
        </w:r>
      </w:hyperlink>
      <w:r>
        <w:rPr>
          <w:rFonts w:eastAsia="source serif 4" w:cs="source serif 4" w:ascii="source serif 4" w:hAnsi="source serif 4"/>
          <w:color w:val="000000"/>
          <w:sz w:val="21"/>
        </w:rPr>
        <w:t xml:space="preserve"> - The Russian-born American psychologist Bronfenbrenner's bioecological perspective on human developme...</w:t>
      </w:r>
    </w:p>
    <w:p>
      <w:pPr>
        <w:numPr>
          <w:ilvl w:val="0"/>
          <w:numId w:val="4"/>
        </w:numPr>
        <w:spacing w:line="360" w:after="210" w:lineRule="auto"/>
      </w:pPr>
      <w:hyperlink r:id="rId24">
        <w:r>
          <w:rPr>
            <w:rFonts w:eastAsia="source sans 3" w:cs="source sans 3" w:ascii="source sans 3" w:hAnsi="source sans 3"/>
            <w:color w:val="#000"/>
            <w:sz w:val="21"/>
            <w:u w:val="single"/>
          </w:rPr>
          <w:t xml:space="preserve">Social inequalities in early childhood health and ...</w:t>
        </w:r>
      </w:hyperlink>
      <w:r>
        <w:rPr>
          <w:rFonts w:eastAsia="source serif 4" w:cs="source serif 4" w:ascii="source serif 4" w:hAnsi="source serif 4"/>
          <w:color w:val="000000"/>
          <w:sz w:val="21"/>
        </w:rPr>
        <w:t xml:space="preserve"> - by D Pillas · 2014 · Cited by 360 — This review aims to identify the key social factors operating at...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ordagan.com/uploads/1/3/3/4/133400866/early_attachment_networks_to_multiple_caregivers_review_dagan_sagi_schwartz_2022.pdf" TargetMode="External"/><Relationship Id="rId6" Type="http://schemas.openxmlformats.org/officeDocument/2006/relationships/hyperlink" Target="https://onlinelibrary.wiley.com/doi/10.1002/cad.20446" TargetMode="External"/><Relationship Id="rId7" Type="http://schemas.openxmlformats.org/officeDocument/2006/relationships/hyperlink" Target="https://pmc.ncbi.nlm.nih.gov/articles/PMC7822304/" TargetMode="External"/><Relationship Id="rId8" Type="http://schemas.openxmlformats.org/officeDocument/2006/relationships/hyperlink" Target="https://pmc.ncbi.nlm.nih.gov/articles/PMC12076190/" TargetMode="External"/><Relationship Id="rId9" Type="http://schemas.openxmlformats.org/officeDocument/2006/relationships/hyperlink" Target="https://pmc.ncbi.nlm.nih.gov/articles/PMC4261022/" TargetMode="External"/><Relationship Id="rId10" Type="http://schemas.openxmlformats.org/officeDocument/2006/relationships/hyperlink" Target="https://www.tandfonline.com/doi/full/10.1080/10409289.2013.746932" TargetMode="External"/><Relationship Id="rId11" Type="http://schemas.openxmlformats.org/officeDocument/2006/relationships/hyperlink" Target="https://pmc.ncbi.nlm.nih.gov/articles/PMC11575111/" TargetMode="External"/><Relationship Id="rId12" Type="http://schemas.openxmlformats.org/officeDocument/2006/relationships/hyperlink" Target="https://chns.cpc.unc.edu/resources/publications/bib/2977/" TargetMode="External"/><Relationship Id="rId13" Type="http://schemas.openxmlformats.org/officeDocument/2006/relationships/hyperlink" Target="https://pubmed.ncbi.nlm.nih.gov/38043094/" TargetMode="External"/><Relationship Id="rId14" Type="http://schemas.openxmlformats.org/officeDocument/2006/relationships/hyperlink" Target="https://pubmed.ncbi.nlm.nih.gov/35088652/" TargetMode="External"/><Relationship Id="rId15" Type="http://schemas.openxmlformats.org/officeDocument/2006/relationships/hyperlink" Target="https://www.nichd.nih.gov/sites/default/files/publications/pubs/documents/seccyd_06.pdf" TargetMode="External"/><Relationship Id="rId16" Type="http://schemas.openxmlformats.org/officeDocument/2006/relationships/hyperlink" Target="https://pmc.ncbi.nlm.nih.gov/articles/PMC12111270/" TargetMode="External"/><Relationship Id="rId17" Type="http://schemas.openxmlformats.org/officeDocument/2006/relationships/hyperlink" Target="https://academic.oup.com/chidev/article/90/5/1474/8257281" TargetMode="External"/><Relationship Id="rId18" Type="http://schemas.openxmlformats.org/officeDocument/2006/relationships/hyperlink" Target="https://bettercarenetwork.org/library/particular-threats-to-childrens-care-and-protection/effects-of-institutional-care/recovery-from-severe-deprivation-the-bucharest-early-intervention-project" TargetMode="External"/><Relationship Id="rId19" Type="http://schemas.openxmlformats.org/officeDocument/2006/relationships/hyperlink" Target="https://pmc.ncbi.nlm.nih.gov/articles/PMC5607636/" TargetMode="External"/><Relationship Id="rId20" Type="http://schemas.openxmlformats.org/officeDocument/2006/relationships/hyperlink" Target="https://pmc.ncbi.nlm.nih.gov/articles/PMC5813245/" TargetMode="External"/><Relationship Id="rId21" Type="http://schemas.openxmlformats.org/officeDocument/2006/relationships/hyperlink" Target="https://chhd.media.uconn.edu/wp-content/uploads/sites/3087/2024/06/Developmental-Niche-1986.pdf" TargetMode="External"/><Relationship Id="rId22" Type="http://schemas.openxmlformats.org/officeDocument/2006/relationships/hyperlink" Target="https://eric.ed.gov/?id=EJ355885" TargetMode="External"/><Relationship Id="rId23" Type="http://schemas.openxmlformats.org/officeDocument/2006/relationships/hyperlink" Target="https://pmc.ncbi.nlm.nih.gov/articles/PMC10801006/" TargetMode="External"/><Relationship Id="rId24" Type="http://schemas.openxmlformats.org/officeDocument/2006/relationships/hyperlink" Target="https://pubmed.ncbi.nlm.nih.gov/2512258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2026-09-04T13:02:40.316Z</dcterms:created>
  <dcterms:modified xsi:type="dcterms:W3CDTF">2026-09-04T13:02:40.316Z</dcterms:modified>
</cp:coreProperties>
</file>