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hapter_11_the_developing_executive"/>
      <w:r>
        <w:rPr>
          <w:rFonts w:eastAsia="source serif 4" w:cs="source serif 4" w:ascii="source serif 4" w:hAnsi="source serif 4"/>
          <w:b/>
          <w:color w:val="000000"/>
          <w:sz w:val="39"/>
        </w:rPr>
        <w:t xml:space="preserve">Chapter 11 — The Developing Executive</w:t>
      </w:r>
      <w:bookmarkEnd w:id="0"/>
    </w:p>
    <w:p>
      <w:pPr>
        <w:spacing w:line="360" w:before="315" w:after="105" w:lineRule="auto"/>
        <w:ind w:left="-30"/>
        <w:jc w:val="left"/>
      </w:pPr>
      <w:bookmarkStart w:id="1" w:name="preliminary_research_dossier"/>
      <w:r>
        <w:rPr>
          <w:rFonts w:eastAsia="source serif 4" w:cs="source serif 4" w:ascii="source serif 4" w:hAnsi="source serif 4"/>
          <w:b/>
          <w:color w:val="000000"/>
          <w:sz w:val="24"/>
        </w:rPr>
        <w:t xml:space="preserve">Preliminary research dossier</w:t>
      </w:r>
      <w:bookmarkEnd w:id="1"/>
    </w:p>
    <w:p>
      <w:pPr>
        <w:spacing w:line="360" w:before="315" w:after="105" w:lineRule="auto"/>
        <w:ind w:left="-30"/>
        <w:jc w:val="left"/>
      </w:pPr>
      <w:bookmarkStart w:id="2" w:name="scope_and_governing_conclusion"/>
      <w:r>
        <w:rPr>
          <w:rFonts w:eastAsia="source serif 4" w:cs="source serif 4" w:ascii="source serif 4" w:hAnsi="source serif 4"/>
          <w:b/>
          <w:color w:val="000000"/>
          <w:sz w:val="24"/>
        </w:rPr>
        <w:t xml:space="preserve">Scope and governing conclusion</w:t>
      </w:r>
      <w:bookmarkEnd w:id="2"/>
    </w:p>
    <w:p>
      <w:pPr>
        <w:spacing w:line="360" w:after="210" w:lineRule="auto"/>
      </w:pPr>
      <w:r>
        <w:rPr>
          <w:rFonts w:eastAsia="source serif 4" w:cs="source serif 4" w:ascii="source serif 4" w:hAnsi="source serif 4"/>
          <w:color w:val="000000"/>
        </w:rPr>
        <w:t xml:space="preserve">Executive function (EF) is best treated as a family of partially dissociable, goal-directed control processes rather than a single trait. The most defensible core includes inhibitory control, working-memory maintenance and updating, and cognitive flexibility; attention, planning, monitoring, and goal maintenance are closely related but should not be assumed to be interchangeable with any one core component. This “unity and diversity” formulation is supported by both classic measurement theory and later reviews, although the factor structure varies by age, task, and model.[</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2][^3]</w:t>
      </w:r>
    </w:p>
    <w:p>
      <w:pPr>
        <w:spacing w:line="360" w:after="210" w:lineRule="auto"/>
      </w:pPr>
      <w:r>
        <w:rPr>
          <w:rFonts w:eastAsia="source serif 4" w:cs="source serif 4" w:ascii="source serif 4" w:hAnsi="source serif 4"/>
          <w:color w:val="000000"/>
        </w:rPr>
        <w:t xml:space="preserve">For the 0–36-month period, the chapter should use a developmental—not adult—definition. Early behaviors are precursors or context-bound forms of control, not miniature adult executive competence. Infants and toddlers can show emerging attention regulation, response suppression, memory for rules or locations, and goal persistence, while performance remains highly dependent on emotion, fatigue, language, motivation, task familiarity, social support, and the immediate environment.[</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5][^6]</w:t>
      </w:r>
    </w:p>
    <w:p>
      <w:pPr>
        <w:spacing w:line="360" w:after="210" w:lineRule="auto"/>
      </w:pPr>
      <w:r>
        <w:rPr>
          <w:rFonts w:eastAsia="source serif 4" w:cs="source serif 4" w:ascii="source serif 4" w:hAnsi="source serif 4"/>
          <w:color w:val="000000"/>
        </w:rPr>
        <w:t xml:space="preserve">The core proposition is supportable if stated narrowly: executive capacities develop through reciprocal interaction among neural maturation, attention, language, emotion regulation, social scaffolding, learning opportunities, and repeated goal-directed activity. No single factor is sufficient, and observed early differences should be treated as probabilistic and context-sensitive rather than as fixed capacities or character judgments.[</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8][^1]</w:t>
      </w:r>
    </w:p>
    <w:p>
      <w:pPr>
        <w:spacing w:line="360" w:before="315" w:after="105" w:lineRule="auto"/>
        <w:ind w:left="-30"/>
        <w:jc w:val="left"/>
      </w:pPr>
      <w:bookmarkStart w:id="3" w:name="recommended_chapter_argument"/>
      <w:r>
        <w:rPr>
          <w:rFonts w:eastAsia="source serif 4" w:cs="source serif 4" w:ascii="source serif 4" w:hAnsi="source serif 4"/>
          <w:b/>
          <w:color w:val="000000"/>
          <w:sz w:val="24"/>
        </w:rPr>
        <w:t xml:space="preserve">Recommended chapter argument</w:t>
      </w:r>
      <w:bookmarkEnd w:id="3"/>
    </w:p>
    <w:p>
      <w:pPr>
        <w:spacing w:line="360" w:after="210" w:lineRule="auto"/>
      </w:pPr>
      <w:r>
        <w:rPr>
          <w:rFonts w:eastAsia="source serif 4" w:cs="source serif 4" w:ascii="source serif 4" w:hAnsi="source serif 4"/>
          <w:color w:val="000000"/>
        </w:rPr>
        <w:t xml:space="preserve">The chapter should distinguish three levels: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Level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Appropriate formulation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it does not establish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Mechanism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Neural maturation and changing connectivity create increasing capacity for control.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brain region alone explains a child’s behavior.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Development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Practice, language, social scaffolding, and changing contexts organize that capacity into usable skills.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Any one parenting style is the universal cause.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Measurement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Tasks sample performance under particular rules, incentives, and contexts.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single score is a complete measure of executive function.</w:t>
            </w:r>
          </w:p>
        </w:tc>
      </w:tr>
    </w:tbl>
    <w:p>
      <w:pPr>
        <w:spacing w:lineRule="auto"/>
      </w:pPr>
    </w:p>
    <w:p>
      <w:pPr>
        <w:spacing w:line="360" w:after="210" w:lineRule="auto"/>
      </w:pPr>
      <w:r>
        <w:rPr>
          <w:rFonts w:eastAsia="source serif 4" w:cs="source serif 4" w:ascii="source serif 4" w:hAnsi="source serif 4"/>
          <w:color w:val="000000"/>
        </w:rPr>
        <w:t xml:space="preserve">The proposed narrative transition from Chapter 10 is strong but should be qualified. Chapter 10 can emphasize socially organized behavior and external regulation; Chapter 11 can examine the increasing capacity to maintain representations, inhibit competing responses, shift rules, and guide action. Yet executive function is not separate from emotion or relationships: arousal, motivation, attachment, language, and social expectations are part of the conditions under which control is expressed.</w:t>
      </w:r>
    </w:p>
    <w:p>
      <w:pPr>
        <w:spacing w:line="360" w:after="210" w:lineRule="auto"/>
      </w:pPr>
      <w:r>
        <w:rPr>
          <w:rFonts w:eastAsia="source serif 4" w:cs="source serif 4" w:ascii="source serif 4" w:hAnsi="source serif 4"/>
          <w:color w:val="000000"/>
        </w:rPr>
        <w:t xml:space="preserve">A scientifically disciplined endpoint would be: by age three, foundations of executive control are observable, but control remains fragile, uneven, and context-dependent. Children increasingly can hold a rule or goal in mind, resist some immediate responses, use language or symbols to guide action, and adapt to changing demands. These are developmental achievements, not evidence of stable adult-like self-government.[</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9][^4]</w:t>
      </w:r>
    </w:p>
    <w:p>
      <w:pPr>
        <w:spacing w:line="360" w:before="315" w:after="105" w:lineRule="auto"/>
        <w:ind w:left="-30"/>
        <w:jc w:val="left"/>
      </w:pPr>
      <w:bookmarkStart w:id="4" w:name="evidence_card_1_construct_and_fou_c762a0"/>
      <w:r>
        <w:rPr>
          <w:rFonts w:eastAsia="source serif 4" w:cs="source serif 4" w:ascii="source serif 4" w:hAnsi="source serif 4"/>
          <w:b/>
          <w:color w:val="000000"/>
          <w:sz w:val="24"/>
        </w:rPr>
        <w:t xml:space="preserve">Evidence card 1 — Construct and foundations</w:t>
      </w:r>
      <w:bookmarkEnd w:id="4"/>
    </w:p>
    <w:p>
      <w:pPr>
        <w:spacing w:line="360" w:before="315" w:after="105" w:lineRule="auto"/>
        <w:ind w:left="-30"/>
        <w:jc w:val="left"/>
      </w:pPr>
      <w:bookmarkStart w:id="5" w:name="what_we_know"/>
      <w:r>
        <w:rPr>
          <w:rFonts w:eastAsia="source serif 4" w:cs="source serif 4" w:ascii="source serif 4" w:hAnsi="source serif 4"/>
          <w:b/>
          <w:color w:val="000000"/>
          <w:sz w:val="24"/>
        </w:rPr>
        <w:t xml:space="preserve">What We Know</w:t>
      </w:r>
      <w:bookmarkEnd w:id="5"/>
    </w:p>
    <w:p>
      <w:pPr>
        <w:spacing w:line="360" w:after="210" w:lineRule="auto"/>
      </w:pPr>
      <w:r>
        <w:rPr>
          <w:rFonts w:eastAsia="source serif 4" w:cs="source serif 4" w:ascii="source serif 4" w:hAnsi="source serif 4"/>
          <w:color w:val="000000"/>
        </w:rPr>
        <w:t xml:space="preserve">EF refers to top-down processes that help maintain goal-directed behavior when automatic or immediate responses are insufficient. In contemporary models, inhibitory control, working memory, and shifting are related but distinguishable; the degree of unity increases or decreases depending on age, task demands, and measurement method.[</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3][^1]</w:t>
      </w:r>
    </w:p>
    <w:p>
      <w:pPr>
        <w:spacing w:line="360" w:before="315" w:after="105" w:lineRule="auto"/>
        <w:ind w:left="-30"/>
        <w:jc w:val="left"/>
      </w:pPr>
      <w:bookmarkStart w:id="6" w:name="how_confident_we_are"/>
      <w:r>
        <w:rPr>
          <w:rFonts w:eastAsia="source serif 4" w:cs="source serif 4" w:ascii="source serif 4" w:hAnsi="source serif 4"/>
          <w:b/>
          <w:color w:val="000000"/>
          <w:sz w:val="24"/>
        </w:rPr>
        <w:t xml:space="preserve">How Confident We Are</w:t>
      </w:r>
      <w:bookmarkEnd w:id="6"/>
    </w:p>
    <w:p>
      <w:pPr>
        <w:spacing w:line="360" w:after="210" w:lineRule="auto"/>
      </w:pPr>
      <w:r>
        <w:rPr>
          <w:rFonts w:eastAsia="source serif 4" w:cs="source serif 4" w:ascii="source serif 4" w:hAnsi="source serif 4"/>
          <w:b/>
          <w:color w:val="000000"/>
        </w:rPr>
        <w:t xml:space="preserve">Moderate to high</w:t>
      </w:r>
      <w:r>
        <w:rPr>
          <w:rFonts w:eastAsia="source serif 4" w:cs="source serif 4" w:ascii="source serif 4" w:hAnsi="source serif 4"/>
          <w:color w:val="000000"/>
        </w:rPr>
        <w:t xml:space="preserve"> for the broad construct;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any specific factor structure in toddlers. There is substantial conceptual convergence but no universally accepted single model or global early-childhood EF instrument.[</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3]</w:t>
      </w:r>
    </w:p>
    <w:p>
      <w:pPr>
        <w:spacing w:line="360" w:before="315" w:after="105" w:lineRule="auto"/>
        <w:ind w:left="-30"/>
        <w:jc w:val="left"/>
      </w:pPr>
      <w:bookmarkStart w:id="7" w:name="evidence_and_causal_assessment"/>
      <w:r>
        <w:rPr>
          <w:rFonts w:eastAsia="source serif 4" w:cs="source serif 4" w:ascii="source serif 4" w:hAnsi="source serif 4"/>
          <w:b/>
          <w:color w:val="000000"/>
          <w:sz w:val="24"/>
        </w:rPr>
        <w:t xml:space="preserve">Evidence and causal assessment</w:t>
      </w:r>
      <w:bookmarkEnd w:id="7"/>
    </w:p>
    <w:p>
      <w:pPr>
        <w:spacing w:line="360" w:after="210" w:lineRule="auto"/>
      </w:pPr>
      <w:r>
        <w:rPr>
          <w:rFonts w:eastAsia="source serif 4" w:cs="source serif 4" w:ascii="source serif 4" w:hAnsi="source serif 4"/>
          <w:color w:val="000000"/>
        </w:rPr>
        <w:t xml:space="preserve">The evidence is primarily psychometric, developmental, and experimental rather than causal. Task performance reflects EF plus language, processing speed, comprehension, motor demands, motivation, and familiarity. Multi-method batteries and latent-variable models are therefore preferable to single tasks.</w:t>
      </w:r>
    </w:p>
    <w:p>
      <w:pPr>
        <w:spacing w:line="360" w:before="315" w:after="105" w:lineRule="auto"/>
        <w:ind w:left="-30"/>
        <w:jc w:val="left"/>
      </w:pPr>
      <w:bookmarkStart w:id="8" w:name="effect_size_and_persistence"/>
      <w:r>
        <w:rPr>
          <w:rFonts w:eastAsia="source serif 4" w:cs="source serif 4" w:ascii="source serif 4" w:hAnsi="source serif 4"/>
          <w:b/>
          <w:color w:val="000000"/>
          <w:sz w:val="24"/>
        </w:rPr>
        <w:t xml:space="preserve">Effect size and persistence</w:t>
      </w:r>
      <w:bookmarkEnd w:id="8"/>
    </w:p>
    <w:p>
      <w:pPr>
        <w:spacing w:line="360" w:after="210" w:lineRule="auto"/>
      </w:pPr>
      <w:r>
        <w:rPr>
          <w:rFonts w:eastAsia="source serif 4" w:cs="source serif 4" w:ascii="source serif 4" w:hAnsi="source serif 4"/>
          <w:color w:val="000000"/>
        </w:rPr>
        <w:t xml:space="preserve">Age-related gains are robust across early childhood, but individual rank-order stability is lower in infancy and toddlerhood than in later childhood. A developmental increase should not be confused with a permanent individual difference.</w:t>
      </w:r>
    </w:p>
    <w:p>
      <w:pPr>
        <w:spacing w:line="360" w:before="315" w:after="105" w:lineRule="auto"/>
        <w:ind w:left="-30"/>
        <w:jc w:val="left"/>
      </w:pPr>
      <w:bookmarkStart w:id="9" w:name="bias_heterogeneity_and_confounding"/>
      <w:r>
        <w:rPr>
          <w:rFonts w:eastAsia="source serif 4" w:cs="source serif 4" w:ascii="source serif 4" w:hAnsi="source serif 4"/>
          <w:b/>
          <w:color w:val="000000"/>
          <w:sz w:val="24"/>
        </w:rPr>
        <w:t xml:space="preserve">Bias, heterogeneity, and confounding</w:t>
      </w:r>
      <w:bookmarkEnd w:id="9"/>
    </w:p>
    <w:p>
      <w:pPr>
        <w:spacing w:line="360" w:after="210" w:lineRule="auto"/>
      </w:pPr>
      <w:r>
        <w:rPr>
          <w:rFonts w:eastAsia="source serif 4" w:cs="source serif 4" w:ascii="source serif 4" w:hAnsi="source serif 4"/>
          <w:color w:val="000000"/>
        </w:rPr>
        <w:t xml:space="preserve">Task impurity, low reliability, cultural familiarity, socioeconomic differences in testing conditions, and differential language demands are major concerns. Measurement invariance across age and cultural groups must be demonstrated rather than assumed.</w:t>
      </w:r>
    </w:p>
    <w:p>
      <w:pPr>
        <w:spacing w:line="360" w:before="315" w:after="105" w:lineRule="auto"/>
        <w:ind w:left="-30"/>
        <w:jc w:val="left"/>
      </w:pPr>
      <w:bookmarkStart w:id="10" w:name="what_remains_uncertain"/>
      <w:r>
        <w:rPr>
          <w:rFonts w:eastAsia="source serif 4" w:cs="source serif 4" w:ascii="source serif 4" w:hAnsi="source serif 4"/>
          <w:b/>
          <w:color w:val="000000"/>
          <w:sz w:val="24"/>
        </w:rPr>
        <w:t xml:space="preserve">What Remains Uncertain</w:t>
      </w:r>
      <w:bookmarkEnd w:id="10"/>
    </w:p>
    <w:p>
      <w:pPr>
        <w:spacing w:line="360" w:after="210" w:lineRule="auto"/>
      </w:pPr>
      <w:r>
        <w:rPr>
          <w:rFonts w:eastAsia="source serif 4" w:cs="source serif 4" w:ascii="source serif 4" w:hAnsi="source serif 4"/>
          <w:color w:val="000000"/>
        </w:rPr>
        <w:t xml:space="preserve">Whether early EF is best represented by one common control factor, several components, or a hierarchical system remains unresolved. The field also needs more ecologically valid and culturally varied measures.</w:t>
      </w:r>
    </w:p>
    <w:p>
      <w:pPr>
        <w:spacing w:line="360" w:before="315" w:after="105" w:lineRule="auto"/>
        <w:ind w:left="-30"/>
        <w:jc w:val="left"/>
      </w:pPr>
      <w:bookmarkStart w:id="11" w:name="what_this_does_not_mean"/>
      <w:r>
        <w:rPr>
          <w:rFonts w:eastAsia="source serif 4" w:cs="source serif 4" w:ascii="source serif 4" w:hAnsi="source serif 4"/>
          <w:b/>
          <w:color w:val="000000"/>
          <w:sz w:val="24"/>
        </w:rPr>
        <w:t xml:space="preserve">What This Does Not Mean</w:t>
      </w:r>
      <w:bookmarkEnd w:id="11"/>
    </w:p>
    <w:p>
      <w:pPr>
        <w:spacing w:line="360" w:after="210" w:lineRule="auto"/>
      </w:pPr>
      <w:r>
        <w:rPr>
          <w:rFonts w:eastAsia="source serif 4" w:cs="source serif 4" w:ascii="source serif 4" w:hAnsi="source serif 4"/>
          <w:color w:val="000000"/>
        </w:rPr>
        <w:t xml:space="preserve">EF is not intelligence, obedience, moral worth, temperament, or a complete explanation of behavior. High compliance can occur without flexible goal maintenance; poor task performance can reflect stress, language, fatigue, or an invalid task rather than a general deficit.</w:t>
      </w:r>
    </w:p>
    <w:p>
      <w:pPr>
        <w:spacing w:line="360" w:before="315" w:after="105" w:lineRule="auto"/>
        <w:ind w:left="-30"/>
        <w:jc w:val="left"/>
      </w:pPr>
      <w:bookmarkStart w:id="12" w:name="what_action_is_reasonably_justified"/>
      <w:r>
        <w:rPr>
          <w:rFonts w:eastAsia="source serif 4" w:cs="source serif 4" w:ascii="source serif 4" w:hAnsi="source serif 4"/>
          <w:b/>
          <w:color w:val="000000"/>
          <w:sz w:val="24"/>
        </w:rPr>
        <w:t xml:space="preserve">What Action Is Reasonably Justified</w:t>
      </w:r>
      <w:bookmarkEnd w:id="12"/>
    </w:p>
    <w:p>
      <w:pPr>
        <w:spacing w:line="360" w:after="210" w:lineRule="auto"/>
      </w:pPr>
      <w:r>
        <w:rPr>
          <w:rFonts w:eastAsia="source serif 4" w:cs="source serif 4" w:ascii="source serif 4" w:hAnsi="source serif 4"/>
          <w:color w:val="000000"/>
        </w:rPr>
        <w:t xml:space="preserve">Use multiple observations across contexts and avoid high-stakes interpretation of a single toddler task.</w:t>
      </w:r>
    </w:p>
    <w:p>
      <w:pPr>
        <w:spacing w:line="360" w:before="315" w:after="105" w:lineRule="auto"/>
        <w:ind w:left="-30"/>
        <w:jc w:val="left"/>
      </w:pPr>
      <w:bookmarkStart w:id="13" w:name="evidence_card_2_neural_development"/>
      <w:r>
        <w:rPr>
          <w:rFonts w:eastAsia="source serif 4" w:cs="source serif 4" w:ascii="source serif 4" w:hAnsi="source serif 4"/>
          <w:b/>
          <w:color w:val="000000"/>
          <w:sz w:val="24"/>
        </w:rPr>
        <w:t xml:space="preserve">Evidence card 2 — Neural development</w:t>
      </w:r>
      <w:bookmarkEnd w:id="13"/>
    </w:p>
    <w:p>
      <w:pPr>
        <w:spacing w:line="360" w:before="315" w:after="105" w:lineRule="auto"/>
        <w:ind w:left="-30"/>
        <w:jc w:val="left"/>
      </w:pPr>
      <w:bookmarkStart w:id="14" w:name="what_we_know_2"/>
      <w:r>
        <w:rPr>
          <w:rFonts w:eastAsia="source serif 4" w:cs="source serif 4" w:ascii="source serif 4" w:hAnsi="source serif 4"/>
          <w:b/>
          <w:color w:val="000000"/>
          <w:sz w:val="24"/>
        </w:rPr>
        <w:t xml:space="preserve">What We Know</w:t>
      </w:r>
      <w:bookmarkEnd w:id="14"/>
    </w:p>
    <w:p>
      <w:pPr>
        <w:spacing w:line="360" w:after="210" w:lineRule="auto"/>
      </w:pPr>
      <w:r>
        <w:rPr>
          <w:rFonts w:eastAsia="source serif 4" w:cs="source serif 4" w:ascii="source serif 4" w:hAnsi="source serif 4"/>
          <w:color w:val="000000"/>
        </w:rPr>
        <w:t xml:space="preserve">The prefrontal cortex and its connections with frontoparietal, cingulate, and subcortical systems develop rapidly from infancy onward. Early frontal systems are more developed than older “late-emerging prefrontal cortex” narratives implied, but functional specialization and efficient integration continue for many years.[</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11][^7]</w:t>
      </w:r>
    </w:p>
    <w:p>
      <w:pPr>
        <w:spacing w:line="360" w:before="315" w:after="105" w:lineRule="auto"/>
        <w:ind w:left="-30"/>
        <w:jc w:val="left"/>
      </w:pPr>
      <w:bookmarkStart w:id="15" w:name="how_confident_we_are_2"/>
      <w:r>
        <w:rPr>
          <w:rFonts w:eastAsia="source serif 4" w:cs="source serif 4" w:ascii="source serif 4" w:hAnsi="source serif 4"/>
          <w:b/>
          <w:color w:val="000000"/>
          <w:sz w:val="24"/>
        </w:rPr>
        <w:t xml:space="preserve">How Confident We Are</w:t>
      </w:r>
      <w:bookmarkEnd w:id="15"/>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Neurodevelopmental evidence supports changing neural substrates, but links from imaging measures to everyday executive behavior remain indirect and often correlational.</w:t>
      </w:r>
    </w:p>
    <w:p>
      <w:pPr>
        <w:spacing w:line="360" w:before="315" w:after="105" w:lineRule="auto"/>
        <w:ind w:left="-30"/>
        <w:jc w:val="left"/>
      </w:pPr>
      <w:bookmarkStart w:id="16" w:name="evidence_and_causal_assessment_2"/>
      <w:r>
        <w:rPr>
          <w:rFonts w:eastAsia="source serif 4" w:cs="source serif 4" w:ascii="source serif 4" w:hAnsi="source serif 4"/>
          <w:b/>
          <w:color w:val="000000"/>
          <w:sz w:val="24"/>
        </w:rPr>
        <w:t xml:space="preserve">Evidence and causal assessment</w:t>
      </w:r>
      <w:bookmarkEnd w:id="16"/>
    </w:p>
    <w:p>
      <w:pPr>
        <w:spacing w:line="360" w:after="210" w:lineRule="auto"/>
      </w:pPr>
      <w:r>
        <w:rPr>
          <w:rFonts w:eastAsia="source serif 4" w:cs="source serif 4" w:ascii="source serif 4" w:hAnsi="source serif 4"/>
          <w:color w:val="000000"/>
        </w:rPr>
        <w:t xml:space="preserve">Structural and functional neuroimaging, developmental reviews, and mechanistic work provide converging evidence for maturation and plasticity. They do not by themselves identify the causes of a child’s EF profile or show that a particular experience produced a particular neural change.</w:t>
      </w:r>
    </w:p>
    <w:p>
      <w:pPr>
        <w:spacing w:line="360" w:before="315" w:after="105" w:lineRule="auto"/>
        <w:ind w:left="-30"/>
        <w:jc w:val="left"/>
      </w:pPr>
      <w:bookmarkStart w:id="17" w:name="effect_size_and_persistence_2"/>
      <w:r>
        <w:rPr>
          <w:rFonts w:eastAsia="source serif 4" w:cs="source serif 4" w:ascii="source serif 4" w:hAnsi="source serif 4"/>
          <w:b/>
          <w:color w:val="000000"/>
          <w:sz w:val="24"/>
        </w:rPr>
        <w:t xml:space="preserve">Effect size and persistence</w:t>
      </w:r>
      <w:bookmarkEnd w:id="17"/>
    </w:p>
    <w:p>
      <w:pPr>
        <w:spacing w:line="360" w:after="210" w:lineRule="auto"/>
      </w:pPr>
      <w:r>
        <w:rPr>
          <w:rFonts w:eastAsia="source serif 4" w:cs="source serif 4" w:ascii="source serif 4" w:hAnsi="source serif 4"/>
          <w:color w:val="000000"/>
        </w:rPr>
        <w:t xml:space="preserve">Neural development is continuous and heterogeneous. Early adversity may be associated with differences in frontal circuitry, including during the first years, but persistence, reversibility, specificity, and causal pathways vary and should not be stated deterministically.[^11]</w:t>
      </w:r>
    </w:p>
    <w:p>
      <w:pPr>
        <w:spacing w:line="360" w:before="315" w:after="105" w:lineRule="auto"/>
        <w:ind w:left="-30"/>
        <w:jc w:val="left"/>
      </w:pPr>
      <w:bookmarkStart w:id="18" w:name="what_this_does_not_mean_2"/>
      <w:r>
        <w:rPr>
          <w:rFonts w:eastAsia="source serif 4" w:cs="source serif 4" w:ascii="source serif 4" w:hAnsi="source serif 4"/>
          <w:b/>
          <w:color w:val="000000"/>
          <w:sz w:val="24"/>
        </w:rPr>
        <w:t xml:space="preserve">What This Does Not Mean</w:t>
      </w:r>
      <w:bookmarkEnd w:id="18"/>
    </w:p>
    <w:p>
      <w:pPr>
        <w:spacing w:line="360" w:after="210" w:lineRule="auto"/>
      </w:pPr>
      <w:r>
        <w:rPr>
          <w:rFonts w:eastAsia="source serif 4" w:cs="source serif 4" w:ascii="source serif 4" w:hAnsi="source serif 4"/>
          <w:color w:val="000000"/>
        </w:rPr>
        <w:t xml:space="preserve">“Immature prefrontal cortex” is not a sufficient explanation for tantrums, noncompliance, or inability to wait. Neural maturation creates possibilities and constraints; it does not guarantee a behavioral outcome.</w:t>
      </w:r>
    </w:p>
    <w:p>
      <w:pPr>
        <w:spacing w:line="360" w:before="315" w:after="105" w:lineRule="auto"/>
        <w:ind w:left="-30"/>
        <w:jc w:val="left"/>
      </w:pPr>
      <w:bookmarkStart w:id="19" w:name="what_action_is_reasonably_justified_2"/>
      <w:r>
        <w:rPr>
          <w:rFonts w:eastAsia="source serif 4" w:cs="source serif 4" w:ascii="source serif 4" w:hAnsi="source serif 4"/>
          <w:b/>
          <w:color w:val="000000"/>
          <w:sz w:val="24"/>
        </w:rPr>
        <w:t xml:space="preserve">What Action Is Reasonably Justified</w:t>
      </w:r>
      <w:bookmarkEnd w:id="19"/>
    </w:p>
    <w:p>
      <w:pPr>
        <w:spacing w:line="360" w:after="210" w:lineRule="auto"/>
      </w:pPr>
      <w:r>
        <w:rPr>
          <w:rFonts w:eastAsia="source serif 4" w:cs="source serif 4" w:ascii="source serif 4" w:hAnsi="source serif 4"/>
          <w:color w:val="000000"/>
        </w:rPr>
        <w:t xml:space="preserve">Describe brain evidence as one layer in a multi-level developmental system, not as a prescription for intensive cognitive training or a biological verdict on a child.</w:t>
      </w:r>
    </w:p>
    <w:p>
      <w:pPr>
        <w:spacing w:line="360" w:before="315" w:after="105" w:lineRule="auto"/>
        <w:ind w:left="-30"/>
        <w:jc w:val="left"/>
      </w:pPr>
      <w:bookmarkStart w:id="20" w:name="evidence_card_3_inhibitory_control"/>
      <w:r>
        <w:rPr>
          <w:rFonts w:eastAsia="source serif 4" w:cs="source serif 4" w:ascii="source serif 4" w:hAnsi="source serif 4"/>
          <w:b/>
          <w:color w:val="000000"/>
          <w:sz w:val="24"/>
        </w:rPr>
        <w:t xml:space="preserve">Evidence card 3 — Inhibitory control</w:t>
      </w:r>
      <w:bookmarkEnd w:id="20"/>
    </w:p>
    <w:p>
      <w:pPr>
        <w:spacing w:line="360" w:before="315" w:after="105" w:lineRule="auto"/>
        <w:ind w:left="-30"/>
        <w:jc w:val="left"/>
      </w:pPr>
      <w:bookmarkStart w:id="21" w:name="what_we_know_3"/>
      <w:r>
        <w:rPr>
          <w:rFonts w:eastAsia="source serif 4" w:cs="source serif 4" w:ascii="source serif 4" w:hAnsi="source serif 4"/>
          <w:b/>
          <w:color w:val="000000"/>
          <w:sz w:val="24"/>
        </w:rPr>
        <w:t xml:space="preserve">What We Know</w:t>
      </w:r>
      <w:bookmarkEnd w:id="21"/>
    </w:p>
    <w:p>
      <w:pPr>
        <w:spacing w:line="360" w:after="210" w:lineRule="auto"/>
      </w:pPr>
      <w:r>
        <w:rPr>
          <w:rFonts w:eastAsia="source serif 4" w:cs="source serif 4" w:ascii="source serif 4" w:hAnsi="source serif 4"/>
          <w:color w:val="000000"/>
        </w:rPr>
        <w:t xml:space="preserve">Early forms of response suppression and attentional control can be observed in infancy, and inhibitory control improves substantially through toddlerhood and preschool. The relevant claim is developmental emergence under particular conditions, not a sudden switch from impulse to control.[</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4][^5]</w:t>
      </w:r>
    </w:p>
    <w:p>
      <w:pPr>
        <w:spacing w:line="360" w:before="315" w:after="105" w:lineRule="auto"/>
        <w:ind w:left="-30"/>
        <w:jc w:val="left"/>
      </w:pPr>
      <w:bookmarkStart w:id="22" w:name="how_confident_we_are_3"/>
      <w:r>
        <w:rPr>
          <w:rFonts w:eastAsia="source serif 4" w:cs="source serif 4" w:ascii="source serif 4" w:hAnsi="source serif 4"/>
          <w:b/>
          <w:color w:val="000000"/>
          <w:sz w:val="24"/>
        </w:rPr>
        <w:t xml:space="preserve">How Confident We Are</w:t>
      </w:r>
      <w:bookmarkEnd w:id="22"/>
    </w:p>
    <w:p>
      <w:pPr>
        <w:spacing w:line="360" w:after="210" w:lineRule="auto"/>
      </w:pPr>
      <w:r>
        <w:rPr>
          <w:rFonts w:eastAsia="source serif 4" w:cs="source serif 4" w:ascii="source serif 4" w:hAnsi="source serif 4"/>
          <w:b/>
          <w:color w:val="000000"/>
        </w:rPr>
        <w:t xml:space="preserve">Moderate to high</w:t>
      </w:r>
      <w:r>
        <w:rPr>
          <w:rFonts w:eastAsia="source serif 4" w:cs="source serif 4" w:ascii="source serif 4" w:hAnsi="source serif 4"/>
          <w:color w:val="000000"/>
        </w:rPr>
        <w:t xml:space="preserve"> for age-related improvement;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the interpretation of any single inhibition task.</w:t>
      </w:r>
    </w:p>
    <w:p>
      <w:pPr>
        <w:spacing w:line="360" w:before="315" w:after="105" w:lineRule="auto"/>
        <w:ind w:left="-30"/>
        <w:jc w:val="left"/>
      </w:pPr>
      <w:bookmarkStart w:id="23" w:name="evidence_and_causal_assessment_3"/>
      <w:r>
        <w:rPr>
          <w:rFonts w:eastAsia="source serif 4" w:cs="source serif 4" w:ascii="source serif 4" w:hAnsi="source serif 4"/>
          <w:b/>
          <w:color w:val="000000"/>
          <w:sz w:val="24"/>
        </w:rPr>
        <w:t xml:space="preserve">Evidence and causal assessment</w:t>
      </w:r>
      <w:bookmarkEnd w:id="23"/>
    </w:p>
    <w:p>
      <w:pPr>
        <w:spacing w:line="360" w:after="210" w:lineRule="auto"/>
      </w:pPr>
      <w:r>
        <w:rPr>
          <w:rFonts w:eastAsia="source serif 4" w:cs="source serif 4" w:ascii="source serif 4" w:hAnsi="source serif 4"/>
          <w:color w:val="000000"/>
        </w:rPr>
        <w:t xml:space="preserve">Longitudinal task studies and developmental batteries establish age trends. Experimental manipulations show that cues, symbolic distancing, language, reward structure, and adult support can change performance, indicating that inhibition is not merely a fixed internal capacity.[</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6]</w:t>
      </w:r>
    </w:p>
    <w:p>
      <w:pPr>
        <w:spacing w:line="360" w:before="315" w:after="105" w:lineRule="auto"/>
        <w:ind w:left="-30"/>
        <w:jc w:val="left"/>
      </w:pPr>
      <w:bookmarkStart w:id="24" w:name="effect_size_and_persistence_3"/>
      <w:r>
        <w:rPr>
          <w:rFonts w:eastAsia="source serif 4" w:cs="source serif 4" w:ascii="source serif 4" w:hAnsi="source serif 4"/>
          <w:b/>
          <w:color w:val="000000"/>
          <w:sz w:val="24"/>
        </w:rPr>
        <w:t xml:space="preserve">Effect size and persistence</w:t>
      </w:r>
      <w:bookmarkEnd w:id="24"/>
    </w:p>
    <w:p>
      <w:pPr>
        <w:spacing w:line="360" w:after="210" w:lineRule="auto"/>
      </w:pPr>
      <w:r>
        <w:rPr>
          <w:rFonts w:eastAsia="source serif 4" w:cs="source serif 4" w:ascii="source serif 4" w:hAnsi="source serif 4"/>
          <w:color w:val="000000"/>
        </w:rPr>
        <w:t xml:space="preserve">The developmental trend is large at the population level, but individual performance fluctuates with context. Early scores have limited precision and should not be used as deterministic forecasts.</w:t>
      </w:r>
    </w:p>
    <w:p>
      <w:pPr>
        <w:spacing w:line="360" w:before="315" w:after="105" w:lineRule="auto"/>
        <w:ind w:left="-30"/>
        <w:jc w:val="left"/>
      </w:pPr>
      <w:bookmarkStart w:id="25" w:name="what_this_does_not_mean_3"/>
      <w:r>
        <w:rPr>
          <w:rFonts w:eastAsia="source serif 4" w:cs="source serif 4" w:ascii="source serif 4" w:hAnsi="source serif 4"/>
          <w:b/>
          <w:color w:val="000000"/>
          <w:sz w:val="24"/>
        </w:rPr>
        <w:t xml:space="preserve">What This Does Not Mean</w:t>
      </w:r>
      <w:bookmarkEnd w:id="25"/>
    </w:p>
    <w:p>
      <w:pPr>
        <w:spacing w:line="360" w:after="210" w:lineRule="auto"/>
      </w:pPr>
      <w:r>
        <w:rPr>
          <w:rFonts w:eastAsia="source serif 4" w:cs="source serif 4" w:ascii="source serif 4" w:hAnsi="source serif 4"/>
          <w:color w:val="000000"/>
        </w:rPr>
        <w:t xml:space="preserve">Failure to inhibit is not evidence of bad parenting, weak character, or absence of learning. Toddlers are not expected to apply a rule consistently across emotional and unfamiliar contexts.</w:t>
      </w:r>
    </w:p>
    <w:p>
      <w:pPr>
        <w:spacing w:line="360" w:before="315" w:after="105" w:lineRule="auto"/>
        <w:ind w:left="-30"/>
        <w:jc w:val="left"/>
      </w:pPr>
      <w:bookmarkStart w:id="26" w:name="what_action_is_reasonably_justified_3"/>
      <w:r>
        <w:rPr>
          <w:rFonts w:eastAsia="source serif 4" w:cs="source serif 4" w:ascii="source serif 4" w:hAnsi="source serif 4"/>
          <w:b/>
          <w:color w:val="000000"/>
          <w:sz w:val="24"/>
        </w:rPr>
        <w:t xml:space="preserve">What Action Is Reasonably Justified</w:t>
      </w:r>
      <w:bookmarkEnd w:id="26"/>
    </w:p>
    <w:p>
      <w:pPr>
        <w:spacing w:line="360" w:after="210" w:lineRule="auto"/>
      </w:pPr>
      <w:r>
        <w:rPr>
          <w:rFonts w:eastAsia="source serif 4" w:cs="source serif 4" w:ascii="source serif 4" w:hAnsi="source serif 4"/>
          <w:color w:val="000000"/>
        </w:rPr>
        <w:t xml:space="preserve">Reduce unnecessary temptations, make rules concrete, use predictable routines, and support the child in re-engaging after failure; these are proportionate environmental supports, not demands for adult-like self-control.</w:t>
      </w:r>
    </w:p>
    <w:p>
      <w:pPr>
        <w:spacing w:line="360" w:before="315" w:after="105" w:lineRule="auto"/>
        <w:ind w:left="-30"/>
        <w:jc w:val="left"/>
      </w:pPr>
      <w:bookmarkStart w:id="27" w:name="evidence_card_4_working_memory_an_e60acf"/>
      <w:r>
        <w:rPr>
          <w:rFonts w:eastAsia="source serif 4" w:cs="source serif 4" w:ascii="source serif 4" w:hAnsi="source serif 4"/>
          <w:b/>
          <w:color w:val="000000"/>
          <w:sz w:val="24"/>
        </w:rPr>
        <w:t xml:space="preserve">Evidence card 4 — Working memory and flexibility</w:t>
      </w:r>
      <w:bookmarkEnd w:id="27"/>
    </w:p>
    <w:p>
      <w:pPr>
        <w:spacing w:line="360" w:before="315" w:after="105" w:lineRule="auto"/>
        <w:ind w:left="-30"/>
        <w:jc w:val="left"/>
      </w:pPr>
      <w:bookmarkStart w:id="28" w:name="what_we_know_4"/>
      <w:r>
        <w:rPr>
          <w:rFonts w:eastAsia="source serif 4" w:cs="source serif 4" w:ascii="source serif 4" w:hAnsi="source serif 4"/>
          <w:b/>
          <w:color w:val="000000"/>
          <w:sz w:val="24"/>
        </w:rPr>
        <w:t xml:space="preserve">What We Know</w:t>
      </w:r>
      <w:bookmarkEnd w:id="28"/>
    </w:p>
    <w:p>
      <w:pPr>
        <w:spacing w:line="360" w:after="210" w:lineRule="auto"/>
      </w:pPr>
      <w:r>
        <w:rPr>
          <w:rFonts w:eastAsia="source serif 4" w:cs="source serif 4" w:ascii="source serif 4" w:hAnsi="source serif 4"/>
          <w:color w:val="000000"/>
        </w:rPr>
        <w:t xml:space="preserve">Working memory supports maintaining and updating information relevant to a current goal. Cognitive flexibility involves changing a rule, perspective, response set, or strategy when circumstances change. Both show early forms, but integration and abstraction develop gradually.[</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4][^5]</w:t>
      </w:r>
    </w:p>
    <w:p>
      <w:pPr>
        <w:spacing w:line="360" w:before="315" w:after="105" w:lineRule="auto"/>
        <w:ind w:left="-30"/>
        <w:jc w:val="left"/>
      </w:pPr>
      <w:bookmarkStart w:id="29" w:name="how_confident_we_are_4"/>
      <w:r>
        <w:rPr>
          <w:rFonts w:eastAsia="source serif 4" w:cs="source serif 4" w:ascii="source serif 4" w:hAnsi="source serif 4"/>
          <w:b/>
          <w:color w:val="000000"/>
          <w:sz w:val="24"/>
        </w:rPr>
        <w:t xml:space="preserve">How Confident We Are</w:t>
      </w:r>
      <w:bookmarkEnd w:id="29"/>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The constructs are theoretically and empirically useful, but toddler tasks are heavily affected by language, comprehension, inhibition, attention, and working-memory load.</w:t>
      </w:r>
    </w:p>
    <w:p>
      <w:pPr>
        <w:spacing w:line="360" w:before="315" w:after="105" w:lineRule="auto"/>
        <w:ind w:left="-30"/>
        <w:jc w:val="left"/>
      </w:pPr>
      <w:bookmarkStart w:id="30" w:name="evidence_and_causal_assessment_4"/>
      <w:r>
        <w:rPr>
          <w:rFonts w:eastAsia="source serif 4" w:cs="source serif 4" w:ascii="source serif 4" w:hAnsi="source serif 4"/>
          <w:b/>
          <w:color w:val="000000"/>
          <w:sz w:val="24"/>
        </w:rPr>
        <w:t xml:space="preserve">Evidence and causal assessment</w:t>
      </w:r>
      <w:bookmarkEnd w:id="30"/>
    </w:p>
    <w:p>
      <w:pPr>
        <w:spacing w:line="360" w:after="210" w:lineRule="auto"/>
      </w:pPr>
      <w:r>
        <w:rPr>
          <w:rFonts w:eastAsia="source serif 4" w:cs="source serif 4" w:ascii="source serif 4" w:hAnsi="source serif 4"/>
          <w:color w:val="000000"/>
        </w:rPr>
        <w:t xml:space="preserve">Developmental batteries, rule-switching tasks, symbolic tasks, and longitudinal studies provide converging evidence for increasing capacity. The evidence supports contribution and prediction more strongly than simple one-way causation; language, EF, and learning likely influence one another transactionally.[</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9]</w:t>
      </w:r>
    </w:p>
    <w:p>
      <w:pPr>
        <w:spacing w:line="360" w:before="315" w:after="105" w:lineRule="auto"/>
        <w:ind w:left="-30"/>
        <w:jc w:val="left"/>
      </w:pPr>
      <w:bookmarkStart w:id="31" w:name="effect_size_and_persistence_4"/>
      <w:r>
        <w:rPr>
          <w:rFonts w:eastAsia="source serif 4" w:cs="source serif 4" w:ascii="source serif 4" w:hAnsi="source serif 4"/>
          <w:b/>
          <w:color w:val="000000"/>
          <w:sz w:val="24"/>
        </w:rPr>
        <w:t xml:space="preserve">Effect size and persistence</w:t>
      </w:r>
      <w:bookmarkEnd w:id="31"/>
    </w:p>
    <w:p>
      <w:pPr>
        <w:spacing w:line="360" w:after="210" w:lineRule="auto"/>
      </w:pPr>
      <w:r>
        <w:rPr>
          <w:rFonts w:eastAsia="source serif 4" w:cs="source serif 4" w:ascii="source serif 4" w:hAnsi="source serif 4"/>
          <w:color w:val="000000"/>
        </w:rPr>
        <w:t xml:space="preserve">Large age-related changes occur between approximately two and five years, but exact milestones vary by task. “Stuckness” is often a normal mismatch between a child’s current representation and a new rule, not a unitary deficit.</w:t>
      </w:r>
    </w:p>
    <w:p>
      <w:pPr>
        <w:spacing w:line="360" w:before="315" w:after="105" w:lineRule="auto"/>
        <w:ind w:left="-30"/>
        <w:jc w:val="left"/>
      </w:pPr>
      <w:bookmarkStart w:id="32" w:name="what_this_does_not_mean_4"/>
      <w:r>
        <w:rPr>
          <w:rFonts w:eastAsia="source serif 4" w:cs="source serif 4" w:ascii="source serif 4" w:hAnsi="source serif 4"/>
          <w:b/>
          <w:color w:val="000000"/>
          <w:sz w:val="24"/>
        </w:rPr>
        <w:t xml:space="preserve">What This Does Not Mean</w:t>
      </w:r>
      <w:bookmarkEnd w:id="32"/>
    </w:p>
    <w:p>
      <w:pPr>
        <w:spacing w:line="360" w:after="210" w:lineRule="auto"/>
      </w:pPr>
      <w:r>
        <w:rPr>
          <w:rFonts w:eastAsia="source serif 4" w:cs="source serif 4" w:ascii="source serif 4" w:hAnsi="source serif 4"/>
          <w:color w:val="000000"/>
        </w:rPr>
        <w:t xml:space="preserve">Working memory is not a literal mental storage box with a fixed toddler capacity, and flexibility is not identical to agreeableness or easy compliance.</w:t>
      </w:r>
    </w:p>
    <w:p>
      <w:pPr>
        <w:spacing w:line="360" w:before="315" w:after="105" w:lineRule="auto"/>
        <w:ind w:left="-30"/>
        <w:jc w:val="left"/>
      </w:pPr>
      <w:bookmarkStart w:id="33" w:name="what_action_is_reasonably_justified_4"/>
      <w:r>
        <w:rPr>
          <w:rFonts w:eastAsia="source serif 4" w:cs="source serif 4" w:ascii="source serif 4" w:hAnsi="source serif 4"/>
          <w:b/>
          <w:color w:val="000000"/>
          <w:sz w:val="24"/>
        </w:rPr>
        <w:t xml:space="preserve">What Action Is Reasonably Justified</w:t>
      </w:r>
      <w:bookmarkEnd w:id="33"/>
    </w:p>
    <w:p>
      <w:pPr>
        <w:spacing w:line="360" w:after="210" w:lineRule="auto"/>
      </w:pPr>
      <w:r>
        <w:rPr>
          <w:rFonts w:eastAsia="source serif 4" w:cs="source serif 4" w:ascii="source serif 4" w:hAnsi="source serif 4"/>
          <w:color w:val="000000"/>
        </w:rPr>
        <w:t xml:space="preserve">Give one-step instructions when needed, repeat and externalize rules, allow time for switching, and gradually increase complexity. Treat scaffolding as a way to make goals usable, not as proof that the child lacks agency.</w:t>
      </w:r>
    </w:p>
    <w:p>
      <w:pPr>
        <w:spacing w:line="360" w:before="315" w:after="105" w:lineRule="auto"/>
        <w:ind w:left="-30"/>
        <w:jc w:val="left"/>
      </w:pPr>
      <w:bookmarkStart w:id="34" w:name="evidence_card_5_attention_languag_fee4f9"/>
      <w:r>
        <w:rPr>
          <w:rFonts w:eastAsia="source serif 4" w:cs="source serif 4" w:ascii="source serif 4" w:hAnsi="source serif 4"/>
          <w:b/>
          <w:color w:val="000000"/>
          <w:sz w:val="24"/>
        </w:rPr>
        <w:t xml:space="preserve">Evidence card 5 — Attention, language, and private speech</w:t>
      </w:r>
      <w:bookmarkEnd w:id="34"/>
    </w:p>
    <w:p>
      <w:pPr>
        <w:spacing w:line="360" w:before="315" w:after="105" w:lineRule="auto"/>
        <w:ind w:left="-30"/>
        <w:jc w:val="left"/>
      </w:pPr>
      <w:bookmarkStart w:id="35" w:name="what_we_know_5"/>
      <w:r>
        <w:rPr>
          <w:rFonts w:eastAsia="source serif 4" w:cs="source serif 4" w:ascii="source serif 4" w:hAnsi="source serif 4"/>
          <w:b/>
          <w:color w:val="000000"/>
          <w:sz w:val="24"/>
        </w:rPr>
        <w:t xml:space="preserve">What We Know</w:t>
      </w:r>
      <w:bookmarkEnd w:id="35"/>
    </w:p>
    <w:p>
      <w:pPr>
        <w:spacing w:line="360" w:after="210" w:lineRule="auto"/>
      </w:pPr>
      <w:r>
        <w:rPr>
          <w:rFonts w:eastAsia="source serif 4" w:cs="source serif 4" w:ascii="source serif 4" w:hAnsi="source serif 4"/>
          <w:color w:val="000000"/>
        </w:rPr>
        <w:t xml:space="preserve">Attention is a gateway condition for executive control: a child must orient, sustain, select, and disengage before a rule can guide action. Language increasingly functions as a representational and self-guiding tool. In a longitudinal study, more mature private speech at age three predicted better inhibitory control at age four, although this is predictive evidence, not proof that private speech alone causes later control.[</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14]</w:t>
      </w:r>
    </w:p>
    <w:p>
      <w:pPr>
        <w:spacing w:line="360" w:before="315" w:after="105" w:lineRule="auto"/>
        <w:ind w:left="-30"/>
        <w:jc w:val="left"/>
      </w:pPr>
      <w:bookmarkStart w:id="36" w:name="how_confident_we_are_5"/>
      <w:r>
        <w:rPr>
          <w:rFonts w:eastAsia="source serif 4" w:cs="source serif 4" w:ascii="source serif 4" w:hAnsi="source serif 4"/>
          <w:b/>
          <w:color w:val="000000"/>
          <w:sz w:val="24"/>
        </w:rPr>
        <w:t xml:space="preserve">How Confident We Are</w:t>
      </w:r>
      <w:bookmarkEnd w:id="36"/>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language’s contribution to self-guided behavior;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any single causal pathway from adult speech to internal executive control.</w:t>
      </w:r>
    </w:p>
    <w:p>
      <w:pPr>
        <w:spacing w:line="360" w:before="315" w:after="105" w:lineRule="auto"/>
        <w:ind w:left="-30"/>
        <w:jc w:val="left"/>
      </w:pPr>
      <w:bookmarkStart w:id="37" w:name="evidence_and_causal_assessment_5"/>
      <w:r>
        <w:rPr>
          <w:rFonts w:eastAsia="source serif 4" w:cs="source serif 4" w:ascii="source serif 4" w:hAnsi="source serif 4"/>
          <w:b/>
          <w:color w:val="000000"/>
          <w:sz w:val="24"/>
        </w:rPr>
        <w:t xml:space="preserve">Evidence and causal assessment</w:t>
      </w:r>
      <w:bookmarkEnd w:id="37"/>
    </w:p>
    <w:p>
      <w:pPr>
        <w:spacing w:line="360" w:after="210" w:lineRule="auto"/>
      </w:pPr>
      <w:r>
        <w:rPr>
          <w:rFonts w:eastAsia="source serif 4" w:cs="source serif 4" w:ascii="source serif 4" w:hAnsi="source serif 4"/>
          <w:color w:val="000000"/>
        </w:rPr>
        <w:t xml:space="preserve">The developmental sequence from social speech to self-directed speech to increasingly internal guidance is theoretically influential and supported by observational and experimental work. Language skill also affects EF assessment itself, making confounding and reciprocal influence central concerns.[</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13]</w:t>
      </w:r>
    </w:p>
    <w:p>
      <w:pPr>
        <w:spacing w:line="360" w:before="315" w:after="105" w:lineRule="auto"/>
        <w:ind w:left="-30"/>
        <w:jc w:val="left"/>
      </w:pPr>
      <w:bookmarkStart w:id="38" w:name="effect_size_and_persistence_5"/>
      <w:r>
        <w:rPr>
          <w:rFonts w:eastAsia="source serif 4" w:cs="source serif 4" w:ascii="source serif 4" w:hAnsi="source serif 4"/>
          <w:b/>
          <w:color w:val="000000"/>
          <w:sz w:val="24"/>
        </w:rPr>
        <w:t xml:space="preserve">Effect size and persistence</w:t>
      </w:r>
      <w:bookmarkEnd w:id="38"/>
    </w:p>
    <w:p>
      <w:pPr>
        <w:spacing w:line="360" w:after="210" w:lineRule="auto"/>
      </w:pPr>
      <w:r>
        <w:rPr>
          <w:rFonts w:eastAsia="source serif 4" w:cs="source serif 4" w:ascii="source serif 4" w:hAnsi="source serif 4"/>
          <w:color w:val="000000"/>
        </w:rPr>
        <w:t xml:space="preserve">Associations are meaningful but not equivalent to a universal developmental sequence or a fixed verbal mechanism. Children use nonverbal attention, gesture, memory, emotion, and social cues as well as speech.</w:t>
      </w:r>
    </w:p>
    <w:p>
      <w:pPr>
        <w:spacing w:line="360" w:before="315" w:after="105" w:lineRule="auto"/>
        <w:ind w:left="-30"/>
        <w:jc w:val="left"/>
      </w:pPr>
      <w:bookmarkStart w:id="39" w:name="what_this_does_not_mean_5"/>
      <w:r>
        <w:rPr>
          <w:rFonts w:eastAsia="source serif 4" w:cs="source serif 4" w:ascii="source serif 4" w:hAnsi="source serif 4"/>
          <w:b/>
          <w:color w:val="000000"/>
          <w:sz w:val="24"/>
        </w:rPr>
        <w:t xml:space="preserve">What This Does Not Mean</w:t>
      </w:r>
      <w:bookmarkEnd w:id="39"/>
    </w:p>
    <w:p>
      <w:pPr>
        <w:spacing w:line="360" w:after="210" w:lineRule="auto"/>
      </w:pPr>
      <w:r>
        <w:rPr>
          <w:rFonts w:eastAsia="source serif 4" w:cs="source serif 4" w:ascii="source serif 4" w:hAnsi="source serif 4"/>
          <w:color w:val="000000"/>
        </w:rPr>
        <w:t xml:space="preserve">Children without advanced speech cannot think, plan, or regulate; verbal self-talk is one route among several. Nor does adult verbal instruction automatically become internal self-control.</w:t>
      </w:r>
    </w:p>
    <w:p>
      <w:pPr>
        <w:spacing w:line="360" w:before="315" w:after="105" w:lineRule="auto"/>
        <w:ind w:left="-30"/>
        <w:jc w:val="left"/>
      </w:pPr>
      <w:bookmarkStart w:id="40" w:name="what_action_is_reasonably_justified_5"/>
      <w:r>
        <w:rPr>
          <w:rFonts w:eastAsia="source serif 4" w:cs="source serif 4" w:ascii="source serif 4" w:hAnsi="source serif 4"/>
          <w:b/>
          <w:color w:val="000000"/>
          <w:sz w:val="24"/>
        </w:rPr>
        <w:t xml:space="preserve">What Action Is Reasonably Justified</w:t>
      </w:r>
      <w:bookmarkEnd w:id="40"/>
    </w:p>
    <w:p>
      <w:pPr>
        <w:spacing w:line="360" w:after="210" w:lineRule="auto"/>
      </w:pPr>
      <w:r>
        <w:rPr>
          <w:rFonts w:eastAsia="source serif 4" w:cs="source serif 4" w:ascii="source serif 4" w:hAnsi="source serif 4"/>
          <w:color w:val="000000"/>
        </w:rPr>
        <w:t xml:space="preserve">Adults can model concise self-guidance, label goals and steps, invite children to describe what they are doing, and allow children’s own speech to remain functional rather than treating it as noise.</w:t>
      </w:r>
    </w:p>
    <w:p>
      <w:pPr>
        <w:spacing w:line="360" w:before="315" w:after="105" w:lineRule="auto"/>
        <w:ind w:left="-30"/>
        <w:jc w:val="left"/>
      </w:pPr>
      <w:bookmarkStart w:id="41" w:name="evidence_card_6_goal_directed_beh_9aa54e"/>
      <w:r>
        <w:rPr>
          <w:rFonts w:eastAsia="source serif 4" w:cs="source serif 4" w:ascii="source serif 4" w:hAnsi="source serif 4"/>
          <w:b/>
          <w:color w:val="000000"/>
          <w:sz w:val="24"/>
        </w:rPr>
        <w:t xml:space="preserve">Evidence card 6 — Goal-directed behavior and problem solving</w:t>
      </w:r>
      <w:bookmarkEnd w:id="41"/>
    </w:p>
    <w:p>
      <w:pPr>
        <w:spacing w:line="360" w:before="315" w:after="105" w:lineRule="auto"/>
        <w:ind w:left="-30"/>
        <w:jc w:val="left"/>
      </w:pPr>
      <w:bookmarkStart w:id="42" w:name="what_we_know_6"/>
      <w:r>
        <w:rPr>
          <w:rFonts w:eastAsia="source serif 4" w:cs="source serif 4" w:ascii="source serif 4" w:hAnsi="source serif 4"/>
          <w:b/>
          <w:color w:val="000000"/>
          <w:sz w:val="24"/>
        </w:rPr>
        <w:t xml:space="preserve">What We Know</w:t>
      </w:r>
      <w:bookmarkEnd w:id="42"/>
    </w:p>
    <w:p>
      <w:pPr>
        <w:spacing w:line="360" w:after="210" w:lineRule="auto"/>
      </w:pPr>
      <w:r>
        <w:rPr>
          <w:rFonts w:eastAsia="source serif 4" w:cs="source serif 4" w:ascii="source serif 4" w:hAnsi="source serif 4"/>
          <w:color w:val="000000"/>
        </w:rPr>
        <w:t xml:space="preserve">Goal-directed action emerges before fluent language and becomes increasingly organized as children retain representations, coordinate means and ends, persist, and adjust strategies. Symbolic distancing can improve control: in Carlson’s “Less Is More” studies, three-year-olds performed better when the reward was represented symbolically rather than presented as an immediate concrete temptation.[^9]</w:t>
      </w:r>
    </w:p>
    <w:p>
      <w:pPr>
        <w:spacing w:line="360" w:before="315" w:after="105" w:lineRule="auto"/>
        <w:ind w:left="-30"/>
        <w:jc w:val="left"/>
      </w:pPr>
      <w:bookmarkStart w:id="43" w:name="how_confident_we_are_6"/>
      <w:r>
        <w:rPr>
          <w:rFonts w:eastAsia="source serif 4" w:cs="source serif 4" w:ascii="source serif 4" w:hAnsi="source serif 4"/>
          <w:b/>
          <w:color w:val="000000"/>
          <w:sz w:val="24"/>
        </w:rPr>
        <w:t xml:space="preserve">How Confident We Are</w:t>
      </w:r>
      <w:bookmarkEnd w:id="43"/>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the developmental pattern;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broad claims about planning in toddlers.</w:t>
      </w:r>
    </w:p>
    <w:p>
      <w:pPr>
        <w:spacing w:line="360" w:before="315" w:after="105" w:lineRule="auto"/>
        <w:ind w:left="-30"/>
        <w:jc w:val="left"/>
      </w:pPr>
      <w:bookmarkStart w:id="44" w:name="evidence_and_causal_assessment_6"/>
      <w:r>
        <w:rPr>
          <w:rFonts w:eastAsia="source serif 4" w:cs="source serif 4" w:ascii="source serif 4" w:hAnsi="source serif 4"/>
          <w:b/>
          <w:color w:val="000000"/>
          <w:sz w:val="24"/>
        </w:rPr>
        <w:t xml:space="preserve">Evidence and causal assessment</w:t>
      </w:r>
      <w:bookmarkEnd w:id="44"/>
    </w:p>
    <w:p>
      <w:pPr>
        <w:spacing w:line="360" w:after="210" w:lineRule="auto"/>
      </w:pPr>
      <w:r>
        <w:rPr>
          <w:rFonts w:eastAsia="source serif 4" w:cs="source serif 4" w:ascii="source serif 4" w:hAnsi="source serif 4"/>
          <w:color w:val="000000"/>
        </w:rPr>
        <w:t xml:space="preserve">Infant action studies, means-end problem-solving tasks, symbolic-representation experiments, and observational work support increasingly organized action. Performance is jointly shaped by motor skill, novelty, motivation, memory, and social context.</w:t>
      </w:r>
    </w:p>
    <w:p>
      <w:pPr>
        <w:spacing w:line="360" w:before="315" w:after="105" w:lineRule="auto"/>
        <w:ind w:left="-30"/>
        <w:jc w:val="left"/>
      </w:pPr>
      <w:bookmarkStart w:id="45" w:name="what_this_does_not_mean_6"/>
      <w:r>
        <w:rPr>
          <w:rFonts w:eastAsia="source serif 4" w:cs="source serif 4" w:ascii="source serif 4" w:hAnsi="source serif 4"/>
          <w:b/>
          <w:color w:val="000000"/>
          <w:sz w:val="24"/>
        </w:rPr>
        <w:t xml:space="preserve">What This Does Not Mean</w:t>
      </w:r>
      <w:bookmarkEnd w:id="45"/>
    </w:p>
    <w:p>
      <w:pPr>
        <w:spacing w:line="360" w:after="210" w:lineRule="auto"/>
      </w:pPr>
      <w:r>
        <w:rPr>
          <w:rFonts w:eastAsia="source serif 4" w:cs="source serif 4" w:ascii="source serif 4" w:hAnsi="source serif 4"/>
          <w:color w:val="000000"/>
        </w:rPr>
        <w:t xml:space="preserve">Persistence on one task is not a stable “grit” trait, and solving a familiar problem does not demonstrate generalized planning across domains.</w:t>
      </w:r>
    </w:p>
    <w:p>
      <w:pPr>
        <w:spacing w:line="360" w:before="315" w:after="105" w:lineRule="auto"/>
        <w:ind w:left="-30"/>
        <w:jc w:val="left"/>
      </w:pPr>
      <w:bookmarkStart w:id="46" w:name="what_action_is_reasonably_justified_6"/>
      <w:r>
        <w:rPr>
          <w:rFonts w:eastAsia="source serif 4" w:cs="source serif 4" w:ascii="source serif 4" w:hAnsi="source serif 4"/>
          <w:b/>
          <w:color w:val="000000"/>
          <w:sz w:val="24"/>
        </w:rPr>
        <w:t xml:space="preserve">What Action Is Reasonably Justified</w:t>
      </w:r>
      <w:bookmarkEnd w:id="46"/>
    </w:p>
    <w:p>
      <w:pPr>
        <w:spacing w:line="360" w:after="210" w:lineRule="auto"/>
      </w:pPr>
      <w:r>
        <w:rPr>
          <w:rFonts w:eastAsia="source serif 4" w:cs="source serif 4" w:ascii="source serif 4" w:hAnsi="source serif 4"/>
          <w:color w:val="000000"/>
        </w:rPr>
        <w:t xml:space="preserve">Offer manageable problems, preserve opportunities for independent attempts, and provide help that can be withdrawn as the child takes over. Avoid turning ordinary exploration into constant testing.</w:t>
      </w:r>
    </w:p>
    <w:p>
      <w:pPr>
        <w:spacing w:line="360" w:before="315" w:after="105" w:lineRule="auto"/>
        <w:ind w:left="-30"/>
        <w:jc w:val="left"/>
      </w:pPr>
      <w:bookmarkStart w:id="47" w:name="evidence_card_7_delayed_gratification"/>
      <w:r>
        <w:rPr>
          <w:rFonts w:eastAsia="source serif 4" w:cs="source serif 4" w:ascii="source serif 4" w:hAnsi="source serif 4"/>
          <w:b/>
          <w:color w:val="000000"/>
          <w:sz w:val="24"/>
        </w:rPr>
        <w:t xml:space="preserve">Evidence card 7 — Delayed gratification</w:t>
      </w:r>
      <w:bookmarkEnd w:id="47"/>
    </w:p>
    <w:p>
      <w:pPr>
        <w:spacing w:line="360" w:before="315" w:after="105" w:lineRule="auto"/>
        <w:ind w:left="-30"/>
        <w:jc w:val="left"/>
      </w:pPr>
      <w:bookmarkStart w:id="48" w:name="what_we_know_7"/>
      <w:r>
        <w:rPr>
          <w:rFonts w:eastAsia="source serif 4" w:cs="source serif 4" w:ascii="source serif 4" w:hAnsi="source serif 4"/>
          <w:b/>
          <w:color w:val="000000"/>
          <w:sz w:val="24"/>
        </w:rPr>
        <w:t xml:space="preserve">What We Know</w:t>
      </w:r>
      <w:bookmarkEnd w:id="48"/>
    </w:p>
    <w:p>
      <w:pPr>
        <w:spacing w:line="360" w:after="210" w:lineRule="auto"/>
      </w:pPr>
      <w:r>
        <w:rPr>
          <w:rFonts w:eastAsia="source serif 4" w:cs="source serif 4" w:ascii="source serif 4" w:hAnsi="source serif 4"/>
          <w:color w:val="000000"/>
        </w:rPr>
        <w:t xml:space="preserve">Delay tasks measure a mixture of reward valuation, attention deployment, emotion regulation, trust in the environment, comprehension, executive control, and experience with waiting. In a larger and more diverse reanalysis, the association between preschool waiting and later achievement was smaller than in the original literature and was substantially reduced after controls for family background, early cognition, and the home environment.[</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16]</w:t>
      </w:r>
    </w:p>
    <w:p>
      <w:pPr>
        <w:spacing w:line="360" w:after="210" w:lineRule="auto"/>
      </w:pPr>
      <w:r>
        <w:rPr>
          <w:rFonts w:eastAsia="source serif 4" w:cs="source serif 4" w:ascii="source serif 4" w:hAnsi="source serif 4"/>
          <w:color w:val="000000"/>
        </w:rPr>
        <w:t xml:space="preserve">A later preregistered extension found that marshmallow performance was not strongly predictive of adult achievement, health, or behavior after adjustment; this supports caution about treating delay as a long-term trait or destiny marker.[^17]</w:t>
      </w:r>
    </w:p>
    <w:p>
      <w:pPr>
        <w:spacing w:line="360" w:before="315" w:after="105" w:lineRule="auto"/>
        <w:ind w:left="-30"/>
        <w:jc w:val="left"/>
      </w:pPr>
      <w:bookmarkStart w:id="49" w:name="how_confident_we_are_7"/>
      <w:r>
        <w:rPr>
          <w:rFonts w:eastAsia="source serif 4" w:cs="source serif 4" w:ascii="source serif 4" w:hAnsi="source serif 4"/>
          <w:b/>
          <w:color w:val="000000"/>
          <w:sz w:val="24"/>
        </w:rPr>
        <w:t xml:space="preserve">How Confident We Are</w:t>
      </w:r>
      <w:bookmarkEnd w:id="49"/>
    </w:p>
    <w:p>
      <w:pPr>
        <w:spacing w:line="360" w:after="210" w:lineRule="auto"/>
      </w:pP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that predictive claims require strong qualification;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that delay performance contains some useful information about concurrent self-regulation under the specific testing conditions.</w:t>
      </w:r>
    </w:p>
    <w:p>
      <w:pPr>
        <w:spacing w:line="360" w:before="315" w:after="105" w:lineRule="auto"/>
        <w:ind w:left="-30"/>
        <w:jc w:val="left"/>
      </w:pPr>
      <w:bookmarkStart w:id="50" w:name="evidence_and_causal_assessment_7"/>
      <w:r>
        <w:rPr>
          <w:rFonts w:eastAsia="source serif 4" w:cs="source serif 4" w:ascii="source serif 4" w:hAnsi="source serif 4"/>
          <w:b/>
          <w:color w:val="000000"/>
          <w:sz w:val="24"/>
        </w:rPr>
        <w:t xml:space="preserve">Evidence and causal assessment</w:t>
      </w:r>
      <w:bookmarkEnd w:id="50"/>
    </w:p>
    <w:p>
      <w:pPr>
        <w:spacing w:line="360" w:after="210" w:lineRule="auto"/>
      </w:pPr>
      <w:r>
        <w:rPr>
          <w:rFonts w:eastAsia="source serif 4" w:cs="source serif 4" w:ascii="source serif 4" w:hAnsi="source serif 4"/>
          <w:color w:val="000000"/>
        </w:rPr>
        <w:t xml:space="preserve">The reanalysis is observational and cannot isolate causal effects of waiting ability. The test also embeds assumptions about reliability and reward delivery. Environmental reliability and social trust are not noise; they may be part of what the task measures.</w:t>
      </w:r>
    </w:p>
    <w:p>
      <w:pPr>
        <w:spacing w:line="360" w:before="315" w:after="105" w:lineRule="auto"/>
        <w:ind w:left="-30"/>
        <w:jc w:val="left"/>
      </w:pPr>
      <w:bookmarkStart w:id="51" w:name="what_this_does_not_mean_7"/>
      <w:r>
        <w:rPr>
          <w:rFonts w:eastAsia="source serif 4" w:cs="source serif 4" w:ascii="source serif 4" w:hAnsi="source serif 4"/>
          <w:b/>
          <w:color w:val="000000"/>
          <w:sz w:val="24"/>
        </w:rPr>
        <w:t xml:space="preserve">What This Does Not Mean</w:t>
      </w:r>
      <w:bookmarkEnd w:id="51"/>
    </w:p>
    <w:p>
      <w:pPr>
        <w:spacing w:line="360" w:after="210" w:lineRule="auto"/>
      </w:pPr>
      <w:r>
        <w:rPr>
          <w:rFonts w:eastAsia="source serif 4" w:cs="source serif 4" w:ascii="source serif 4" w:hAnsi="source serif 4"/>
          <w:color w:val="000000"/>
        </w:rPr>
        <w:t xml:space="preserve">Waiting longer does not reveal superior character, guaranteed academic success, or a fixed future trajectory. A child who does not wait may be making a rational response to immediate reward, uncertainty, or task demands.</w:t>
      </w:r>
    </w:p>
    <w:p>
      <w:pPr>
        <w:spacing w:line="360" w:before="315" w:after="105" w:lineRule="auto"/>
        <w:ind w:left="-30"/>
        <w:jc w:val="left"/>
      </w:pPr>
      <w:bookmarkStart w:id="52" w:name="what_action_is_reasonably_justified_7"/>
      <w:r>
        <w:rPr>
          <w:rFonts w:eastAsia="source serif 4" w:cs="source serif 4" w:ascii="source serif 4" w:hAnsi="source serif 4"/>
          <w:b/>
          <w:color w:val="000000"/>
          <w:sz w:val="24"/>
        </w:rPr>
        <w:t xml:space="preserve">What Action Is Reasonably Justified</w:t>
      </w:r>
      <w:bookmarkEnd w:id="52"/>
    </w:p>
    <w:p>
      <w:pPr>
        <w:spacing w:line="360" w:after="210" w:lineRule="auto"/>
      </w:pPr>
      <w:r>
        <w:rPr>
          <w:rFonts w:eastAsia="source serif 4" w:cs="source serif 4" w:ascii="source serif 4" w:hAnsi="source serif 4"/>
          <w:color w:val="000000"/>
        </w:rPr>
        <w:t xml:space="preserve">Do not train or rank children around marshmallow-style performance. If studying delay, code the child’s strategies, the reliability of the setting, reward salience, adult behavior, and what the delay predicts beyond baseline cognition and family context.</w:t>
      </w:r>
    </w:p>
    <w:p>
      <w:pPr>
        <w:spacing w:line="360" w:before="315" w:after="105" w:lineRule="auto"/>
        <w:ind w:left="-30"/>
        <w:jc w:val="left"/>
      </w:pPr>
      <w:bookmarkStart w:id="53" w:name="evidence_card_8_environment_stres_b1e955"/>
      <w:r>
        <w:rPr>
          <w:rFonts w:eastAsia="source serif 4" w:cs="source serif 4" w:ascii="source serif 4" w:hAnsi="source serif 4"/>
          <w:b/>
          <w:color w:val="000000"/>
          <w:sz w:val="24"/>
        </w:rPr>
        <w:t xml:space="preserve">Evidence card 8 — Environment, stress, sleep, and social conditions</w:t>
      </w:r>
      <w:bookmarkEnd w:id="53"/>
    </w:p>
    <w:p>
      <w:pPr>
        <w:spacing w:line="360" w:before="315" w:after="105" w:lineRule="auto"/>
        <w:ind w:left="-30"/>
        <w:jc w:val="left"/>
      </w:pPr>
      <w:bookmarkStart w:id="54" w:name="what_we_know_8"/>
      <w:r>
        <w:rPr>
          <w:rFonts w:eastAsia="source serif 4" w:cs="source serif 4" w:ascii="source serif 4" w:hAnsi="source serif 4"/>
          <w:b/>
          <w:color w:val="000000"/>
          <w:sz w:val="24"/>
        </w:rPr>
        <w:t xml:space="preserve">What We Know</w:t>
      </w:r>
      <w:bookmarkEnd w:id="54"/>
    </w:p>
    <w:p>
      <w:pPr>
        <w:spacing w:line="360" w:after="210" w:lineRule="auto"/>
      </w:pPr>
      <w:r>
        <w:rPr>
          <w:rFonts w:eastAsia="source serif 4" w:cs="source serif 4" w:ascii="source serif 4" w:hAnsi="source serif 4"/>
          <w:color w:val="000000"/>
        </w:rPr>
        <w:t xml:space="preserve">EF performance is socially and materially patterned. A meta-analysis found a small overall association between socioeconomic status and EF, increasing toward small-to-medium when samples had meaningful SES variation or used multiple EF measures; heterogeneity was substantial. Better sleep quantity or quality is commonly associated with better preschool cognitive and behavioral outcomes, but much of this literature remains observational.[</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19]</w:t>
      </w:r>
    </w:p>
    <w:p>
      <w:pPr>
        <w:spacing w:line="360" w:before="315" w:after="105" w:lineRule="auto"/>
        <w:ind w:left="-30"/>
        <w:jc w:val="left"/>
      </w:pPr>
      <w:bookmarkStart w:id="55" w:name="how_confident_we_are_8"/>
      <w:r>
        <w:rPr>
          <w:rFonts w:eastAsia="source serif 4" w:cs="source serif 4" w:ascii="source serif 4" w:hAnsi="source serif 4"/>
          <w:b/>
          <w:color w:val="000000"/>
          <w:sz w:val="24"/>
        </w:rPr>
        <w:t xml:space="preserve">How Confident We Are</w:t>
      </w:r>
      <w:bookmarkEnd w:id="55"/>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patterned associations;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specific causal effects of individual environmental exposures in the first three years.</w:t>
      </w:r>
    </w:p>
    <w:p>
      <w:pPr>
        <w:spacing w:line="360" w:before="315" w:after="105" w:lineRule="auto"/>
        <w:ind w:left="-30"/>
        <w:jc w:val="left"/>
      </w:pPr>
      <w:bookmarkStart w:id="56" w:name="evidence_and_causal_assessment_8"/>
      <w:r>
        <w:rPr>
          <w:rFonts w:eastAsia="source serif 4" w:cs="source serif 4" w:ascii="source serif 4" w:hAnsi="source serif 4"/>
          <w:b/>
          <w:color w:val="000000"/>
          <w:sz w:val="24"/>
        </w:rPr>
        <w:t xml:space="preserve">Evidence and causal assessment</w:t>
      </w:r>
      <w:bookmarkEnd w:id="56"/>
    </w:p>
    <w:p>
      <w:pPr>
        <w:spacing w:line="360" w:after="210" w:lineRule="auto"/>
      </w:pPr>
      <w:r>
        <w:rPr>
          <w:rFonts w:eastAsia="source serif 4" w:cs="source serif 4" w:ascii="source serif 4" w:hAnsi="source serif 4"/>
          <w:color w:val="000000"/>
        </w:rPr>
        <w:t xml:space="preserve">Longitudinal, ecological, and intervention research can distinguish contribution from correlation, but material conditions affect nutrition, sleep, stress, language opportunity, childcare quality, health, and assessment context simultaneously. Parent-blaming is therefore not justified by an SES or caregiving association.</w:t>
      </w:r>
    </w:p>
    <w:p>
      <w:pPr>
        <w:spacing w:line="360" w:before="315" w:after="105" w:lineRule="auto"/>
        <w:ind w:left="-30"/>
        <w:jc w:val="left"/>
      </w:pPr>
      <w:bookmarkStart w:id="57" w:name="effect_size_and_persistence_6"/>
      <w:r>
        <w:rPr>
          <w:rFonts w:eastAsia="source serif 4" w:cs="source serif 4" w:ascii="source serif 4" w:hAnsi="source serif 4"/>
          <w:b/>
          <w:color w:val="000000"/>
          <w:sz w:val="24"/>
        </w:rPr>
        <w:t xml:space="preserve">Effect size and persistence</w:t>
      </w:r>
      <w:bookmarkEnd w:id="57"/>
    </w:p>
    <w:p>
      <w:pPr>
        <w:spacing w:line="360" w:after="210" w:lineRule="auto"/>
      </w:pPr>
      <w:r>
        <w:rPr>
          <w:rFonts w:eastAsia="source serif 4" w:cs="source serif 4" w:ascii="source serif 4" w:hAnsi="source serif 4"/>
          <w:color w:val="000000"/>
        </w:rPr>
        <w:t xml:space="preserve">Average associations are small to medium and heterogeneous. They do not imply that an individual child’s EF can be inferred from family income or that early differences must persist.</w:t>
      </w:r>
    </w:p>
    <w:p>
      <w:pPr>
        <w:spacing w:line="360" w:before="315" w:after="105" w:lineRule="auto"/>
        <w:ind w:left="-30"/>
        <w:jc w:val="left"/>
      </w:pPr>
      <w:bookmarkStart w:id="58" w:name="what_this_does_not_mean_8"/>
      <w:r>
        <w:rPr>
          <w:rFonts w:eastAsia="source serif 4" w:cs="source serif 4" w:ascii="source serif 4" w:hAnsi="source serif 4"/>
          <w:b/>
          <w:color w:val="000000"/>
          <w:sz w:val="24"/>
        </w:rPr>
        <w:t xml:space="preserve">What This Does Not Mean</w:t>
      </w:r>
      <w:bookmarkEnd w:id="58"/>
    </w:p>
    <w:p>
      <w:pPr>
        <w:spacing w:line="360" w:after="210" w:lineRule="auto"/>
      </w:pPr>
      <w:r>
        <w:rPr>
          <w:rFonts w:eastAsia="source serif 4" w:cs="source serif 4" w:ascii="source serif 4" w:hAnsi="source serif 4"/>
          <w:color w:val="000000"/>
        </w:rPr>
        <w:t xml:space="preserve">Poverty, stress, disrupted sleep, or lower measured EF should not be translated into parental deficiency or deterministic developmental damage.</w:t>
      </w:r>
    </w:p>
    <w:p>
      <w:pPr>
        <w:spacing w:line="360" w:before="315" w:after="105" w:lineRule="auto"/>
        <w:ind w:left="-30"/>
        <w:jc w:val="left"/>
      </w:pPr>
      <w:bookmarkStart w:id="59" w:name="what_action_is_reasonably_justified_8"/>
      <w:r>
        <w:rPr>
          <w:rFonts w:eastAsia="source serif 4" w:cs="source serif 4" w:ascii="source serif 4" w:hAnsi="source serif 4"/>
          <w:b/>
          <w:color w:val="000000"/>
          <w:sz w:val="24"/>
        </w:rPr>
        <w:t xml:space="preserve">What Action Is Reasonably Justified</w:t>
      </w:r>
      <w:bookmarkEnd w:id="59"/>
    </w:p>
    <w:p>
      <w:pPr>
        <w:spacing w:line="360" w:after="210" w:lineRule="auto"/>
      </w:pPr>
      <w:r>
        <w:rPr>
          <w:rFonts w:eastAsia="source serif 4" w:cs="source serif 4" w:ascii="source serif 4" w:hAnsi="source serif 4"/>
          <w:color w:val="000000"/>
        </w:rPr>
        <w:t xml:space="preserve">Institutional responses should prioritize stable housing, income security, accessible health and childcare services, sleep-supportive schedules, reduced toxic stress, and high-quality learning environments. Family-level guidance should be low-cost, flexible, and non-moralizing.</w:t>
      </w:r>
    </w:p>
    <w:p>
      <w:pPr>
        <w:spacing w:line="360" w:before="315" w:after="105" w:lineRule="auto"/>
        <w:ind w:left="-30"/>
        <w:jc w:val="left"/>
      </w:pPr>
      <w:bookmarkStart w:id="60" w:name="evidence_card_9_play"/>
      <w:r>
        <w:rPr>
          <w:rFonts w:eastAsia="source serif 4" w:cs="source serif 4" w:ascii="source serif 4" w:hAnsi="source serif 4"/>
          <w:b/>
          <w:color w:val="000000"/>
          <w:sz w:val="24"/>
        </w:rPr>
        <w:t xml:space="preserve">Evidence card 9 — Play</w:t>
      </w:r>
      <w:bookmarkEnd w:id="60"/>
    </w:p>
    <w:p>
      <w:pPr>
        <w:spacing w:line="360" w:before="315" w:after="105" w:lineRule="auto"/>
        <w:ind w:left="-30"/>
        <w:jc w:val="left"/>
      </w:pPr>
      <w:bookmarkStart w:id="61" w:name="what_we_know_9"/>
      <w:r>
        <w:rPr>
          <w:rFonts w:eastAsia="source serif 4" w:cs="source serif 4" w:ascii="source serif 4" w:hAnsi="source serif 4"/>
          <w:b/>
          <w:color w:val="000000"/>
          <w:sz w:val="24"/>
        </w:rPr>
        <w:t xml:space="preserve">What We Know</w:t>
      </w:r>
      <w:bookmarkEnd w:id="61"/>
    </w:p>
    <w:p>
      <w:pPr>
        <w:spacing w:line="360" w:after="210" w:lineRule="auto"/>
      </w:pPr>
      <w:r>
        <w:rPr>
          <w:rFonts w:eastAsia="source serif 4" w:cs="source serif 4" w:ascii="source serif 4" w:hAnsi="source serif 4"/>
          <w:color w:val="000000"/>
        </w:rPr>
        <w:t xml:space="preserve">Play plausibly exercises rule representation, shifting, inhibition, language, perspective coordination, and goal maintenance, especially when play is social, symbolic, and sufficiently complex. However, the causal claim that ordinary pretend play independently causes EF growth remains less secure than the claim that play provides a context in which executive processes are practiced and expressed.</w:t>
      </w:r>
    </w:p>
    <w:p>
      <w:pPr>
        <w:spacing w:line="360" w:before="315" w:after="105" w:lineRule="auto"/>
        <w:ind w:left="-30"/>
        <w:jc w:val="left"/>
      </w:pPr>
      <w:bookmarkStart w:id="62" w:name="how_confident_we_are_9"/>
      <w:r>
        <w:rPr>
          <w:rFonts w:eastAsia="source serif 4" w:cs="source serif 4" w:ascii="source serif 4" w:hAnsi="source serif 4"/>
          <w:b/>
          <w:color w:val="000000"/>
          <w:sz w:val="24"/>
        </w:rPr>
        <w:t xml:space="preserve">How Confident We Are</w:t>
      </w:r>
      <w:bookmarkEnd w:id="62"/>
    </w:p>
    <w:p>
      <w:pPr>
        <w:spacing w:line="360" w:after="210" w:lineRule="auto"/>
      </w:pP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Reviews identify promising approaches such as mediated play, movement, and cognitively challenging activities, but play studies vary widely in definitions, comparison conditions, fidelity, and outcomes.[^20]</w:t>
      </w:r>
    </w:p>
    <w:p>
      <w:pPr>
        <w:spacing w:line="360" w:before="315" w:after="105" w:lineRule="auto"/>
        <w:ind w:left="-30"/>
        <w:jc w:val="left"/>
      </w:pPr>
      <w:bookmarkStart w:id="63" w:name="evidence_and_causal_assessment_9"/>
      <w:r>
        <w:rPr>
          <w:rFonts w:eastAsia="source serif 4" w:cs="source serif 4" w:ascii="source serif 4" w:hAnsi="source serif 4"/>
          <w:b/>
          <w:color w:val="000000"/>
          <w:sz w:val="24"/>
        </w:rPr>
        <w:t xml:space="preserve">Evidence and causal assessment</w:t>
      </w:r>
      <w:bookmarkEnd w:id="63"/>
    </w:p>
    <w:p>
      <w:pPr>
        <w:spacing w:line="360" w:after="210" w:lineRule="auto"/>
      </w:pPr>
      <w:r>
        <w:rPr>
          <w:rFonts w:eastAsia="source serif 4" w:cs="source serif 4" w:ascii="source serif 4" w:hAnsi="source serif 4"/>
          <w:color w:val="000000"/>
        </w:rPr>
        <w:t xml:space="preserve">Some longitudinal associations and intervention studies support contribution, while small samples and selection effects remain common. A longitudinal study reported that early pretend play did not correlate with later EF in its sample, illustrating why broad causal claims should be resisted.[^21]</w:t>
      </w:r>
    </w:p>
    <w:p>
      <w:pPr>
        <w:spacing w:line="360" w:before="315" w:after="105" w:lineRule="auto"/>
        <w:ind w:left="-30"/>
        <w:jc w:val="left"/>
      </w:pPr>
      <w:bookmarkStart w:id="64" w:name="what_this_does_not_mean_9"/>
      <w:r>
        <w:rPr>
          <w:rFonts w:eastAsia="source serif 4" w:cs="source serif 4" w:ascii="source serif 4" w:hAnsi="source serif 4"/>
          <w:b/>
          <w:color w:val="000000"/>
          <w:sz w:val="24"/>
        </w:rPr>
        <w:t xml:space="preserve">What This Does Not Mean</w:t>
      </w:r>
      <w:bookmarkEnd w:id="64"/>
    </w:p>
    <w:p>
      <w:pPr>
        <w:spacing w:line="360" w:after="210" w:lineRule="auto"/>
      </w:pPr>
      <w:r>
        <w:rPr>
          <w:rFonts w:eastAsia="source serif 4" w:cs="source serif 4" w:ascii="source serif 4" w:hAnsi="source serif 4"/>
          <w:color w:val="000000"/>
        </w:rPr>
        <w:t xml:space="preserve">All play is executive training, and more adult-directed “educational” play is automatically better. Play should not be reduced to a productivity technology.</w:t>
      </w:r>
    </w:p>
    <w:p>
      <w:pPr>
        <w:spacing w:line="360" w:before="315" w:after="105" w:lineRule="auto"/>
        <w:ind w:left="-30"/>
        <w:jc w:val="left"/>
      </w:pPr>
      <w:bookmarkStart w:id="65" w:name="what_action_is_reasonably_justified_9"/>
      <w:r>
        <w:rPr>
          <w:rFonts w:eastAsia="source serif 4" w:cs="source serif 4" w:ascii="source serif 4" w:hAnsi="source serif 4"/>
          <w:b/>
          <w:color w:val="000000"/>
          <w:sz w:val="24"/>
        </w:rPr>
        <w:t xml:space="preserve">What Action Is Reasonably Justified</w:t>
      </w:r>
      <w:bookmarkEnd w:id="65"/>
    </w:p>
    <w:p>
      <w:pPr>
        <w:spacing w:line="360" w:after="210" w:lineRule="auto"/>
      </w:pPr>
      <w:r>
        <w:rPr>
          <w:rFonts w:eastAsia="source serif 4" w:cs="source serif 4" w:ascii="source serif 4" w:hAnsi="source serif 4"/>
          <w:color w:val="000000"/>
        </w:rPr>
        <w:t xml:space="preserve">Protect time for child-led and social play, offer materials and roles that permit rule changes and symbolic transformation, and join without taking over. The developmental value lies in the activity and relationship, not in a universal play prescription.</w:t>
      </w:r>
    </w:p>
    <w:p>
      <w:pPr>
        <w:spacing w:line="360" w:before="315" w:after="105" w:lineRule="auto"/>
        <w:ind w:left="-30"/>
        <w:jc w:val="left"/>
      </w:pPr>
      <w:bookmarkStart w:id="66" w:name="evidence_card_10_interventions_an_bca4e9"/>
      <w:r>
        <w:rPr>
          <w:rFonts w:eastAsia="source serif 4" w:cs="source serif 4" w:ascii="source serif 4" w:hAnsi="source serif 4"/>
          <w:b/>
          <w:color w:val="000000"/>
          <w:sz w:val="24"/>
        </w:rPr>
        <w:t xml:space="preserve">Evidence card 10 — Interventions and transfer</w:t>
      </w:r>
      <w:bookmarkEnd w:id="66"/>
    </w:p>
    <w:p>
      <w:pPr>
        <w:spacing w:line="360" w:before="315" w:after="105" w:lineRule="auto"/>
        <w:ind w:left="-30"/>
        <w:jc w:val="left"/>
      </w:pPr>
      <w:bookmarkStart w:id="67" w:name="what_we_know_10"/>
      <w:r>
        <w:rPr>
          <w:rFonts w:eastAsia="source serif 4" w:cs="source serif 4" w:ascii="source serif 4" w:hAnsi="source serif 4"/>
          <w:b/>
          <w:color w:val="000000"/>
          <w:sz w:val="24"/>
        </w:rPr>
        <w:t xml:space="preserve">What We Know</w:t>
      </w:r>
      <w:bookmarkEnd w:id="67"/>
    </w:p>
    <w:p>
      <w:pPr>
        <w:spacing w:line="360" w:after="210" w:lineRule="auto"/>
      </w:pPr>
      <w:r>
        <w:rPr>
          <w:rFonts w:eastAsia="source serif 4" w:cs="source serif 4" w:ascii="source serif 4" w:hAnsi="source serif 4"/>
          <w:color w:val="000000"/>
        </w:rPr>
        <w:t xml:space="preserve">EF interventions can improve performance on trained or closely related tasks, but evidence for durable, broad transfer is mixed. A meta-analysis of children’s experimental training found a significant near-transfer effect of approximately 0.44 standard deviations but no convincing far-transfer effect, approximately 0.11 and nonsignificant. Other meta-analyses report positive preschool EF effects, but estimates differ with inclusion criteria, controls, outcome choice, and risk of bias.[</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23][^24]</w:t>
      </w:r>
    </w:p>
    <w:p>
      <w:pPr>
        <w:spacing w:line="360" w:after="210" w:lineRule="auto"/>
      </w:pPr>
      <w:r>
        <w:rPr>
          <w:rFonts w:eastAsia="source serif 4" w:cs="source serif 4" w:ascii="source serif 4" w:hAnsi="source serif 4"/>
          <w:color w:val="000000"/>
        </w:rPr>
        <w:t xml:space="preserve">More recent preschool evidence remains cautious: a 2026 review of randomized trials reported small effects for verbal working memory and inhibitory control, an almost null effect for nonverbal working memory, and substantial heterogeneity for some outcomes.[^25]</w:t>
      </w:r>
    </w:p>
    <w:p>
      <w:pPr>
        <w:spacing w:line="360" w:before="315" w:after="105" w:lineRule="auto"/>
        <w:ind w:left="-30"/>
        <w:jc w:val="left"/>
      </w:pPr>
      <w:bookmarkStart w:id="68" w:name="how_confident_we_are_10"/>
      <w:r>
        <w:rPr>
          <w:rFonts w:eastAsia="source serif 4" w:cs="source serif 4" w:ascii="source serif 4" w:hAnsi="source serif 4"/>
          <w:b/>
          <w:color w:val="000000"/>
          <w:sz w:val="24"/>
        </w:rPr>
        <w:t xml:space="preserve">How Confident We Are</w:t>
      </w:r>
      <w:bookmarkEnd w:id="68"/>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that targeted gains are possible;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that gains generalize to untrained cognition, academic achievement, everyday behavior, or later life. Follow-up durability is a major weakness: one broad meta-analysis found no convincing evidence that benefits consistently remained at follow-up.[^23]</w:t>
      </w:r>
    </w:p>
    <w:p>
      <w:pPr>
        <w:spacing w:line="360" w:before="315" w:after="105" w:lineRule="auto"/>
        <w:ind w:left="-30"/>
        <w:jc w:val="left"/>
      </w:pPr>
      <w:bookmarkStart w:id="69" w:name="efficacy_effectiveness_scalabilit_b2a171"/>
      <w:r>
        <w:rPr>
          <w:rFonts w:eastAsia="source serif 4" w:cs="source serif 4" w:ascii="source serif 4" w:hAnsi="source serif 4"/>
          <w:b/>
          <w:color w:val="000000"/>
          <w:sz w:val="24"/>
        </w:rPr>
        <w:t xml:space="preserve">Efficacy, effectiveness, scalability, institutional dependence</w:t>
      </w:r>
      <w:bookmarkEnd w:id="69"/>
    </w:p>
    <w:p>
      <w:pPr>
        <w:spacing w:line="360" w:after="210" w:lineRule="auto"/>
      </w:pPr>
      <w:r>
        <w:rPr>
          <w:rFonts w:eastAsia="source serif 4" w:cs="source serif 4" w:ascii="source serif 4" w:hAnsi="source serif 4"/>
          <w:color w:val="000000"/>
        </w:rPr>
        <w:t xml:space="preserve">Programs such as Tools of the Mind illustrate why intervention findings must be read across trials. Some randomized studies report gains in specific behavioral or classroom outcomes, while another large randomized evaluation found no expected benefits and some negative outcomes through first grade. Implementation fidelity, teacher training, curriculum contrast, outcome measurement, and institutional context are plausible active ingredients.[</w:t>
      </w:r>
      <w:r>
        <w:rPr>
          <w:rFonts w:eastAsia="source serif 4" w:cs="source serif 4" w:ascii="source serif 4" w:hAnsi="source serif 4"/>
          <w:color w:val="000000"/>
          <w:vertAlign w:val="superscript"/>
        </w:rPr>
        <w:t xml:space="preserve">26][</w:t>
      </w:r>
      <w:r>
        <w:rPr>
          <w:rFonts w:eastAsia="source serif 4" w:cs="source serif 4" w:ascii="source serif 4" w:hAnsi="source serif 4"/>
          <w:color w:val="000000"/>
        </w:rPr>
        <w:t xml:space="preserve">27][^28]</w:t>
      </w:r>
    </w:p>
    <w:p>
      <w:pPr>
        <w:spacing w:line="360" w:before="315" w:after="105" w:lineRule="auto"/>
        <w:ind w:left="-30"/>
        <w:jc w:val="left"/>
      </w:pPr>
      <w:bookmarkStart w:id="70" w:name="what_this_does_not_mean_10"/>
      <w:r>
        <w:rPr>
          <w:rFonts w:eastAsia="source serif 4" w:cs="source serif 4" w:ascii="source serif 4" w:hAnsi="source serif 4"/>
          <w:b/>
          <w:color w:val="000000"/>
          <w:sz w:val="24"/>
        </w:rPr>
        <w:t xml:space="preserve">What This Does Not Mean</w:t>
      </w:r>
      <w:bookmarkEnd w:id="70"/>
    </w:p>
    <w:p>
      <w:pPr>
        <w:spacing w:line="360" w:after="210" w:lineRule="auto"/>
      </w:pPr>
      <w:r>
        <w:rPr>
          <w:rFonts w:eastAsia="source serif 4" w:cs="source serif 4" w:ascii="source serif 4" w:hAnsi="source serif 4"/>
          <w:color w:val="000000"/>
        </w:rPr>
        <w:t xml:space="preserve">EF is neither untrainable nor fully trainable through brief computerized exercises, worksheets, or a single curriculum. A post-test improvement is not automatically far transfer, durable change, or improved life functioning.</w:t>
      </w:r>
    </w:p>
    <w:p>
      <w:pPr>
        <w:spacing w:line="360" w:before="315" w:after="105" w:lineRule="auto"/>
        <w:ind w:left="-30"/>
        <w:jc w:val="left"/>
      </w:pPr>
      <w:bookmarkStart w:id="71" w:name="what_action_is_reasonably_justified_10"/>
      <w:r>
        <w:rPr>
          <w:rFonts w:eastAsia="source serif 4" w:cs="source serif 4" w:ascii="source serif 4" w:hAnsi="source serif 4"/>
          <w:b/>
          <w:color w:val="000000"/>
          <w:sz w:val="24"/>
        </w:rPr>
        <w:t xml:space="preserve">What Action Is Reasonably Justified</w:t>
      </w:r>
      <w:bookmarkEnd w:id="71"/>
    </w:p>
    <w:p>
      <w:pPr>
        <w:spacing w:line="360" w:after="210" w:lineRule="auto"/>
      </w:pPr>
      <w:r>
        <w:rPr>
          <w:rFonts w:eastAsia="source serif 4" w:cs="source serif 4" w:ascii="source serif 4" w:hAnsi="source serif 4"/>
          <w:color w:val="000000"/>
        </w:rPr>
        <w:t xml:space="preserve">Prefer developmentally embedded, sustained, relational, and context-rich supports over narrow score training. Evaluate active ingredients, implementation burden, equity, adverse effects, and follow-up outcomes before recommending scale-up.</w:t>
      </w:r>
    </w:p>
    <w:p>
      <w:pPr>
        <w:spacing w:line="360" w:before="315" w:after="105" w:lineRule="auto"/>
        <w:ind w:left="-30"/>
        <w:jc w:val="left"/>
      </w:pPr>
      <w:bookmarkStart w:id="72" w:name="claim_register_recommended_status"/>
      <w:r>
        <w:rPr>
          <w:rFonts w:eastAsia="source serif 4" w:cs="source serif 4" w:ascii="source serif 4" w:hAnsi="source serif 4"/>
          <w:b/>
          <w:color w:val="000000"/>
          <w:sz w:val="24"/>
        </w:rPr>
        <w:t xml:space="preserve">Claim register: recommended status</w:t>
      </w:r>
      <w:bookmarkEnd w:id="7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Recommended wording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C11-01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 develops gradually during early childhood.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moderate-high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EF shows robust age-related change, with early forms visible before preschool and increasing integration 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C11-02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 is distinct from intelligence and compliance.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EF overlaps with language and general ability but is not equivalent to either intelligence or obedience.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C11-03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Inhibitory control improves in toddlerhood.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moderate-high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Response suppression becomes more reliable and flexible across toddlerhood, but remains context-dependent.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C11-04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Working memory supports goal-directed behavior.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Maintaining and updating information helps a child preserve a rule or goal while acting.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C11-05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Cognitive flexibility emerges gradually.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Rule switching and adaptation improve with development, language, representation, and practice.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C11-06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Language supports self-guided behavior.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Language and private speech can support goal maintenance and inhibition; effects are reciprocal and not exclusive.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C11-07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 reflects biology-experience interaction.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Maturation creates changing capacities that are organized through relationships, learning, and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C11-08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Environment influences EF.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for association; lower for specific causal pathways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Material and relational conditions are associated with EF, but causal pathways are multilevel and heterogeneous.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C11-09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Delay measures require caution.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Strongly supported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Delay performance is task- and context-specific and has limited independent predictive meaning after controls.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C11-10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Play may support EF.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Plausible, low-moderate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Play can provide practice contexts, but causal and general-transfer claims remain limited.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C11-11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Interventions show mixed measurable effects.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Strongly supported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Targeted and near-transfer gains occur; durable far transfer is inconsistent.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C11-12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 differences are probabilistic, not deterministic.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Strongly supported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Early EF differences forecast possibilities imperfectly and can change with development and context.</w:t>
            </w:r>
          </w:p>
        </w:tc>
      </w:tr>
    </w:tbl>
    <w:p>
      <w:pPr>
        <w:spacing w:lineRule="auto"/>
      </w:pPr>
    </w:p>
    <w:p>
      <w:pPr>
        <w:spacing w:line="360" w:before="315" w:after="105" w:lineRule="auto"/>
        <w:ind w:left="-30"/>
        <w:jc w:val="left"/>
      </w:pPr>
      <w:bookmarkStart w:id="73" w:name="developmental_timeline_0_36_months"/>
      <w:r>
        <w:rPr>
          <w:rFonts w:eastAsia="source serif 4" w:cs="source serif 4" w:ascii="source serif 4" w:hAnsi="source serif 4"/>
          <w:b/>
          <w:color w:val="000000"/>
          <w:sz w:val="24"/>
        </w:rPr>
        <w:t xml:space="preserve">Developmental timeline: 0–36 months</w:t>
      </w:r>
      <w:bookmarkEnd w:id="7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Period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can reasonably be investigated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0–6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Orienting, sustained looking, recovery from distraction, early response modulation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 not label these adult EF components; state that they are precursors or component processes.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6–12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Inhibition of reaching or responding, memory for locations or rules, attentional shifting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Performance is strongly affected by perceptual salience, motor control, and caregiver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12–18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Context-bound inhibition, means-end action, emerging persistence, simple rule use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do” is not “does consistently”; emotional arousal can rapidly change performance.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18–24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Short rule maintenance, deferred action under support, early flexible switching, symbolic guidance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Language and comprehension become increasingly important confounds and supports.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24–36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More reliable inhibition, simple planning, rule switching, private speech, goal persistence, problem solving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Control remains fragile, domain-specific, and highly dependent on adult scaffolding and state.</w:t>
            </w:r>
          </w:p>
        </w:tc>
      </w:tr>
    </w:tbl>
    <w:p>
      <w:pPr>
        <w:spacing w:lineRule="auto"/>
      </w:pPr>
    </w:p>
    <w:p>
      <w:pPr>
        <w:spacing w:line="360" w:after="210" w:lineRule="auto"/>
      </w:pPr>
      <w:r>
        <w:rPr>
          <w:rFonts w:eastAsia="source serif 4" w:cs="source serif 4" w:ascii="source serif 4" w:hAnsi="source serif 4"/>
          <w:color w:val="000000"/>
        </w:rPr>
        <w:t xml:space="preserve">The timeline should avoid presenting a universal sequence in which one capacity fully precedes another. Evidence suggests overlapping waves: early attention and response control provide foundations, while working memory, language-mediated guidance, flexibility, and integrated goal maintenance become increasingly visible across the second and third years.[</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5][^6]</w:t>
      </w:r>
    </w:p>
    <w:p>
      <w:pPr>
        <w:spacing w:line="360" w:before="315" w:after="105" w:lineRule="auto"/>
        <w:ind w:left="-30"/>
        <w:jc w:val="left"/>
      </w:pPr>
      <w:bookmarkStart w:id="74" w:name="causal_maps_with_safeguards"/>
      <w:r>
        <w:rPr>
          <w:rFonts w:eastAsia="source serif 4" w:cs="source serif 4" w:ascii="source serif 4" w:hAnsi="source serif 4"/>
          <w:b/>
          <w:color w:val="000000"/>
          <w:sz w:val="24"/>
        </w:rPr>
        <w:t xml:space="preserve">Causal maps with safeguards</w:t>
      </w:r>
      <w:bookmarkEnd w:id="74"/>
    </w:p>
    <w:p>
      <w:pPr>
        <w:spacing w:line="360" w:before="315" w:after="105" w:lineRule="auto"/>
        <w:ind w:left="-30"/>
        <w:jc w:val="left"/>
      </w:pPr>
      <w:bookmarkStart w:id="75" w:name="map_a_executive_development"/>
      <w:r>
        <w:rPr>
          <w:rFonts w:eastAsia="source serif 4" w:cs="source serif 4" w:ascii="source serif 4" w:hAnsi="source serif 4"/>
          <w:b/>
          <w:color w:val="000000"/>
          <w:sz w:val="24"/>
        </w:rPr>
        <w:t xml:space="preserve">Map A — Executive development</w:t>
      </w:r>
      <w:bookmarkEnd w:id="75"/>
    </w:p>
    <w:p>
      <w:pPr>
        <w:spacing w:line="360" w:after="210" w:lineRule="auto"/>
      </w:pPr>
      <w:r>
        <w:rPr>
          <w:rFonts w:eastAsia="source serif 4" w:cs="source serif 4" w:ascii="source serif 4" w:hAnsi="source serif 4"/>
          <w:color w:val="000000"/>
        </w:rPr>
        <w:t xml:space="preserve">Neural maturation + attentional change + language + emotion regulation + social scaffolding + repeated goal-directed activity → improved performance on some EF tasks.</w:t>
      </w:r>
    </w:p>
    <w:p>
      <w:pPr>
        <w:spacing w:line="360" w:after="210" w:lineRule="auto"/>
      </w:pPr>
      <w:r>
        <w:rPr>
          <w:rFonts w:eastAsia="source serif 4" w:cs="source serif 4" w:ascii="source serif 4" w:hAnsi="source serif 4"/>
          <w:b/>
          <w:color w:val="000000"/>
        </w:rPr>
        <w:t xml:space="preserve">Safeguard:</w:t>
      </w:r>
      <w:r>
        <w:rPr>
          <w:rFonts w:eastAsia="source serif 4" w:cs="source serif 4" w:ascii="source serif 4" w:hAnsi="source serif 4"/>
          <w:color w:val="000000"/>
        </w:rPr>
        <w:t xml:space="preserve"> this is a developmental systems hypothesis, not a single causal chain. Each arrow requires separate evidence, and observed EF performance may also alter caregiver behavior and learning opportunities.</w:t>
      </w:r>
    </w:p>
    <w:p>
      <w:pPr>
        <w:spacing w:line="360" w:before="315" w:after="105" w:lineRule="auto"/>
        <w:ind w:left="-30"/>
        <w:jc w:val="left"/>
      </w:pPr>
      <w:bookmarkStart w:id="76" w:name="map_b_goal_maintenance"/>
      <w:r>
        <w:rPr>
          <w:rFonts w:eastAsia="source serif 4" w:cs="source serif 4" w:ascii="source serif 4" w:hAnsi="source serif 4"/>
          <w:b/>
          <w:color w:val="000000"/>
          <w:sz w:val="24"/>
        </w:rPr>
        <w:t xml:space="preserve">Map B — Goal maintenance</w:t>
      </w:r>
      <w:bookmarkEnd w:id="76"/>
    </w:p>
    <w:p>
      <w:pPr>
        <w:spacing w:line="360" w:after="210" w:lineRule="auto"/>
      </w:pPr>
      <w:r>
        <w:rPr>
          <w:rFonts w:eastAsia="source serif 4" w:cs="source serif 4" w:ascii="source serif 4" w:hAnsi="source serif 4"/>
          <w:color w:val="000000"/>
        </w:rPr>
        <w:t xml:space="preserve">Attention and working memory → representation of a rule or goal → inhibition of competing action → organized behavior.</w:t>
      </w:r>
    </w:p>
    <w:p>
      <w:pPr>
        <w:spacing w:line="360" w:after="210" w:lineRule="auto"/>
      </w:pPr>
      <w:r>
        <w:rPr>
          <w:rFonts w:eastAsia="source serif 4" w:cs="source serif 4" w:ascii="source serif 4" w:hAnsi="source serif 4"/>
          <w:b/>
          <w:color w:val="000000"/>
        </w:rPr>
        <w:t xml:space="preserve">Safeguard:</w:t>
      </w:r>
      <w:r>
        <w:rPr>
          <w:rFonts w:eastAsia="source serif 4" w:cs="source serif 4" w:ascii="source serif 4" w:hAnsi="source serif 4"/>
          <w:color w:val="000000"/>
        </w:rPr>
        <w:t xml:space="preserve"> motivation, reward value, language comprehension, fatigue, and emotional state can interrupt any link.</w:t>
      </w:r>
    </w:p>
    <w:p>
      <w:pPr>
        <w:spacing w:line="360" w:before="315" w:after="105" w:lineRule="auto"/>
        <w:ind w:left="-30"/>
        <w:jc w:val="left"/>
      </w:pPr>
      <w:bookmarkStart w:id="77" w:name="map_c_self_guidance"/>
      <w:r>
        <w:rPr>
          <w:rFonts w:eastAsia="source serif 4" w:cs="source serif 4" w:ascii="source serif 4" w:hAnsi="source serif 4"/>
          <w:b/>
          <w:color w:val="000000"/>
          <w:sz w:val="24"/>
        </w:rPr>
        <w:t xml:space="preserve">Map C — Self-guidance</w:t>
      </w:r>
      <w:bookmarkEnd w:id="77"/>
    </w:p>
    <w:p>
      <w:pPr>
        <w:spacing w:line="360" w:after="210" w:lineRule="auto"/>
      </w:pPr>
      <w:r>
        <w:rPr>
          <w:rFonts w:eastAsia="source serif 4" w:cs="source serif 4" w:ascii="source serif 4" w:hAnsi="source serif 4"/>
          <w:color w:val="000000"/>
        </w:rPr>
        <w:t xml:space="preserve">Social speech and adult modeling → child-directed speech and gesture → increasingly internal verbal or symbolic guidance.</w:t>
      </w:r>
    </w:p>
    <w:p>
      <w:pPr>
        <w:spacing w:line="360" w:after="210" w:lineRule="auto"/>
      </w:pPr>
      <w:r>
        <w:rPr>
          <w:rFonts w:eastAsia="source serif 4" w:cs="source serif 4" w:ascii="source serif 4" w:hAnsi="source serif 4"/>
          <w:b/>
          <w:color w:val="000000"/>
        </w:rPr>
        <w:t xml:space="preserve">Safeguard:</w:t>
      </w:r>
      <w:r>
        <w:rPr>
          <w:rFonts w:eastAsia="source serif 4" w:cs="source serif 4" w:ascii="source serif 4" w:hAnsi="source serif 4"/>
          <w:color w:val="000000"/>
        </w:rPr>
        <w:t xml:space="preserve"> private speech is associated with later control, but reciprocal development and selection effects prevent a simple one-way interpretation.[^13]</w:t>
      </w:r>
    </w:p>
    <w:p>
      <w:pPr>
        <w:spacing w:line="360" w:before="315" w:after="105" w:lineRule="auto"/>
        <w:ind w:left="-30"/>
        <w:jc w:val="left"/>
      </w:pPr>
      <w:bookmarkStart w:id="78" w:name="map_d_delay_behavior"/>
      <w:r>
        <w:rPr>
          <w:rFonts w:eastAsia="source serif 4" w:cs="source serif 4" w:ascii="source serif 4" w:hAnsi="source serif 4"/>
          <w:b/>
          <w:color w:val="000000"/>
          <w:sz w:val="24"/>
        </w:rPr>
        <w:t xml:space="preserve">Map D — Delay behavior</w:t>
      </w:r>
      <w:bookmarkEnd w:id="78"/>
    </w:p>
    <w:p>
      <w:pPr>
        <w:spacing w:line="360" w:after="210" w:lineRule="auto"/>
      </w:pPr>
      <w:r>
        <w:rPr>
          <w:rFonts w:eastAsia="source serif 4" w:cs="source serif 4" w:ascii="source serif 4" w:hAnsi="source serif 4"/>
          <w:color w:val="000000"/>
        </w:rPr>
        <w:t xml:space="preserve">Attention deployment + reward representation + expectation of reliable delivery + inhibition + emotion regulation → observed waiting.</w:t>
      </w:r>
    </w:p>
    <w:p>
      <w:pPr>
        <w:spacing w:line="360" w:after="210" w:lineRule="auto"/>
      </w:pPr>
      <w:r>
        <w:rPr>
          <w:rFonts w:eastAsia="source serif 4" w:cs="source serif 4" w:ascii="source serif 4" w:hAnsi="source serif 4"/>
          <w:b/>
          <w:color w:val="000000"/>
        </w:rPr>
        <w:t xml:space="preserve">Safeguard:</w:t>
      </w:r>
      <w:r>
        <w:rPr>
          <w:rFonts w:eastAsia="source serif 4" w:cs="source serif 4" w:ascii="source serif 4" w:hAnsi="source serif 4"/>
          <w:color w:val="000000"/>
        </w:rPr>
        <w:t xml:space="preserve"> the task measures the child-in-context, not a pure self-control essence.[</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15]</w:t>
      </w:r>
    </w:p>
    <w:p>
      <w:pPr>
        <w:spacing w:line="360" w:before="315" w:after="105" w:lineRule="auto"/>
        <w:ind w:left="-30"/>
        <w:jc w:val="left"/>
      </w:pPr>
      <w:bookmarkStart w:id="79" w:name="map_e_environmental_effects"/>
      <w:r>
        <w:rPr>
          <w:rFonts w:eastAsia="source serif 4" w:cs="source serif 4" w:ascii="source serif 4" w:hAnsi="source serif 4"/>
          <w:b/>
          <w:color w:val="000000"/>
          <w:sz w:val="24"/>
        </w:rPr>
        <w:t xml:space="preserve">Map E — Environmental effects</w:t>
      </w:r>
      <w:bookmarkEnd w:id="79"/>
    </w:p>
    <w:p>
      <w:pPr>
        <w:spacing w:line="360" w:after="210" w:lineRule="auto"/>
      </w:pPr>
      <w:r>
        <w:rPr>
          <w:rFonts w:eastAsia="source serif 4" w:cs="source serif 4" w:ascii="source serif 4" w:hAnsi="source serif 4"/>
          <w:color w:val="000000"/>
        </w:rPr>
        <w:t xml:space="preserve">Material conditions, stress, sleep, relationships, and opportunities → state regulation, language, attention, and learning conditions → EF performance and development.</w:t>
      </w:r>
    </w:p>
    <w:p>
      <w:pPr>
        <w:spacing w:line="360" w:after="210" w:lineRule="auto"/>
      </w:pPr>
      <w:r>
        <w:rPr>
          <w:rFonts w:eastAsia="source serif 4" w:cs="source serif 4" w:ascii="source serif 4" w:hAnsi="source serif 4"/>
          <w:b/>
          <w:color w:val="000000"/>
        </w:rPr>
        <w:t xml:space="preserve">Safeguard:</w:t>
      </w:r>
      <w:r>
        <w:rPr>
          <w:rFonts w:eastAsia="source serif 4" w:cs="source serif 4" w:ascii="source serif 4" w:hAnsi="source serif 4"/>
          <w:color w:val="000000"/>
        </w:rPr>
        <w:t xml:space="preserve"> the model must include institutional and structural causes; it must not convert group-level associations into judgments about caregivers.[</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18]</w:t>
      </w:r>
    </w:p>
    <w:p>
      <w:pPr>
        <w:spacing w:line="360" w:before="315" w:after="105" w:lineRule="auto"/>
        <w:ind w:left="-30"/>
        <w:jc w:val="left"/>
      </w:pPr>
      <w:bookmarkStart w:id="80" w:name="replication_and_controversy_register"/>
      <w:r>
        <w:rPr>
          <w:rFonts w:eastAsia="source serif 4" w:cs="source serif 4" w:ascii="source serif 4" w:hAnsi="source serif 4"/>
          <w:b/>
          <w:color w:val="000000"/>
          <w:sz w:val="24"/>
        </w:rPr>
        <w:t xml:space="preserve">Replication and controversy register</w:t>
      </w:r>
      <w:bookmarkEnd w:id="8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Issue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 assessment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Chapter treatment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One EF system or many?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Shared variance and separable components coexist; model fit varies.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Present “unity and diversity” as a live measurement problem.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Marshmallow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Predictive associations attenuate with controls and do not reliably forecast adult outcomes.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as a case study in construct validity and causal overreach.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Training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Near transfer is more reliable than far transfer; durability is uncertain.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Separate efficacy, effectiveness, scalability, and follow-up.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Plausible practice context; direct causal evidence is thinner.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Avoid “play builds EF” as an unconditional claim.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Brain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Neural correlates and development are real; interpretation is often overextended.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Explain that localization is not causal explanation.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 prediction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 measures forecast imperfectly and are state- and task-sensitive.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Emphasize probability, plasticity, and measurement error.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Cultural generalizability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Much evidence derives from WEIRD or institutionally advantaged contexts.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Treat cultural and socioeconomic variation as central, not as a footnote.</w:t>
            </w:r>
          </w:p>
        </w:tc>
      </w:tr>
    </w:tbl>
    <w:p>
      <w:pPr>
        <w:spacing w:lineRule="auto"/>
      </w:pPr>
    </w:p>
    <w:p>
      <w:pPr>
        <w:spacing w:line="360" w:before="315" w:after="105" w:lineRule="auto"/>
        <w:ind w:left="-30"/>
        <w:jc w:val="left"/>
      </w:pPr>
      <w:bookmarkStart w:id="81" w:name="parent_facing_translation_matrix"/>
      <w:r>
        <w:rPr>
          <w:rFonts w:eastAsia="source serif 4" w:cs="source serif 4" w:ascii="source serif 4" w:hAnsi="source serif 4"/>
          <w:b/>
          <w:color w:val="000000"/>
          <w:sz w:val="24"/>
        </w:rPr>
        <w:t xml:space="preserve">Parent-facing translation matrix</w:t>
      </w:r>
      <w:bookmarkEnd w:id="8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Research finding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Proportionate translation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Prohibited inference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improves with development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Expect uneven progress and support re-engagement.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toddler should control impulses like an older child.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Adult scaffolding can improve performance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Make goals visible, brief, predictable, and shared.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Every failure reflects inadequate parenting.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Language can guide 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Narrate steps and invite simple self-talk.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Verbal instruction guarantees internal control.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Sleep and material stability matter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 conditions that make regulation possible.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Families can solve structural stress through routines alone.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Play can exercise control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Protect rich social, symbolic, and rule-changing play.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play is proven EF training.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Training can yield near gains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Judge programs by transfer, durability, equity, and burden.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score increase proves broad cognitive enhancement.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Delay is context-sensitive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 not rank children by waiting.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Waiting reveals character or future success.</w:t>
            </w:r>
          </w:p>
        </w:tc>
      </w:tr>
    </w:tbl>
    <w:p>
      <w:pPr>
        <w:spacing w:lineRule="auto"/>
      </w:pPr>
    </w:p>
    <w:p>
      <w:pPr>
        <w:spacing w:line="360" w:before="315" w:after="105" w:lineRule="auto"/>
        <w:ind w:left="-30"/>
        <w:jc w:val="left"/>
      </w:pPr>
      <w:bookmarkStart w:id="82" w:name="what_chapter_11_must_not_infer"/>
      <w:r>
        <w:rPr>
          <w:rFonts w:eastAsia="source serif 4" w:cs="source serif 4" w:ascii="source serif 4" w:hAnsi="source serif 4"/>
          <w:b/>
          <w:color w:val="000000"/>
          <w:sz w:val="24"/>
        </w:rPr>
        <w:t xml:space="preserve">What Chapter 11 must not infer</w:t>
      </w:r>
      <w:bookmarkEnd w:id="82"/>
    </w:p>
    <w:p>
      <w:pPr>
        <w:numPr>
          <w:ilvl w:val="0"/>
          <w:numId w:val="1"/>
        </w:numPr>
        <w:spacing w:line="360" w:before="105" w:after="105" w:lineRule="auto"/>
      </w:pPr>
      <w:r>
        <w:rPr>
          <w:rFonts w:eastAsia="source serif 4" w:cs="source serif 4" w:ascii="source serif 4" w:hAnsi="source serif 4"/>
          <w:color w:val="000000"/>
          <w:sz w:val="21"/>
        </w:rPr>
        <w:t xml:space="preserve">EF equals intelligence, academic worth, or moral character.</w:t>
      </w:r>
    </w:p>
    <w:p>
      <w:pPr>
        <w:numPr>
          <w:ilvl w:val="0"/>
          <w:numId w:val="1"/>
        </w:numPr>
        <w:spacing w:line="360" w:before="105" w:after="105" w:lineRule="auto"/>
      </w:pPr>
      <w:r>
        <w:rPr>
          <w:rFonts w:eastAsia="source serif 4" w:cs="source serif 4" w:ascii="source serif 4" w:hAnsi="source serif 4"/>
          <w:color w:val="000000"/>
          <w:sz w:val="21"/>
        </w:rPr>
        <w:t xml:space="preserve">A low score identifies poor parenting or a fixed deficit.</w:t>
      </w:r>
    </w:p>
    <w:p>
      <w:pPr>
        <w:numPr>
          <w:ilvl w:val="0"/>
          <w:numId w:val="1"/>
        </w:numPr>
        <w:spacing w:line="360" w:before="105" w:after="105" w:lineRule="auto"/>
      </w:pPr>
      <w:r>
        <w:rPr>
          <w:rFonts w:eastAsia="source serif 4" w:cs="source serif 4" w:ascii="source serif 4" w:hAnsi="source serif 4"/>
          <w:color w:val="000000"/>
          <w:sz w:val="21"/>
        </w:rPr>
        <w:t xml:space="preserve">A delayed-gratification result determines future achievement.</w:t>
      </w:r>
    </w:p>
    <w:p>
      <w:pPr>
        <w:numPr>
          <w:ilvl w:val="0"/>
          <w:numId w:val="1"/>
        </w:numPr>
        <w:spacing w:line="360" w:before="105" w:after="105" w:lineRule="auto"/>
      </w:pPr>
      <w:r>
        <w:rPr>
          <w:rFonts w:eastAsia="source serif 4" w:cs="source serif 4" w:ascii="source serif 4" w:hAnsi="source serif 4"/>
          <w:color w:val="000000"/>
          <w:sz w:val="21"/>
        </w:rPr>
        <w:t xml:space="preserve">Adult brain maturation alone explains toddler behavior.</w:t>
      </w:r>
    </w:p>
    <w:p>
      <w:pPr>
        <w:numPr>
          <w:ilvl w:val="0"/>
          <w:numId w:val="1"/>
        </w:numPr>
        <w:spacing w:line="360" w:before="105" w:after="105" w:lineRule="auto"/>
      </w:pPr>
      <w:r>
        <w:rPr>
          <w:rFonts w:eastAsia="source serif 4" w:cs="source serif 4" w:ascii="source serif 4" w:hAnsi="source serif 4"/>
          <w:color w:val="000000"/>
          <w:sz w:val="21"/>
        </w:rPr>
        <w:t xml:space="preserve">A short program can reliably create broad, durable self-control.</w:t>
      </w:r>
    </w:p>
    <w:p>
      <w:pPr>
        <w:numPr>
          <w:ilvl w:val="0"/>
          <w:numId w:val="1"/>
        </w:numPr>
        <w:spacing w:line="360" w:before="105" w:after="105" w:lineRule="auto"/>
      </w:pPr>
      <w:r>
        <w:rPr>
          <w:rFonts w:eastAsia="source serif 4" w:cs="source serif 4" w:ascii="source serif 4" w:hAnsi="source serif 4"/>
          <w:color w:val="000000"/>
          <w:sz w:val="21"/>
        </w:rPr>
        <w:t xml:space="preserve">A single task measures a general executive capacity.</w:t>
      </w:r>
    </w:p>
    <w:p>
      <w:pPr>
        <w:numPr>
          <w:ilvl w:val="0"/>
          <w:numId w:val="1"/>
        </w:numPr>
        <w:spacing w:line="360" w:before="105" w:after="105" w:lineRule="auto"/>
      </w:pPr>
      <w:r>
        <w:rPr>
          <w:rFonts w:eastAsia="source serif 4" w:cs="source serif 4" w:ascii="source serif 4" w:hAnsi="source serif 4"/>
          <w:color w:val="000000"/>
          <w:sz w:val="21"/>
        </w:rPr>
        <w:t xml:space="preserve">Emotion can be separated from executive function in everyday life.</w:t>
      </w:r>
    </w:p>
    <w:p>
      <w:pPr>
        <w:numPr>
          <w:ilvl w:val="0"/>
          <w:numId w:val="1"/>
        </w:numPr>
        <w:spacing w:line="360" w:before="105" w:after="105" w:lineRule="auto"/>
      </w:pPr>
      <w:r>
        <w:rPr>
          <w:rFonts w:eastAsia="source serif 4" w:cs="source serif 4" w:ascii="source serif 4" w:hAnsi="source serif 4"/>
          <w:color w:val="000000"/>
          <w:sz w:val="21"/>
        </w:rPr>
        <w:t xml:space="preserve">Early differences necessarily persist or become lifelong outcomes.</w:t>
      </w:r>
    </w:p>
    <w:p>
      <w:pPr>
        <w:numPr>
          <w:ilvl w:val="0"/>
          <w:numId w:val="1"/>
        </w:numPr>
        <w:spacing w:line="360" w:before="105" w:after="105" w:lineRule="auto"/>
      </w:pPr>
      <w:r>
        <w:rPr>
          <w:rFonts w:eastAsia="source serif 4" w:cs="source serif 4" w:ascii="source serif 4" w:hAnsi="source serif 4"/>
          <w:color w:val="000000"/>
          <w:sz w:val="21"/>
        </w:rPr>
        <w:t xml:space="preserve">Parent advice can substitute for institutional support when material conditions constrain sleep, safety, time, language exposure, or childcare.</w:t>
      </w:r>
    </w:p>
    <w:p>
      <w:pPr>
        <w:spacing w:line="360" w:before="315" w:after="105" w:lineRule="auto"/>
        <w:ind w:left="-30"/>
        <w:jc w:val="left"/>
      </w:pPr>
      <w:bookmarkStart w:id="83" w:name="proposed_research_deliverables_an_73edfa"/>
      <w:r>
        <w:rPr>
          <w:rFonts w:eastAsia="source serif 4" w:cs="source serif 4" w:ascii="source serif 4" w:hAnsi="source serif 4"/>
          <w:b/>
          <w:color w:val="000000"/>
          <w:sz w:val="24"/>
        </w:rPr>
        <w:t xml:space="preserve">Proposed research deliverables and drafting sequence</w:t>
      </w:r>
      <w:bookmarkEnd w:id="83"/>
    </w:p>
    <w:p>
      <w:pPr>
        <w:numPr>
          <w:ilvl w:val="0"/>
          <w:numId w:val="2"/>
        </w:numPr>
        <w:spacing w:line="360" w:before="105" w:after="105" w:lineRule="auto"/>
      </w:pPr>
      <w:r>
        <w:rPr>
          <w:rFonts w:eastAsia="source serif 4" w:cs="source serif 4" w:ascii="source serif 4" w:hAnsi="source serif 4"/>
          <w:b/>
          <w:color w:val="000000"/>
          <w:sz w:val="21"/>
        </w:rPr>
        <w:t xml:space="preserve">Construct dossier:</w:t>
      </w:r>
      <w:r>
        <w:rPr>
          <w:rFonts w:eastAsia="source serif 4" w:cs="source serif 4" w:ascii="source serif 4" w:hAnsi="source serif 4"/>
          <w:color w:val="000000"/>
          <w:sz w:val="21"/>
        </w:rPr>
        <w:t xml:space="preserve"> define EF, self-regulation, effortful control, temperament, intelligence, compliance, and academic achievement; include a measurement glossary.</w:t>
      </w:r>
    </w:p>
    <w:p>
      <w:pPr>
        <w:numPr>
          <w:ilvl w:val="0"/>
          <w:numId w:val="2"/>
        </w:numPr>
        <w:spacing w:line="360" w:before="105" w:after="105" w:lineRule="auto"/>
      </w:pPr>
      <w:r>
        <w:rPr>
          <w:rFonts w:eastAsia="source serif 4" w:cs="source serif 4" w:ascii="source serif 4" w:hAnsi="source serif 4"/>
          <w:b/>
          <w:color w:val="000000"/>
          <w:sz w:val="21"/>
        </w:rPr>
        <w:t xml:space="preserve">Developmental neuroscience review:</w:t>
      </w:r>
      <w:r>
        <w:rPr>
          <w:rFonts w:eastAsia="source serif 4" w:cs="source serif 4" w:ascii="source serif 4" w:hAnsi="source serif 4"/>
          <w:color w:val="000000"/>
          <w:sz w:val="21"/>
        </w:rPr>
        <w:t xml:space="preserve"> synthesize prefrontal and frontoparietal development while explicitly separating neural association from causal explanation.</w:t>
      </w:r>
    </w:p>
    <w:p>
      <w:pPr>
        <w:numPr>
          <w:ilvl w:val="0"/>
          <w:numId w:val="2"/>
        </w:numPr>
        <w:spacing w:line="360" w:before="105" w:after="105" w:lineRule="auto"/>
      </w:pPr>
      <w:r>
        <w:rPr>
          <w:rFonts w:eastAsia="source serif 4" w:cs="source serif 4" w:ascii="source serif 4" w:hAnsi="source serif 4"/>
          <w:b/>
          <w:color w:val="000000"/>
          <w:sz w:val="21"/>
        </w:rPr>
        <w:t xml:space="preserve">Component reviews:</w:t>
      </w:r>
      <w:r>
        <w:rPr>
          <w:rFonts w:eastAsia="source serif 4" w:cs="source serif 4" w:ascii="source serif 4" w:hAnsi="source serif 4"/>
          <w:color w:val="000000"/>
          <w:sz w:val="21"/>
        </w:rPr>
        <w:t xml:space="preserve"> inhibition, working memory, flexibility, attention, planning, problem solving, and early metacognition.</w:t>
      </w:r>
    </w:p>
    <w:p>
      <w:pPr>
        <w:numPr>
          <w:ilvl w:val="0"/>
          <w:numId w:val="2"/>
        </w:numPr>
        <w:spacing w:line="360" w:before="105" w:after="105" w:lineRule="auto"/>
      </w:pPr>
      <w:r>
        <w:rPr>
          <w:rFonts w:eastAsia="source serif 4" w:cs="source serif 4" w:ascii="source serif 4" w:hAnsi="source serif 4"/>
          <w:b/>
          <w:color w:val="000000"/>
          <w:sz w:val="21"/>
        </w:rPr>
        <w:t xml:space="preserve">Language review:</w:t>
      </w:r>
      <w:r>
        <w:rPr>
          <w:rFonts w:eastAsia="source serif 4" w:cs="source serif 4" w:ascii="source serif 4" w:hAnsi="source serif 4"/>
          <w:color w:val="000000"/>
          <w:sz w:val="21"/>
        </w:rPr>
        <w:t xml:space="preserve"> private speech, verbal self-guidance, gesture, symbolic distancing, and bidirectional language-EF development.</w:t>
      </w:r>
    </w:p>
    <w:p>
      <w:pPr>
        <w:numPr>
          <w:ilvl w:val="0"/>
          <w:numId w:val="2"/>
        </w:numPr>
        <w:spacing w:line="360" w:before="105" w:after="105" w:lineRule="auto"/>
      </w:pPr>
      <w:r>
        <w:rPr>
          <w:rFonts w:eastAsia="source serif 4" w:cs="source serif 4" w:ascii="source serif 4" w:hAnsi="source serif 4"/>
          <w:b/>
          <w:color w:val="000000"/>
          <w:sz w:val="21"/>
        </w:rPr>
        <w:t xml:space="preserve">Context reviews:</w:t>
      </w:r>
      <w:r>
        <w:rPr>
          <w:rFonts w:eastAsia="source serif 4" w:cs="source serif 4" w:ascii="source serif 4" w:hAnsi="source serif 4"/>
          <w:color w:val="000000"/>
          <w:sz w:val="21"/>
        </w:rPr>
        <w:t xml:space="preserve"> emotion, temperament, caregiving, stress, SES, sleep, childcare, and culture.</w:t>
      </w:r>
    </w:p>
    <w:p>
      <w:pPr>
        <w:numPr>
          <w:ilvl w:val="0"/>
          <w:numId w:val="2"/>
        </w:numPr>
        <w:spacing w:line="360" w:before="105" w:after="105" w:lineRule="auto"/>
      </w:pPr>
      <w:r>
        <w:rPr>
          <w:rFonts w:eastAsia="source serif 4" w:cs="source serif 4" w:ascii="source serif 4" w:hAnsi="source serif 4"/>
          <w:b/>
          <w:color w:val="000000"/>
          <w:sz w:val="21"/>
        </w:rPr>
        <w:t xml:space="preserve">Play evidence matrix:</w:t>
      </w:r>
      <w:r>
        <w:rPr>
          <w:rFonts w:eastAsia="source serif 4" w:cs="source serif 4" w:ascii="source serif 4" w:hAnsi="source serif 4"/>
          <w:color w:val="000000"/>
          <w:sz w:val="21"/>
        </w:rPr>
        <w:t xml:space="preserve"> distinguish child-led play, pretend play, rule-based play, mediated play, and play-based curricula; code design, outcome, transfer, and follow-up.</w:t>
      </w:r>
    </w:p>
    <w:p>
      <w:pPr>
        <w:numPr>
          <w:ilvl w:val="0"/>
          <w:numId w:val="2"/>
        </w:numPr>
        <w:spacing w:line="360" w:before="105" w:after="105" w:lineRule="auto"/>
      </w:pPr>
      <w:r>
        <w:rPr>
          <w:rFonts w:eastAsia="source serif 4" w:cs="source serif 4" w:ascii="source serif 4" w:hAnsi="source serif 4"/>
          <w:b/>
          <w:color w:val="000000"/>
          <w:sz w:val="21"/>
        </w:rPr>
        <w:t xml:space="preserve">Intervention review:</w:t>
      </w:r>
      <w:r>
        <w:rPr>
          <w:rFonts w:eastAsia="source serif 4" w:cs="source serif 4" w:ascii="source serif 4" w:hAnsi="source serif 4"/>
          <w:color w:val="000000"/>
          <w:sz w:val="21"/>
        </w:rPr>
        <w:t xml:space="preserve"> separate efficacy, real-world effectiveness, scalability, fidelity, institutional dependence, adverse effects, and far transfer.</w:t>
      </w:r>
    </w:p>
    <w:p>
      <w:pPr>
        <w:numPr>
          <w:ilvl w:val="0"/>
          <w:numId w:val="2"/>
        </w:numPr>
        <w:spacing w:line="360" w:before="105" w:after="105" w:lineRule="auto"/>
      </w:pPr>
      <w:r>
        <w:rPr>
          <w:rFonts w:eastAsia="source serif 4" w:cs="source serif 4" w:ascii="source serif 4" w:hAnsi="source serif 4"/>
          <w:b/>
          <w:color w:val="000000"/>
          <w:sz w:val="21"/>
        </w:rPr>
        <w:t xml:space="preserve">Delayed-gratification reappraisal:</w:t>
      </w:r>
      <w:r>
        <w:rPr>
          <w:rFonts w:eastAsia="source serif 4" w:cs="source serif 4" w:ascii="source serif 4" w:hAnsi="source serif 4"/>
          <w:color w:val="000000"/>
          <w:sz w:val="21"/>
        </w:rPr>
        <w:t xml:space="preserve"> reconstruct original claims, later replications, controls, environmental reliability, and adult-outcome evidence.</w:t>
      </w:r>
    </w:p>
    <w:p>
      <w:pPr>
        <w:numPr>
          <w:ilvl w:val="0"/>
          <w:numId w:val="2"/>
        </w:numPr>
        <w:spacing w:line="360" w:before="105" w:after="105" w:lineRule="auto"/>
      </w:pPr>
      <w:r>
        <w:rPr>
          <w:rFonts w:eastAsia="source serif 4" w:cs="source serif 4" w:ascii="source serif 4" w:hAnsi="source serif 4"/>
          <w:b/>
          <w:color w:val="000000"/>
          <w:sz w:val="21"/>
        </w:rPr>
        <w:t xml:space="preserve">Assessment and bias audit:</w:t>
      </w:r>
      <w:r>
        <w:rPr>
          <w:rFonts w:eastAsia="source serif 4" w:cs="source serif 4" w:ascii="source serif 4" w:hAnsi="source serif 4"/>
          <w:color w:val="000000"/>
          <w:sz w:val="21"/>
        </w:rPr>
        <w:t xml:space="preserve"> task impurity, reliability, measurement invariance, language demands, WEIRD sampling, attrition, publication bias, and translation bias.</w:t>
      </w:r>
    </w:p>
    <w:p>
      <w:pPr>
        <w:numPr>
          <w:ilvl w:val="0"/>
          <w:numId w:val="2"/>
        </w:numPr>
        <w:spacing w:line="360" w:before="105" w:after="105" w:lineRule="auto"/>
      </w:pPr>
      <w:r>
        <w:rPr>
          <w:rFonts w:eastAsia="source serif 4" w:cs="source serif 4" w:ascii="source serif 4" w:hAnsi="source serif 4"/>
          <w:b/>
          <w:color w:val="000000"/>
          <w:sz w:val="21"/>
        </w:rPr>
        <w:t xml:space="preserve">Synthesis memo:</w:t>
      </w:r>
      <w:r>
        <w:rPr>
          <w:rFonts w:eastAsia="source serif 4" w:cs="source serif 4" w:ascii="source serif 4" w:hAnsi="source serif 4"/>
          <w:color w:val="000000"/>
          <w:sz w:val="21"/>
        </w:rPr>
        <w:t xml:space="preserve"> state the narrowest defensible claim for each proposed section and identify claims that should be removed or downgraded.</w:t>
      </w:r>
    </w:p>
    <w:p>
      <w:pPr>
        <w:spacing w:line="360" w:before="315" w:after="105" w:lineRule="auto"/>
        <w:ind w:left="-30"/>
        <w:jc w:val="left"/>
      </w:pPr>
      <w:bookmarkStart w:id="84" w:name="drafting_endpoint"/>
      <w:r>
        <w:rPr>
          <w:rFonts w:eastAsia="source serif 4" w:cs="source serif 4" w:ascii="source serif 4" w:hAnsi="source serif 4"/>
          <w:b/>
          <w:color w:val="000000"/>
          <w:sz w:val="24"/>
        </w:rPr>
        <w:t xml:space="preserve">Drafting endpoint</w:t>
      </w:r>
      <w:bookmarkEnd w:id="84"/>
    </w:p>
    <w:p>
      <w:pPr>
        <w:spacing w:line="360" w:after="210" w:lineRule="auto"/>
      </w:pPr>
      <w:r>
        <w:rPr>
          <w:rFonts w:eastAsia="source serif 4" w:cs="source serif 4" w:ascii="source serif 4" w:hAnsi="source serif 4"/>
          <w:color w:val="000000"/>
        </w:rPr>
        <w:t xml:space="preserve">The proposed endpoint is defensible after qualification:</w:t>
      </w:r>
    </w:p>
    <w:p>
      <w:pPr>
        <w:spacing w:line="360" w:after="210" w:lineRule="auto"/>
        <w:ind w:left="630"/>
      </w:pPr>
      <w:r>
        <w:rPr>
          <w:rFonts w:eastAsia="source serif 4" w:cs="source serif 4" w:ascii="source serif 4" w:hAnsi="source serif 4"/>
          <w:color w:val="000000"/>
        </w:rPr>
        <w:t xml:space="preserve">Executive function is the gradual development of capacities that help children guide attention, thought, and action toward goals not fully determined by the immediate situation. It builds on earlier regulation but is not reducible to compliance or emotional control. Across the first three years, children increasingly maintain representations, inhibit some competing responses, shift between rules, use language and symbols to guide action, and solve problems. These capacities arise through interacting maturation, relationships, language, learning, and material conditions. By age three, the foundations are visible, but control remains fragile, uneven, and context-dependent; early differences are probabilistic and neither fixed traits nor verdicts on children or parents.</w:t>
      </w:r>
    </w:p>
    <w:p>
      <w:pPr>
        <w:spacing w:line="360" w:after="210" w:lineRule="auto"/>
      </w:pPr>
      <w:r>
        <w:rPr>
          <w:rFonts w:eastAsia="source serif 4" w:cs="source serif 4" w:ascii="source serif 4" w:hAnsi="source serif 4"/>
          <w:color w:val="000000"/>
        </w:rPr>
        <w:t xml:space="preserve">The final literary movement—toward “imagined futures”—should be retained as interpretation rather than presented as a direct empirical conclusion. Science supports increasing goal representation and action beyond the immediate stimulus; the meaning of that transition belongs to the book’s interpretive and artistic layer.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 w:name="references"/>
      <w:r>
        <w:rPr>
          <w:rFonts w:eastAsia="source serif 4" w:cs="source serif 4" w:ascii="source serif 4" w:hAnsi="source serif 4"/>
          <w:b/>
          <w:color w:val="000000"/>
          <w:sz w:val="24"/>
        </w:rPr>
        <w:t xml:space="preserve">References</w:t>
      </w:r>
      <w:bookmarkEnd w:id="85"/>
    </w:p>
    <w:p>
      <w:pPr>
        <w:numPr>
          <w:ilvl w:val="0"/>
          <w:numId w:val="3"/>
        </w:numPr>
        <w:spacing w:line="360" w:after="210" w:lineRule="auto"/>
      </w:pPr>
      <w:hyperlink r:id="rId5">
        <w:r>
          <w:rPr>
            <w:rFonts w:eastAsia="source sans 3" w:cs="source sans 3" w:ascii="source sans 3" w:hAnsi="source sans 3"/>
            <w:color w:val="#000"/>
            <w:sz w:val="21"/>
            <w:u w:val="single"/>
          </w:rPr>
          <w:t xml:space="preserve">Executive Functions - PMC - NIH</w:t>
        </w:r>
      </w:hyperlink>
      <w:r>
        <w:rPr>
          <w:rFonts w:eastAsia="source serif 4" w:cs="source serif 4" w:ascii="source serif 4" w:hAnsi="source serif 4"/>
          <w:color w:val="000000"/>
          <w:sz w:val="21"/>
        </w:rPr>
        <w:t xml:space="preserve"> - Executive functions (EFs) make possible mentally playing with ideas; taking the time to think before...</w:t>
      </w:r>
    </w:p>
    <w:p>
      <w:pPr>
        <w:numPr>
          <w:ilvl w:val="0"/>
          <w:numId w:val="3"/>
        </w:numPr>
        <w:spacing w:line="360" w:after="210" w:lineRule="auto"/>
      </w:pPr>
      <w:hyperlink r:id="rId6">
        <w:r>
          <w:rPr>
            <w:rFonts w:eastAsia="source sans 3" w:cs="source sans 3" w:ascii="source sans 3" w:hAnsi="source sans 3"/>
            <w:color w:val="#000"/>
            <w:sz w:val="21"/>
            <w:u w:val="single"/>
          </w:rPr>
          <w:t xml:space="preserve">Unity and Diversity of Executive Functions: Individual Differences as ...</w:t>
        </w:r>
      </w:hyperlink>
      <w:r>
        <w:rPr>
          <w:rFonts w:eastAsia="source serif 4" w:cs="source serif 4" w:ascii="source serif 4" w:hAnsi="source serif 4"/>
          <w:color w:val="000000"/>
          <w:sz w:val="21"/>
        </w:rPr>
        <w:t xml:space="preserve"> - Executive functions (EFs) are high-level cognitive processes, often associated with the frontal lobe...</w:t>
      </w:r>
    </w:p>
    <w:p>
      <w:pPr>
        <w:numPr>
          <w:ilvl w:val="0"/>
          <w:numId w:val="3"/>
        </w:numPr>
        <w:spacing w:line="360" w:after="210" w:lineRule="auto"/>
      </w:pPr>
      <w:hyperlink r:id="rId7">
        <w:r>
          <w:rPr>
            <w:rFonts w:eastAsia="source sans 3" w:cs="source sans 3" w:ascii="source sans 3" w:hAnsi="source sans 3"/>
            <w:color w:val="#000"/>
            <w:sz w:val="21"/>
            <w:u w:val="single"/>
          </w:rPr>
          <w:t xml:space="preserve">The Unity and Diversity of Executive Functions: A Systematic ...</w:t>
        </w:r>
      </w:hyperlink>
      <w:r>
        <w:rPr>
          <w:rFonts w:eastAsia="source serif 4" w:cs="source serif 4" w:ascii="source serif 4" w:hAnsi="source serif 4"/>
          <w:color w:val="000000"/>
          <w:sz w:val="21"/>
        </w:rPr>
        <w:t xml:space="preserve"> - Confirmatory factor analysis (CFA) has been frequently applied to executive function measurement sin...</w:t>
      </w:r>
    </w:p>
    <w:p>
      <w:pPr>
        <w:numPr>
          <w:ilvl w:val="0"/>
          <w:numId w:val="3"/>
        </w:numPr>
        <w:spacing w:line="360" w:after="210" w:lineRule="auto"/>
      </w:pPr>
      <w:hyperlink r:id="rId8">
        <w:r>
          <w:rPr>
            <w:rFonts w:eastAsia="source sans 3" w:cs="source sans 3" w:ascii="source sans 3" w:hAnsi="source sans 3"/>
            <w:color w:val="#000"/>
            <w:sz w:val="21"/>
            <w:u w:val="single"/>
          </w:rPr>
          <w:t xml:space="preserve">The Development of Executive Function: Mechanisms ...</w:t>
        </w:r>
      </w:hyperlink>
      <w:r>
        <w:rPr>
          <w:rFonts w:eastAsia="source serif 4" w:cs="source serif 4" w:ascii="source serif 4" w:hAnsi="source serif 4"/>
          <w:color w:val="000000"/>
          <w:sz w:val="21"/>
        </w:rPr>
        <w:t xml:space="preserve"> - This developmental account of executive function (EF) argues that domain-general analogical processe...</w:t>
      </w:r>
    </w:p>
    <w:p>
      <w:pPr>
        <w:numPr>
          <w:ilvl w:val="0"/>
          <w:numId w:val="3"/>
        </w:numPr>
        <w:spacing w:line="360" w:after="210" w:lineRule="auto"/>
      </w:pPr>
      <w:hyperlink r:id="rId9">
        <w:r>
          <w:rPr>
            <w:rFonts w:eastAsia="source sans 3" w:cs="source sans 3" w:ascii="source sans 3" w:hAnsi="source sans 3"/>
            <w:color w:val="#000"/>
            <w:sz w:val="21"/>
            <w:u w:val="single"/>
          </w:rPr>
          <w:t xml:space="preserve">Executive function in preschoolers: a review using ... - PubMed</w:t>
        </w:r>
      </w:hyperlink>
      <w:r>
        <w:rPr>
          <w:rFonts w:eastAsia="source serif 4" w:cs="source serif 4" w:ascii="source serif 4" w:hAnsi="source serif 4"/>
          <w:color w:val="000000"/>
          <w:sz w:val="21"/>
        </w:rPr>
        <w:t xml:space="preserve"> - During the last 2 decades, major advances have been made in understanding the development of executi...</w:t>
      </w:r>
    </w:p>
    <w:p>
      <w:pPr>
        <w:numPr>
          <w:ilvl w:val="0"/>
          <w:numId w:val="3"/>
        </w:numPr>
        <w:spacing w:line="360" w:after="210" w:lineRule="auto"/>
      </w:pPr>
      <w:hyperlink r:id="rId10">
        <w:r>
          <w:rPr>
            <w:rFonts w:eastAsia="source sans 3" w:cs="source sans 3" w:ascii="source sans 3" w:hAnsi="source sans 3"/>
            <w:color w:val="#000"/>
            <w:sz w:val="21"/>
            <w:u w:val="single"/>
          </w:rPr>
          <w:t xml:space="preserve">Developmentally sensitive measures of executive function in preschool children - PubMed</w:t>
        </w:r>
      </w:hyperlink>
      <w:r>
        <w:rPr>
          <w:rFonts w:eastAsia="source serif 4" w:cs="source serif 4" w:ascii="source serif 4" w:hAnsi="source serif 4"/>
          <w:color w:val="000000"/>
          <w:sz w:val="21"/>
        </w:rPr>
        <w:t xml:space="preserve"> - Changes in executive functioning in the preschool years are recognized as playing a critical role in...</w:t>
      </w:r>
    </w:p>
    <w:p>
      <w:pPr>
        <w:numPr>
          <w:ilvl w:val="0"/>
          <w:numId w:val="3"/>
        </w:numPr>
        <w:spacing w:line="360" w:after="210" w:lineRule="auto"/>
      </w:pPr>
      <w:hyperlink r:id="rId11">
        <w:r>
          <w:rPr>
            <w:rFonts w:eastAsia="source sans 3" w:cs="source sans 3" w:ascii="source sans 3" w:hAnsi="source sans 3"/>
            <w:color w:val="#000"/>
            <w:sz w:val="21"/>
            <w:u w:val="single"/>
          </w:rPr>
          <w:t xml:space="preserve">Prefrontal cortex and executive function in young children - PMC</w:t>
        </w:r>
      </w:hyperlink>
      <w:r>
        <w:rPr>
          <w:rFonts w:eastAsia="source serif 4" w:cs="source serif 4" w:ascii="source serif 4" w:hAnsi="source serif 4"/>
          <w:color w:val="000000"/>
          <w:sz w:val="21"/>
        </w:rPr>
        <w:t xml:space="preserve"> - Executive function (EF) refers to the higher-order cognitive control process for the attainment of a...</w:t>
      </w:r>
    </w:p>
    <w:p>
      <w:pPr>
        <w:numPr>
          <w:ilvl w:val="0"/>
          <w:numId w:val="3"/>
        </w:numPr>
        <w:spacing w:line="360" w:after="210" w:lineRule="auto"/>
      </w:pPr>
      <w:hyperlink r:id="rId12">
        <w:r>
          <w:rPr>
            <w:rFonts w:eastAsia="source sans 3" w:cs="source sans 3" w:ascii="source sans 3" w:hAnsi="source sans 3"/>
            <w:color w:val="#000"/>
            <w:sz w:val="21"/>
            <w:u w:val="single"/>
          </w:rPr>
          <w:t xml:space="preserve">Neural substrates of early executive function development - PubMed</w:t>
        </w:r>
      </w:hyperlink>
      <w:r>
        <w:rPr>
          <w:rFonts w:eastAsia="source serif 4" w:cs="source serif 4" w:ascii="source serif 4" w:hAnsi="source serif 4"/>
          <w:color w:val="000000"/>
          <w:sz w:val="21"/>
        </w:rPr>
        <w:t xml:space="preserve"> - In the last decade, advances in neuroimaging technologies have given rise to a large number of resea...</w:t>
      </w:r>
    </w:p>
    <w:p>
      <w:pPr>
        <w:numPr>
          <w:ilvl w:val="0"/>
          <w:numId w:val="3"/>
        </w:numPr>
        <w:spacing w:line="360" w:after="210" w:lineRule="auto"/>
      </w:pPr>
      <w:hyperlink r:id="rId13">
        <w:r>
          <w:rPr>
            <w:rFonts w:eastAsia="source sans 3" w:cs="source sans 3" w:ascii="source sans 3" w:hAnsi="source sans 3"/>
            <w:color w:val="#000"/>
            <w:sz w:val="21"/>
            <w:u w:val="single"/>
          </w:rPr>
          <w:t xml:space="preserve">Less is more: executive function and symbolic representation in preschool children - PubMed</w:t>
        </w:r>
      </w:hyperlink>
      <w:r>
        <w:rPr>
          <w:rFonts w:eastAsia="source serif 4" w:cs="source serif 4" w:ascii="source serif 4" w:hAnsi="source serif 4"/>
          <w:color w:val="000000"/>
          <w:sz w:val="21"/>
        </w:rPr>
        <w:t xml:space="preserve"> - Executive function is recognized as a critical component of children's cognitive and social developm...</w:t>
      </w:r>
    </w:p>
    <w:p>
      <w:pPr>
        <w:numPr>
          <w:ilvl w:val="0"/>
          <w:numId w:val="3"/>
        </w:numPr>
        <w:spacing w:line="360" w:after="210" w:lineRule="auto"/>
      </w:pPr>
      <w:hyperlink r:id="rId14">
        <w:r>
          <w:rPr>
            <w:rFonts w:eastAsia="source sans 3" w:cs="source sans 3" w:ascii="source sans 3" w:hAnsi="source sans 3"/>
            <w:color w:val="#000"/>
            <w:sz w:val="21"/>
            <w:u w:val="single"/>
          </w:rPr>
          <w:t xml:space="preserve">Assessment of preschool‐age executive functions: A systematic review</w:t>
        </w:r>
      </w:hyperlink>
      <w:r>
        <w:rPr>
          <w:rFonts w:eastAsia="source serif 4" w:cs="source serif 4" w:ascii="source serif 4" w:hAnsi="source serif 4"/>
          <w:color w:val="000000"/>
          <w:sz w:val="21"/>
        </w:rPr>
        <w:t xml:space="preserve"> - ## Abstract</w:t>
      </w:r>
    </w:p>
    <w:p>
      <w:pPr>
        <w:spacing w:line="360" w:after="210" w:lineRule="auto"/>
      </w:pPr>
      <w:r>
        <w:rPr>
          <w:rFonts w:eastAsia="source serif 4" w:cs="source serif 4" w:ascii="source serif 4" w:hAnsi="source serif 4"/>
          <w:color w:val="000000"/>
        </w:rPr>
        <w:t xml:space="preserve">Executive functions (EF) are higher‐order cognitive processes present in the prefrontal...</w:t>
      </w:r>
    </w:p>
    <w:p>
      <w:pPr>
        <w:numPr>
          <w:ilvl w:val="0"/>
          <w:numId w:val="4"/>
        </w:numPr>
        <w:spacing w:line="360" w:after="210" w:lineRule="auto"/>
      </w:pPr>
      <w:hyperlink r:id="rId15">
        <w:r>
          <w:rPr>
            <w:rFonts w:eastAsia="source sans 3" w:cs="source sans 3" w:ascii="source sans 3" w:hAnsi="source sans 3"/>
            <w:color w:val="#000"/>
            <w:sz w:val="21"/>
            <w:u w:val="single"/>
          </w:rPr>
          <w:t xml:space="preserve">Rapid Infant Prefrontal Cortex Development and Sensitivity to ...</w:t>
        </w:r>
      </w:hyperlink>
      <w:r>
        <w:rPr>
          <w:rFonts w:eastAsia="source serif 4" w:cs="source serif 4" w:ascii="source serif 4" w:hAnsi="source serif 4"/>
          <w:color w:val="000000"/>
          <w:sz w:val="21"/>
        </w:rPr>
        <w:t xml:space="preserve"> - Over the last fifteen years, the emerging field of developmental cognitive neuroscience has describe...</w:t>
      </w:r>
    </w:p>
    <w:p>
      <w:pPr>
        <w:numPr>
          <w:ilvl w:val="0"/>
          <w:numId w:val="4"/>
        </w:numPr>
        <w:spacing w:line="360" w:after="210" w:lineRule="auto"/>
      </w:pPr>
      <w:hyperlink r:id="rId16">
        <w:r>
          <w:rPr>
            <w:rFonts w:eastAsia="source sans 3" w:cs="source sans 3" w:ascii="source sans 3" w:hAnsi="source sans 3"/>
            <w:color w:val="#000"/>
            <w:sz w:val="21"/>
            <w:u w:val="single"/>
          </w:rPr>
          <w:t xml:space="preserve">Executive Functions and Language Skills in Preschool Children - PMC</w:t>
        </w:r>
      </w:hyperlink>
      <w:r>
        <w:rPr>
          <w:rFonts w:eastAsia="source serif 4" w:cs="source serif 4" w:ascii="source serif 4" w:hAnsi="source serif 4"/>
          <w:color w:val="000000"/>
          <w:sz w:val="21"/>
        </w:rPr>
        <w:t xml:space="preserve"> - The development of language skills requires a range of linguistic abilities and cognitive processes,...</w:t>
      </w:r>
    </w:p>
    <w:p>
      <w:pPr>
        <w:numPr>
          <w:ilvl w:val="0"/>
          <w:numId w:val="4"/>
        </w:numPr>
        <w:spacing w:line="360" w:after="210" w:lineRule="auto"/>
      </w:pPr>
      <w:hyperlink r:id="rId17">
        <w:r>
          <w:rPr>
            <w:rFonts w:eastAsia="source sans 3" w:cs="source sans 3" w:ascii="source sans 3" w:hAnsi="source sans 3"/>
            <w:color w:val="#000"/>
            <w:sz w:val="21"/>
            <w:u w:val="single"/>
          </w:rPr>
          <w:t xml:space="preserve">Private Speech and the Development of Self-Regulation - PMC</w:t>
        </w:r>
      </w:hyperlink>
      <w:r>
        <w:rPr>
          <w:rFonts w:eastAsia="source serif 4" w:cs="source serif 4" w:ascii="source serif 4" w:hAnsi="source serif 4"/>
          <w:color w:val="000000"/>
          <w:sz w:val="21"/>
        </w:rPr>
        <w:t xml:space="preserve"> - In this study (N=160), we observed children’s private (i.e., self-directed) speech (PS) during a cha...</w:t>
      </w:r>
    </w:p>
    <w:p>
      <w:pPr>
        <w:numPr>
          <w:ilvl w:val="0"/>
          <w:numId w:val="4"/>
        </w:numPr>
        <w:spacing w:line="360" w:after="210" w:lineRule="auto"/>
      </w:pPr>
      <w:hyperlink r:id="rId18">
        <w:r>
          <w:rPr>
            <w:rFonts w:eastAsia="source sans 3" w:cs="source sans 3" w:ascii="source sans 3" w:hAnsi="source sans 3"/>
            <w:color w:val="#000"/>
            <w:sz w:val="21"/>
            <w:u w:val="single"/>
          </w:rPr>
          <w:t xml:space="preserve">Inner Speech and Executive Function in Children With ...</w:t>
        </w:r>
      </w:hyperlink>
      <w:r>
        <w:rPr>
          <w:rFonts w:eastAsia="source serif 4" w:cs="source serif 4" w:ascii="source serif 4" w:hAnsi="source serif 4"/>
          <w:color w:val="000000"/>
          <w:sz w:val="21"/>
        </w:rPr>
        <w:t xml:space="preserve"> - Many children with developmental language disorder (DLD) also have difficulty with executive functio...</w:t>
      </w:r>
    </w:p>
    <w:p>
      <w:pPr>
        <w:numPr>
          <w:ilvl w:val="0"/>
          <w:numId w:val="4"/>
        </w:numPr>
        <w:spacing w:line="360" w:after="210" w:lineRule="auto"/>
      </w:pPr>
      <w:hyperlink r:id="rId19">
        <w:r>
          <w:rPr>
            <w:rFonts w:eastAsia="source sans 3" w:cs="source sans 3" w:ascii="source sans 3" w:hAnsi="source sans 3"/>
            <w:color w:val="#000"/>
            <w:sz w:val="21"/>
            <w:u w:val="single"/>
          </w:rPr>
          <w:t xml:space="preserve">Revisiting the Marshmallow Test: A Conceptual Replication ...</w:t>
        </w:r>
      </w:hyperlink>
      <w:r>
        <w:rPr>
          <w:rFonts w:eastAsia="source serif 4" w:cs="source serif 4" w:ascii="source serif 4" w:hAnsi="source serif 4"/>
          <w:color w:val="000000"/>
          <w:sz w:val="21"/>
        </w:rPr>
        <w:t xml:space="preserve"> - by TW Watts · 2018 · Cited by 696 — Specifically, we examined associations between performance on a ...</w:t>
      </w:r>
    </w:p>
    <w:p>
      <w:pPr>
        <w:numPr>
          <w:ilvl w:val="0"/>
          <w:numId w:val="4"/>
        </w:numPr>
        <w:spacing w:line="360" w:after="210" w:lineRule="auto"/>
      </w:pPr>
      <w:hyperlink r:id="rId20">
        <w:r>
          <w:rPr>
            <w:rFonts w:eastAsia="source sans 3" w:cs="source sans 3" w:ascii="source sans 3" w:hAnsi="source sans 3"/>
            <w:color w:val="#000"/>
            <w:sz w:val="21"/>
            <w:u w:val="single"/>
          </w:rPr>
          <w:t xml:space="preserve">Revisiting the Marshmallow Test: A Conceptual Replication ...</w:t>
        </w:r>
      </w:hyperlink>
      <w:r>
        <w:rPr>
          <w:rFonts w:eastAsia="source serif 4" w:cs="source serif 4" w:ascii="source serif 4" w:hAnsi="source serif 4"/>
          <w:color w:val="000000"/>
          <w:sz w:val="21"/>
        </w:rPr>
        <w:t xml:space="preserve"> - Psychological science. 2019. In a recent study, Watts, Duncan, and Quan (2018) ... (2018) to examine...</w:t>
      </w:r>
    </w:p>
    <w:p>
      <w:pPr>
        <w:numPr>
          <w:ilvl w:val="0"/>
          <w:numId w:val="4"/>
        </w:numPr>
        <w:spacing w:line="360" w:after="210" w:lineRule="auto"/>
      </w:pPr>
      <w:hyperlink r:id="rId21">
        <w:r>
          <w:rPr>
            <w:rFonts w:eastAsia="source sans 3" w:cs="source sans 3" w:ascii="source sans 3" w:hAnsi="source sans 3"/>
            <w:color w:val="#000"/>
            <w:sz w:val="21"/>
            <w:u w:val="single"/>
          </w:rPr>
          <w:t xml:space="preserve">Delay of gratification and adult outcomes: The Marshmallow ...</w:t>
        </w:r>
      </w:hyperlink>
      <w:r>
        <w:rPr>
          <w:rFonts w:eastAsia="source serif 4" w:cs="source serif 4" w:ascii="source serif 4" w:hAnsi="source serif 4"/>
          <w:color w:val="000000"/>
          <w:sz w:val="21"/>
        </w:rPr>
        <w:t xml:space="preserve"> - This study extends the analytic approach conducted by Watts et al. (2018) to examine the long-term p...</w:t>
      </w:r>
    </w:p>
    <w:p>
      <w:pPr>
        <w:numPr>
          <w:ilvl w:val="0"/>
          <w:numId w:val="4"/>
        </w:numPr>
        <w:spacing w:line="360" w:after="210" w:lineRule="auto"/>
      </w:pPr>
      <w:hyperlink r:id="rId22">
        <w:r>
          <w:rPr>
            <w:rFonts w:eastAsia="source sans 3" w:cs="source sans 3" w:ascii="source sans 3" w:hAnsi="source sans 3"/>
            <w:color w:val="#000"/>
            <w:sz w:val="21"/>
            <w:u w:val="single"/>
          </w:rPr>
          <w:t xml:space="preserve">A Meta-Analysis of the Relationship between Socioeconomic ...</w:t>
        </w:r>
      </w:hyperlink>
      <w:r>
        <w:rPr>
          <w:rFonts w:eastAsia="source serif 4" w:cs="source serif 4" w:ascii="source serif 4" w:hAnsi="source serif 4"/>
          <w:color w:val="000000"/>
          <w:sz w:val="21"/>
        </w:rPr>
        <w:t xml:space="preserve"> - by GM Lawson · 2018 · Cited by 843 — This meta-analysis systematically reviewed the literature for s...</w:t>
      </w:r>
    </w:p>
    <w:p>
      <w:pPr>
        <w:numPr>
          <w:ilvl w:val="0"/>
          <w:numId w:val="4"/>
        </w:numPr>
        <w:spacing w:line="360" w:after="210" w:lineRule="auto"/>
      </w:pPr>
      <w:hyperlink r:id="rId23">
        <w:r>
          <w:rPr>
            <w:rFonts w:eastAsia="source sans 3" w:cs="source sans 3" w:ascii="source sans 3" w:hAnsi="source sans 3"/>
            <w:color w:val="#000"/>
            <w:sz w:val="21"/>
            <w:u w:val="single"/>
          </w:rPr>
          <w:t xml:space="preserve">Sleep and its relation to cognition and behaviour in preschool-aged ...</w:t>
        </w:r>
      </w:hyperlink>
      <w:r>
        <w:rPr>
          <w:rFonts w:eastAsia="source serif 4" w:cs="source serif 4" w:ascii="source serif 4" w:hAnsi="source serif 4"/>
          <w:color w:val="000000"/>
          <w:sz w:val="21"/>
        </w:rPr>
        <w:t xml:space="preserve"> - This is the first systematic review of the literature on sleep and its relation to cognition and beh...</w:t>
      </w:r>
    </w:p>
    <w:p>
      <w:pPr>
        <w:numPr>
          <w:ilvl w:val="0"/>
          <w:numId w:val="4"/>
        </w:numPr>
        <w:spacing w:line="360" w:after="210" w:lineRule="auto"/>
      </w:pPr>
      <w:hyperlink r:id="rId24">
        <w:r>
          <w:rPr>
            <w:rFonts w:eastAsia="source sans 3" w:cs="source sans 3" w:ascii="source sans 3" w:hAnsi="source sans 3"/>
            <w:color w:val="#000"/>
            <w:sz w:val="21"/>
            <w:u w:val="single"/>
          </w:rPr>
          <w:t xml:space="preserve">Interventions and Approaches Targeting Early Self-Regulation or Executive Functioning in Preschools: A Systematic Review</w:t>
        </w:r>
      </w:hyperlink>
      <w:r>
        <w:rPr>
          <w:rFonts w:eastAsia="source serif 4" w:cs="source serif 4" w:ascii="source serif 4" w:hAnsi="source serif 4"/>
          <w:color w:val="000000"/>
          <w:sz w:val="21"/>
        </w:rPr>
        <w:t xml:space="preserve"> - Abstract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This systematic literature review sought to reconcile the evidence of efficacy for interven...</w:t>
      </w:r>
    </w:p>
    <w:p>
      <w:pPr>
        <w:numPr>
          <w:ilvl w:val="0"/>
          <w:numId w:val="4"/>
        </w:numPr>
        <w:spacing w:line="360" w:after="210" w:lineRule="auto"/>
      </w:pPr>
      <w:hyperlink r:id="rId25">
        <w:r>
          <w:rPr>
            <w:rFonts w:eastAsia="source sans 3" w:cs="source sans 3" w:ascii="source sans 3" w:hAnsi="source sans 3"/>
            <w:color w:val="#000"/>
            <w:sz w:val="21"/>
            <w:u w:val="single"/>
          </w:rPr>
          <w:t xml:space="preserve">A Longitudinal Study on Relationships among False Belief, Early Theory of Mind, Pretend Play, and Executive Function</w:t>
        </w:r>
      </w:hyperlink>
      <w:r>
        <w:rPr>
          <w:rFonts w:eastAsia="source serif 4" w:cs="source serif 4" w:ascii="source serif 4" w:hAnsi="source serif 4"/>
          <w:color w:val="000000"/>
          <w:sz w:val="21"/>
        </w:rPr>
        <w:t xml:space="preserve"> - This study aims to examine longitudinally the relationships among false belief, early theory of mind...</w:t>
      </w:r>
    </w:p>
    <w:p>
      <w:pPr>
        <w:numPr>
          <w:ilvl w:val="0"/>
          <w:numId w:val="4"/>
        </w:numPr>
        <w:spacing w:line="360" w:after="210" w:lineRule="auto"/>
      </w:pPr>
      <w:hyperlink r:id="rId26">
        <w:r>
          <w:rPr>
            <w:rFonts w:eastAsia="source sans 3" w:cs="source sans 3" w:ascii="source sans 3" w:hAnsi="source sans 3"/>
            <w:color w:val="#000"/>
            <w:sz w:val="21"/>
            <w:u w:val="single"/>
          </w:rPr>
          <w:t xml:space="preserve">A meta-analysis of the experimental evidence on the near- and far-transfer effects among children's executive function skills - PubMed</w:t>
        </w:r>
      </w:hyperlink>
      <w:r>
        <w:rPr>
          <w:rFonts w:eastAsia="source serif 4" w:cs="source serif 4" w:ascii="source serif 4" w:hAnsi="source serif 4"/>
          <w:color w:val="000000"/>
          <w:sz w:val="21"/>
        </w:rPr>
        <w:t xml:space="preserve"> - &lt;p&gt;In the present meta-analysis we examined the near- and far-transfer effects of training component...</w:t>
      </w:r>
    </w:p>
    <w:p>
      <w:pPr>
        <w:numPr>
          <w:ilvl w:val="0"/>
          <w:numId w:val="4"/>
        </w:numPr>
        <w:spacing w:line="360" w:after="210" w:lineRule="auto"/>
      </w:pPr>
      <w:hyperlink r:id="rId27">
        <w:r>
          <w:rPr>
            <w:rFonts w:eastAsia="source sans 3" w:cs="source sans 3" w:ascii="source sans 3" w:hAnsi="source sans 3"/>
            <w:color w:val="#000"/>
            <w:sz w:val="21"/>
            <w:u w:val="single"/>
          </w:rPr>
          <w:t xml:space="preserve">The efficacy of different interventions to foster children's ...</w:t>
        </w:r>
      </w:hyperlink>
      <w:r>
        <w:rPr>
          <w:rFonts w:eastAsia="source serif 4" w:cs="source serif 4" w:ascii="source serif 4" w:hAnsi="source serif 4"/>
          <w:color w:val="000000"/>
          <w:sz w:val="21"/>
        </w:rPr>
        <w:t xml:space="preserve"> - In the present meta-analysis all available evidence regarding the efficacy of different behavioral i...</w:t>
      </w:r>
    </w:p>
    <w:p>
      <w:pPr>
        <w:numPr>
          <w:ilvl w:val="0"/>
          <w:numId w:val="4"/>
        </w:numPr>
        <w:spacing w:line="360" w:after="210" w:lineRule="auto"/>
      </w:pPr>
      <w:hyperlink r:id="rId28">
        <w:r>
          <w:rPr>
            <w:rFonts w:eastAsia="source sans 3" w:cs="source sans 3" w:ascii="source sans 3" w:hAnsi="source sans 3"/>
            <w:color w:val="#000"/>
            <w:sz w:val="21"/>
            <w:u w:val="single"/>
          </w:rPr>
          <w:t xml:space="preserve">Is Cognitive Training Effective for Improving Executive ... - PMC</w:t>
        </w:r>
      </w:hyperlink>
      <w:r>
        <w:rPr>
          <w:rFonts w:eastAsia="source serif 4" w:cs="source serif 4" w:ascii="source serif 4" w:hAnsi="source serif 4"/>
          <w:color w:val="000000"/>
          <w:sz w:val="21"/>
        </w:rPr>
        <w:t xml:space="preserve"> - by N Scionti · 2020 · Cited by 291 — In the present meta-analysis, we examined the effect of cogniti...</w:t>
      </w:r>
    </w:p>
    <w:p>
      <w:pPr>
        <w:numPr>
          <w:ilvl w:val="0"/>
          <w:numId w:val="4"/>
        </w:numPr>
        <w:spacing w:line="360" w:after="210" w:lineRule="auto"/>
      </w:pPr>
      <w:hyperlink r:id="rId29">
        <w:r>
          <w:rPr>
            <w:rFonts w:eastAsia="source sans 3" w:cs="source sans 3" w:ascii="source sans 3" w:hAnsi="source sans 3"/>
            <w:color w:val="#000"/>
            <w:sz w:val="21"/>
            <w:u w:val="single"/>
          </w:rPr>
          <w:t xml:space="preserve">Effectiveness of executive function interventions in typically developing preschool children: a systematic review and meta-analysis</w:t>
        </w:r>
      </w:hyperlink>
      <w:r>
        <w:rPr>
          <w:rFonts w:eastAsia="source serif 4" w:cs="source serif 4" w:ascii="source serif 4" w:hAnsi="source serif 4"/>
          <w:color w:val="000000"/>
          <w:sz w:val="21"/>
        </w:rPr>
        <w:t xml:space="preserve"> - Early interventions to enhance executive function (EF) have received growing attention; however, evi...</w:t>
      </w:r>
    </w:p>
    <w:p>
      <w:pPr>
        <w:numPr>
          <w:ilvl w:val="0"/>
          <w:numId w:val="4"/>
        </w:numPr>
        <w:spacing w:line="360" w:after="210" w:lineRule="auto"/>
      </w:pPr>
      <w:hyperlink r:id="rId30">
        <w:r>
          <w:rPr>
            <w:rFonts w:eastAsia="source sans 3" w:cs="source sans 3" w:ascii="source sans 3" w:hAnsi="source sans 3"/>
            <w:color w:val="#000"/>
            <w:sz w:val="21"/>
            <w:u w:val="single"/>
          </w:rPr>
          <w:t xml:space="preserve">Randomized control trial of Tools of the Mind: Marked benefits ...</w:t>
        </w:r>
      </w:hyperlink>
      <w:r>
        <w:rPr>
          <w:rFonts w:eastAsia="source serif 4" w:cs="source serif 4" w:ascii="source serif 4" w:hAnsi="source serif 4"/>
          <w:color w:val="000000"/>
          <w:sz w:val="21"/>
        </w:rPr>
        <w:t xml:space="preserve"> - The kindergarten program, Tools of the Mind (Tools), has been shown to improve executive functions (...</w:t>
      </w:r>
    </w:p>
    <w:p>
      <w:pPr>
        <w:numPr>
          <w:ilvl w:val="0"/>
          <w:numId w:val="4"/>
        </w:numPr>
        <w:spacing w:line="360" w:after="210" w:lineRule="auto"/>
      </w:pPr>
      <w:hyperlink r:id="rId31">
        <w:r>
          <w:rPr>
            <w:rFonts w:eastAsia="source sans 3" w:cs="source sans 3" w:ascii="source sans 3" w:hAnsi="source sans 3"/>
            <w:color w:val="#000"/>
            <w:sz w:val="21"/>
            <w:u w:val="single"/>
          </w:rPr>
          <w:t xml:space="preserve">A Cluster Randomized-Controlled Trial of the Impact of the Tools of ...</w:t>
        </w:r>
      </w:hyperlink>
      <w:r>
        <w:rPr>
          <w:rFonts w:eastAsia="source serif 4" w:cs="source serif 4" w:ascii="source serif 4" w:hAnsi="source serif 4"/>
          <w:color w:val="000000"/>
          <w:sz w:val="21"/>
        </w:rPr>
        <w:t xml:space="preserve"> - Early self-regulation predicts school readiness, academic success, and quality of life in adulthood....</w:t>
      </w:r>
    </w:p>
    <w:p>
      <w:pPr>
        <w:numPr>
          <w:ilvl w:val="0"/>
          <w:numId w:val="4"/>
        </w:numPr>
        <w:spacing w:line="360" w:after="210" w:lineRule="auto"/>
      </w:pPr>
      <w:hyperlink r:id="rId32">
        <w:r>
          <w:rPr>
            <w:rFonts w:eastAsia="source sans 3" w:cs="source sans 3" w:ascii="source sans 3" w:hAnsi="source sans 3"/>
            <w:color w:val="#000"/>
            <w:sz w:val="21"/>
            <w:u w:val="single"/>
          </w:rPr>
          <w:t xml:space="preserve">Effects of Prekindergarten Curricula: Tools of the Mind ... - PMC</w:t>
        </w:r>
      </w:hyperlink>
      <w:r>
        <w:rPr>
          <w:rFonts w:eastAsia="source serif 4" w:cs="source serif 4" w:ascii="source serif 4" w:hAnsi="source serif 4"/>
          <w:color w:val="000000"/>
          <w:sz w:val="21"/>
        </w:rPr>
        <w:t xml:space="preserve"> - Research demonstrates that children's participation in quality early childhood care and education of...</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mc.ncbi.nlm.nih.gov/articles/PMC4084861/" TargetMode="External"/><Relationship Id="rId6" Type="http://schemas.openxmlformats.org/officeDocument/2006/relationships/hyperlink" Target="https://pmc.ncbi.nlm.nih.gov/articles/PMC5104682/" TargetMode="External"/><Relationship Id="rId7" Type="http://schemas.openxmlformats.org/officeDocument/2006/relationships/hyperlink" Target="https://pmc.ncbi.nlm.nih.gov/articles/PMC6197939/" TargetMode="External"/><Relationship Id="rId8" Type="http://schemas.openxmlformats.org/officeDocument/2006/relationships/hyperlink" Target="https://www.tandfonline.com/doi/full/10.1080/15248372.2022.2160719" TargetMode="External"/><Relationship Id="rId9" Type="http://schemas.openxmlformats.org/officeDocument/2006/relationships/hyperlink" Target="https://pubmed.ncbi.nlm.nih.gov/18193994/" TargetMode="External"/><Relationship Id="rId10" Type="http://schemas.openxmlformats.org/officeDocument/2006/relationships/hyperlink" Target="https://pubmed.ncbi.nlm.nih.gov/16144429/" TargetMode="External"/><Relationship Id="rId11" Type="http://schemas.openxmlformats.org/officeDocument/2006/relationships/hyperlink" Target="https://pmc.ncbi.nlm.nih.gov/articles/PMC3865781/" TargetMode="External"/><Relationship Id="rId12" Type="http://schemas.openxmlformats.org/officeDocument/2006/relationships/hyperlink" Target="https://pubmed.ncbi.nlm.nih.gov/31417205/" TargetMode="External"/><Relationship Id="rId13" Type="http://schemas.openxmlformats.org/officeDocument/2006/relationships/hyperlink" Target="https://pubmed.ncbi.nlm.nih.gov/16102063/" TargetMode="External"/><Relationship Id="rId14" Type="http://schemas.openxmlformats.org/officeDocument/2006/relationships/hyperlink" Target="https://onlinelibrary.wiley.com/doi/10.1002/cpp.2718" TargetMode="External"/><Relationship Id="rId15" Type="http://schemas.openxmlformats.org/officeDocument/2006/relationships/hyperlink" Target="https://pmc.ncbi.nlm.nih.gov/articles/PMC6157748/" TargetMode="External"/><Relationship Id="rId16" Type="http://schemas.openxmlformats.org/officeDocument/2006/relationships/hyperlink" Target="https://pmc.ncbi.nlm.nih.gov/articles/PMC10046801/" TargetMode="External"/><Relationship Id="rId17" Type="http://schemas.openxmlformats.org/officeDocument/2006/relationships/hyperlink" Target="https://pmc.ncbi.nlm.nih.gov/articles/PMC8244402/" TargetMode="External"/><Relationship Id="rId18" Type="http://schemas.openxmlformats.org/officeDocument/2006/relationships/hyperlink" Target="https://pmc.ncbi.nlm.nih.gov/articles/PMC11218747/" TargetMode="External"/><Relationship Id="rId19" Type="http://schemas.openxmlformats.org/officeDocument/2006/relationships/hyperlink" Target="https://pmc.ncbi.nlm.nih.gov/articles/PMC6050075/" TargetMode="External"/><Relationship Id="rId20" Type="http://schemas.openxmlformats.org/officeDocument/2006/relationships/hyperlink" Target="https://www.semanticscholar.org/paper/Revisiting-the-Marshmallow-Test:-A-Conceptual-Links-Watts-Duncan/d4dde63c9d1cf58c52bdb65705beca61b700d2a3" TargetMode="External"/><Relationship Id="rId21" Type="http://schemas.openxmlformats.org/officeDocument/2006/relationships/hyperlink" Target="https://pmc.ncbi.nlm.nih.gov/articles/PMC11581930/" TargetMode="External"/><Relationship Id="rId22" Type="http://schemas.openxmlformats.org/officeDocument/2006/relationships/hyperlink" Target="https://repository.upenn.edu/entities/publication/450416e7-5758-4d37-aa03-f687399982df" TargetMode="External"/><Relationship Id="rId23" Type="http://schemas.openxmlformats.org/officeDocument/2006/relationships/hyperlink" Target="https://pubmed.ncbi.nlm.nih.gov/29164715/" TargetMode="External"/><Relationship Id="rId24" Type="http://schemas.openxmlformats.org/officeDocument/2006/relationships/hyperlink" Target="https://link.springer.com/article/10.1007/s10648-023-09740-6" TargetMode="External"/><Relationship Id="rId25" Type="http://schemas.openxmlformats.org/officeDocument/2006/relationships/hyperlink" Target="https://accesson.kr/jkdp/v.18/3/81/17948" TargetMode="External"/><Relationship Id="rId26" Type="http://schemas.openxmlformats.org/officeDocument/2006/relationships/hyperlink" Target="https://pubmed.ncbi.nlm.nih.gov/30652908/?dopt=Abstract" TargetMode="External"/><Relationship Id="rId27" Type="http://schemas.openxmlformats.org/officeDocument/2006/relationships/hyperlink" Target="https://pubmed.ncbi.nlm.nih.gov/31033315/" TargetMode="External"/><Relationship Id="rId28" Type="http://schemas.openxmlformats.org/officeDocument/2006/relationships/hyperlink" Target="https://pmc.ncbi.nlm.nih.gov/articles/PMC6965160/" TargetMode="External"/><Relationship Id="rId29" Type="http://schemas.openxmlformats.org/officeDocument/2006/relationships/hyperlink" Target="https://www.tandfonline.com/doi/full/10.1080/09297049.2025.2595075" TargetMode="External"/><Relationship Id="rId30" Type="http://schemas.openxmlformats.org/officeDocument/2006/relationships/hyperlink" Target="https://journals.plos.org/plosone/article?id=10.1371/journal.pone.0222447" TargetMode="External"/><Relationship Id="rId31" Type="http://schemas.openxmlformats.org/officeDocument/2006/relationships/hyperlink" Target="https://pmc.ncbi.nlm.nih.gov/articles/PMC5782823/" TargetMode="External"/><Relationship Id="rId32" Type="http://schemas.openxmlformats.org/officeDocument/2006/relationships/hyperlink" Target="https://pmc.ncbi.nlm.nih.gov/articles/PMC7986366/"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2026-09-08T11:08:44.130Z</dcterms:created>
  <dcterms:modified xsi:type="dcterms:W3CDTF">2026-09-08T11:08:44.130Z</dcterms:modified>
</cp:coreProperties>
</file>