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12_play_imagination_and_meaning"/>
      <w:r>
        <w:rPr>
          <w:rFonts w:eastAsia="source serif 4" w:cs="source serif 4" w:ascii="source serif 4" w:hAnsi="source serif 4"/>
          <w:b/>
          <w:color w:val="000000"/>
          <w:sz w:val="39"/>
        </w:rPr>
        <w:t xml:space="preserve">Chapter 12 — Play, Imagination, and Meaning</w:t>
      </w:r>
      <w:bookmarkEnd w:id="0"/>
    </w:p>
    <w:p>
      <w:pPr>
        <w:spacing w:line="360" w:before="315" w:after="105" w:lineRule="auto"/>
        <w:ind w:left="-30"/>
        <w:jc w:val="left"/>
      </w:pPr>
      <w:bookmarkStart w:id="1" w:name="research_position"/>
      <w:r>
        <w:rPr>
          <w:rFonts w:eastAsia="source serif 4" w:cs="source serif 4" w:ascii="source serif 4" w:hAnsi="source serif 4"/>
          <w:b/>
          <w:color w:val="000000"/>
          <w:sz w:val="24"/>
        </w:rPr>
        <w:t xml:space="preserve">Research Position</w:t>
      </w:r>
      <w:bookmarkEnd w:id="1"/>
    </w:p>
    <w:p>
      <w:pPr>
        <w:spacing w:line="360" w:after="210" w:lineRule="auto"/>
      </w:pPr>
      <w:r>
        <w:rPr>
          <w:rFonts w:eastAsia="source serif 4" w:cs="source serif 4" w:ascii="source serif 4" w:hAnsi="source serif 4"/>
          <w:color w:val="000000"/>
        </w:rPr>
        <w:t xml:space="preserve">The chapter can support a strong interpretive claim that play is a context in which young children represent, transform, and coordinate experience. It cannot yet support the stronger claim that pretend play is a uniquely necessary driver of intelligence, executive function, creativity, or social understanding. The most defensible architecture is therefore bidirectional and systems-based: developing representation, language, social participation, and executive skills make increasingly complex play possible, while particular forms of play may provide practice, motivation, and situated opportunities for learning.</w:t>
      </w:r>
    </w:p>
    <w:p>
      <w:pPr>
        <w:spacing w:line="360" w:after="210" w:lineRule="auto"/>
      </w:pPr>
      <w:r>
        <w:rPr>
          <w:rFonts w:eastAsia="source serif 4" w:cs="source serif 4" w:ascii="source serif 4" w:hAnsi="source serif 4"/>
          <w:color w:val="000000"/>
        </w:rPr>
        <w:t xml:space="preserve">This distinction should govern the chapter’s central sentence:</w:t>
      </w:r>
    </w:p>
    <w:p>
      <w:pPr>
        <w:spacing w:line="360" w:after="210" w:lineRule="auto"/>
        <w:ind w:left="630"/>
      </w:pPr>
      <w:r>
        <w:rPr>
          <w:rFonts w:eastAsia="source serif 4" w:cs="source serif 4" w:ascii="source serif 4" w:hAnsi="source serif 4"/>
          <w:color w:val="000000"/>
        </w:rPr>
        <w:t xml:space="preserve">Play is an important developmental context for representing possibilities and organizing experience; its specific causal benefits depend on the form of play, the child’s existing capacities, the social and material setting, and the outcome being measured.</w:t>
      </w:r>
    </w:p>
    <w:p>
      <w:pPr>
        <w:spacing w:line="360" w:after="210" w:lineRule="auto"/>
      </w:pPr>
      <w:r>
        <w:rPr>
          <w:rFonts w:eastAsia="source serif 4" w:cs="source serif 4" w:ascii="source serif 4" w:hAnsi="source serif 4"/>
          <w:color w:val="000000"/>
        </w:rPr>
        <w:t xml:space="preserve">The evidence is strongest for the developmental emergence of symbolic and pretend play, for relations between play and learning opportunities, and for some structured or guided-play outcomes. It is weaker for claims that pretend play itself causes broad, durable gains in executive function, theory of mind, creativity, or general intelligence. A major review concluded that available evidence did not support strong causal claims about the unique importance of pretend play and identified equifinality—multiple routes to similar outcomes—as a serious alternative explanation.[^1]</w:t>
      </w:r>
    </w:p>
    <w:p>
      <w:pPr>
        <w:spacing w:line="360" w:before="315" w:after="105" w:lineRule="auto"/>
        <w:ind w:left="-30"/>
        <w:jc w:val="left"/>
      </w:pPr>
      <w:bookmarkStart w:id="2" w:name="core_research_questions"/>
      <w:r>
        <w:rPr>
          <w:rFonts w:eastAsia="source serif 4" w:cs="source serif 4" w:ascii="source serif 4" w:hAnsi="source serif 4"/>
          <w:b/>
          <w:color w:val="000000"/>
          <w:sz w:val="24"/>
        </w:rPr>
        <w:t xml:space="preserve">Core Research Questions</w:t>
      </w:r>
      <w:bookmarkEnd w:id="2"/>
    </w:p>
    <w:p>
      <w:pPr>
        <w:spacing w:line="360" w:after="210" w:lineRule="auto"/>
      </w:pPr>
      <w:r>
        <w:rPr>
          <w:rFonts w:eastAsia="source serif 4" w:cs="source serif 4" w:ascii="source serif 4" w:hAnsi="source serif 4"/>
          <w:color w:val="000000"/>
        </w:rPr>
        <w:t xml:space="preserve">The research dossier should answer five linked questions:</w:t>
      </w:r>
    </w:p>
    <w:p>
      <w:pPr>
        <w:numPr>
          <w:ilvl w:val="0"/>
          <w:numId w:val="1"/>
        </w:numPr>
        <w:spacing w:line="360" w:before="105" w:after="105" w:lineRule="auto"/>
      </w:pPr>
      <w:r>
        <w:rPr>
          <w:rFonts w:eastAsia="source serif 4" w:cs="source serif 4" w:ascii="source serif 4" w:hAnsi="source serif 4"/>
          <w:color w:val="000000"/>
          <w:sz w:val="21"/>
        </w:rPr>
        <w:t xml:space="preserve">What changes when children can use one object, action, or situation to stand for another?</w:t>
      </w:r>
    </w:p>
    <w:p>
      <w:pPr>
        <w:numPr>
          <w:ilvl w:val="0"/>
          <w:numId w:val="1"/>
        </w:numPr>
        <w:spacing w:line="360" w:before="105" w:after="105" w:lineRule="auto"/>
      </w:pPr>
      <w:r>
        <w:rPr>
          <w:rFonts w:eastAsia="source serif 4" w:cs="source serif 4" w:ascii="source serif 4" w:hAnsi="source serif 4"/>
          <w:color w:val="000000"/>
          <w:sz w:val="21"/>
        </w:rPr>
        <w:t xml:space="preserve">Which forms of play are associated with learning, language, self-regulation, social understanding, and creativity?</w:t>
      </w:r>
    </w:p>
    <w:p>
      <w:pPr>
        <w:numPr>
          <w:ilvl w:val="0"/>
          <w:numId w:val="1"/>
        </w:numPr>
        <w:spacing w:line="360" w:before="105" w:after="105" w:lineRule="auto"/>
      </w:pPr>
      <w:r>
        <w:rPr>
          <w:rFonts w:eastAsia="source serif 4" w:cs="source serif 4" w:ascii="source serif 4" w:hAnsi="source serif 4"/>
          <w:color w:val="000000"/>
          <w:sz w:val="21"/>
        </w:rPr>
        <w:t xml:space="preserve">What evidence distinguishes play as a cause, a consequence, a correlate, or a setting in which other causes operate?</w:t>
      </w:r>
    </w:p>
    <w:p>
      <w:pPr>
        <w:numPr>
          <w:ilvl w:val="0"/>
          <w:numId w:val="1"/>
        </w:numPr>
        <w:spacing w:line="360" w:before="105" w:after="105" w:lineRule="auto"/>
      </w:pPr>
      <w:r>
        <w:rPr>
          <w:rFonts w:eastAsia="source serif 4" w:cs="source serif 4" w:ascii="source serif 4" w:hAnsi="source serif 4"/>
          <w:color w:val="000000"/>
          <w:sz w:val="21"/>
        </w:rPr>
        <w:t xml:space="preserve">How do adult guidance, peers, language, culture, materials, and institutional conditions alter play’s developmental possibilities?</w:t>
      </w:r>
    </w:p>
    <w:p>
      <w:pPr>
        <w:numPr>
          <w:ilvl w:val="0"/>
          <w:numId w:val="1"/>
        </w:numPr>
        <w:spacing w:line="360" w:before="105" w:after="105" w:lineRule="auto"/>
      </w:pPr>
      <w:r>
        <w:rPr>
          <w:rFonts w:eastAsia="source serif 4" w:cs="source serif 4" w:ascii="source serif 4" w:hAnsi="source serif 4"/>
          <w:color w:val="000000"/>
          <w:sz w:val="21"/>
        </w:rPr>
        <w:t xml:space="preserve">Which practical conclusions are proportionate to the evidence for families, early-years settings, and policy?</w:t>
      </w:r>
    </w:p>
    <w:p>
      <w:pPr>
        <w:spacing w:line="360" w:before="315" w:after="105" w:lineRule="auto"/>
        <w:ind w:left="-30"/>
        <w:jc w:val="left"/>
      </w:pPr>
      <w:bookmarkStart w:id="3" w:name="conceptual_definitions"/>
      <w:r>
        <w:rPr>
          <w:rFonts w:eastAsia="source serif 4" w:cs="source serif 4" w:ascii="source serif 4" w:hAnsi="source serif 4"/>
          <w:b/>
          <w:color w:val="000000"/>
          <w:sz w:val="24"/>
        </w:rPr>
        <w:t xml:space="preserve">Conceptual Definitions</w:t>
      </w:r>
      <w:bookmarkEnd w:id="3"/>
    </w:p>
    <w:p>
      <w:pPr>
        <w:spacing w:line="360" w:after="210" w:lineRule="auto"/>
      </w:pPr>
      <w:r>
        <w:rPr>
          <w:rFonts w:eastAsia="source serif 4" w:cs="source serif 4" w:ascii="source serif 4" w:hAnsi="source serif 4"/>
          <w:color w:val="000000"/>
        </w:rPr>
        <w:t xml:space="preserve">“Play” should not be treated as a single exposure. Candidate features include voluntary engagement, intrinsic motivation, enjoyment, flexibility, nonliteral framing, and a reduced emphasis on externally imposed outcomes. One influential conceptual review defines play as a range of voluntary, intrinsically motivated activities associated with recreational pleasure and enjoyment, while also distinguishing symbolic or pretend play from broader engagement in play.[^2]</w:t>
      </w:r>
    </w:p>
    <w:p>
      <w:pPr>
        <w:spacing w:line="360" w:after="210" w:lineRule="auto"/>
      </w:pPr>
      <w:r>
        <w:rPr>
          <w:rFonts w:eastAsia="source serif 4" w:cs="source serif 4" w:ascii="source serif 4" w:hAnsi="source serif 4"/>
          <w:color w:val="000000"/>
        </w:rPr>
        <w:t xml:space="preserve">The chapter should distinguish at least six partially overlapping activities: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Narrow working definition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developmental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Exploratory or functional 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 investigation or manipulation of bodies, objects, sounds, or movement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does action generate information about affordances and effects?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Constructive 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Combining or transforming materials toward an emergent product or plan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do children test relations, sequences, and solutions?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Symbolic or pretend 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Treating an object, action, or situation as representing something else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does the child maintain a distinction between reality and representation?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Sociodramatic or role 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Coordinating roles, scripts, objects, and actions with others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are shared meanings and perspectives negotiated?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Rule-based 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Acting within explicit or jointly maintained rules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do children coordinate inhibition, memory, flexibility, and fairness?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Guided 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Child-active, enjoyable play within an adult-shaped environment or learning goal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When does guidance preserve agency while making a target concept more available?</w:t>
            </w:r>
          </w:p>
        </w:tc>
      </w:tr>
    </w:tbl>
    <w:p>
      <w:pPr>
        <w:spacing w:lineRule="auto"/>
      </w:pPr>
    </w:p>
    <w:p>
      <w:pPr>
        <w:spacing w:line="360" w:after="210" w:lineRule="auto"/>
      </w:pPr>
      <w:r>
        <w:rPr>
          <w:rFonts w:eastAsia="source serif 4" w:cs="source serif 4" w:ascii="source serif 4" w:hAnsi="source serif 4"/>
          <w:color w:val="000000"/>
        </w:rPr>
        <w:t xml:space="preserve">These categories should not be presented as rigid stages. They overlap, recur, and vary with culture, materials, language, peer composition, adult participation, and opportunity.</w:t>
      </w:r>
    </w:p>
    <w:p>
      <w:pPr>
        <w:spacing w:line="360" w:before="315" w:after="105" w:lineRule="auto"/>
        <w:ind w:left="-30"/>
        <w:jc w:val="left"/>
      </w:pPr>
      <w:bookmarkStart w:id="4" w:name="evidence_card_1_play_as_a_distinc_26dfff"/>
      <w:r>
        <w:rPr>
          <w:rFonts w:eastAsia="source serif 4" w:cs="source serif 4" w:ascii="source serif 4" w:hAnsi="source serif 4"/>
          <w:b/>
          <w:color w:val="000000"/>
          <w:sz w:val="24"/>
        </w:rPr>
        <w:t xml:space="preserve">Evidence Card 1: Play as a Distinctive Activity</w:t>
      </w:r>
      <w:bookmarkEnd w:id="4"/>
    </w:p>
    <w:p>
      <w:pPr>
        <w:spacing w:line="360" w:before="315" w:after="105" w:lineRule="auto"/>
        <w:ind w:left="-30"/>
        <w:jc w:val="left"/>
      </w:pPr>
      <w:bookmarkStart w:id="5" w:name="what_we_know"/>
      <w:r>
        <w:rPr>
          <w:rFonts w:eastAsia="source serif 4" w:cs="source serif 4" w:ascii="source serif 4" w:hAnsi="source serif 4"/>
          <w:b/>
          <w:color w:val="000000"/>
          <w:sz w:val="24"/>
        </w:rPr>
        <w:t xml:space="preserve">What We Know</w:t>
      </w:r>
      <w:bookmarkEnd w:id="5"/>
    </w:p>
    <w:p>
      <w:pPr>
        <w:spacing w:line="360" w:after="210" w:lineRule="auto"/>
      </w:pPr>
      <w:r>
        <w:rPr>
          <w:rFonts w:eastAsia="source serif 4" w:cs="source serif 4" w:ascii="source serif 4" w:hAnsi="source serif 4"/>
          <w:color w:val="000000"/>
        </w:rPr>
        <w:t xml:space="preserve">Play is a recognizable family of activities rather than a synonym for all enjoyable learning. Its boundaries are conceptual and culturally situated, but voluntary engagement, intrinsic motivation, flexibility, and nonliteral framing are recurrent features in developmental definitions.[^2]</w:t>
      </w:r>
    </w:p>
    <w:p>
      <w:pPr>
        <w:spacing w:line="360" w:before="315" w:after="105" w:lineRule="auto"/>
        <w:ind w:left="-30"/>
        <w:jc w:val="left"/>
      </w:pPr>
      <w:bookmarkStart w:id="6" w:name="how_confident_we_are"/>
      <w:r>
        <w:rPr>
          <w:rFonts w:eastAsia="source serif 4" w:cs="source serif 4" w:ascii="source serif 4" w:hAnsi="source serif 4"/>
          <w:b/>
          <w:color w:val="000000"/>
          <w:sz w:val="24"/>
        </w:rPr>
        <w:t xml:space="preserve">How Confident We Are</w:t>
      </w:r>
      <w:bookmarkEnd w:id="6"/>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There is substantial theoretical convergence, but definitions and coding systems differ across studies, making effect estimates difficult to compare.</w:t>
      </w:r>
    </w:p>
    <w:p>
      <w:pPr>
        <w:spacing w:line="360" w:before="315" w:after="105" w:lineRule="auto"/>
        <w:ind w:left="-30"/>
        <w:jc w:val="left"/>
      </w:pPr>
      <w:bookmarkStart w:id="7" w:name="evidence_and_causal_assessment"/>
      <w:r>
        <w:rPr>
          <w:rFonts w:eastAsia="source serif 4" w:cs="source serif 4" w:ascii="source serif 4" w:hAnsi="source serif 4"/>
          <w:b/>
          <w:color w:val="000000"/>
          <w:sz w:val="24"/>
        </w:rPr>
        <w:t xml:space="preserve">Evidence and Causal Assessment</w:t>
      </w:r>
      <w:bookmarkEnd w:id="7"/>
    </w:p>
    <w:p>
      <w:pPr>
        <w:spacing w:line="360" w:after="210" w:lineRule="auto"/>
      </w:pPr>
      <w:r>
        <w:rPr>
          <w:rFonts w:eastAsia="source serif 4" w:cs="source serif 4" w:ascii="source serif 4" w:hAnsi="source serif 4"/>
          <w:color w:val="000000"/>
        </w:rPr>
        <w:t xml:space="preserve">Conceptual, observational, comparative, and developmental literatures support distinguishing play from direct instruction, routine exploration, and goal-directed work. Comparative research suggests that play-like behavior is widespread, but universality of play does not establish uniform developmental function or a single evolutionary origin.[</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before="315" w:after="105" w:lineRule="auto"/>
        <w:ind w:left="-30"/>
        <w:jc w:val="left"/>
      </w:pPr>
      <w:bookmarkStart w:id="8" w:name="effect_size_and_persistence"/>
      <w:r>
        <w:rPr>
          <w:rFonts w:eastAsia="source serif 4" w:cs="source serif 4" w:ascii="source serif 4" w:hAnsi="source serif 4"/>
          <w:b/>
          <w:color w:val="000000"/>
          <w:sz w:val="24"/>
        </w:rPr>
        <w:t xml:space="preserve">Effect Size and Persistence</w:t>
      </w:r>
      <w:bookmarkEnd w:id="8"/>
    </w:p>
    <w:p>
      <w:pPr>
        <w:spacing w:line="360" w:after="210" w:lineRule="auto"/>
      </w:pPr>
      <w:r>
        <w:rPr>
          <w:rFonts w:eastAsia="source serif 4" w:cs="source serif 4" w:ascii="source serif 4" w:hAnsi="source serif 4"/>
          <w:color w:val="000000"/>
        </w:rPr>
        <w:t xml:space="preserve">No single effect size is appropriate because “play” is not a unitary intervention or exposure.</w:t>
      </w:r>
    </w:p>
    <w:p>
      <w:pPr>
        <w:spacing w:line="360" w:before="315" w:after="105" w:lineRule="auto"/>
        <w:ind w:left="-30"/>
        <w:jc w:val="left"/>
      </w:pPr>
      <w:bookmarkStart w:id="9" w:name="bias_heterogeneity_and_confounding"/>
      <w:r>
        <w:rPr>
          <w:rFonts w:eastAsia="source serif 4" w:cs="source serif 4" w:ascii="source serif 4" w:hAnsi="source serif 4"/>
          <w:b/>
          <w:color w:val="000000"/>
          <w:sz w:val="24"/>
        </w:rPr>
        <w:t xml:space="preserve">Bias, Heterogeneity, and Confounding</w:t>
      </w:r>
      <w:bookmarkEnd w:id="9"/>
    </w:p>
    <w:p>
      <w:pPr>
        <w:spacing w:line="360" w:after="210" w:lineRule="auto"/>
      </w:pPr>
      <w:r>
        <w:rPr>
          <w:rFonts w:eastAsia="source serif 4" w:cs="source serif 4" w:ascii="source serif 4" w:hAnsi="source serif 4"/>
          <w:color w:val="000000"/>
        </w:rPr>
        <w:t xml:space="preserve">Western developmental categories may privilege imaginative or verbal forms of play. Access to time, space, materials, safety, peers, and responsive adults is unequally distributed.</w:t>
      </w:r>
    </w:p>
    <w:p>
      <w:pPr>
        <w:spacing w:line="360" w:before="315" w:after="105" w:lineRule="auto"/>
        <w:ind w:left="-30"/>
        <w:jc w:val="left"/>
      </w:pPr>
      <w:bookmarkStart w:id="10" w:name="what_remains_uncertain"/>
      <w:r>
        <w:rPr>
          <w:rFonts w:eastAsia="source serif 4" w:cs="source serif 4" w:ascii="source serif 4" w:hAnsi="source serif 4"/>
          <w:b/>
          <w:color w:val="000000"/>
          <w:sz w:val="24"/>
        </w:rPr>
        <w:t xml:space="preserve">What Remains Uncertain</w:t>
      </w:r>
      <w:bookmarkEnd w:id="10"/>
    </w:p>
    <w:p>
      <w:pPr>
        <w:spacing w:line="360" w:after="210" w:lineRule="auto"/>
      </w:pPr>
      <w:r>
        <w:rPr>
          <w:rFonts w:eastAsia="source serif 4" w:cs="source serif 4" w:ascii="source serif 4" w:hAnsi="source serif 4"/>
          <w:color w:val="000000"/>
        </w:rPr>
        <w:t xml:space="preserve">Whether particular formal features of play predict distinct developmental outcomes after accounting for language, executive function, socioeconomic conditions, and caregiver interaction.</w:t>
      </w:r>
    </w:p>
    <w:p>
      <w:pPr>
        <w:spacing w:line="360" w:before="315" w:after="105" w:lineRule="auto"/>
        <w:ind w:left="-30"/>
        <w:jc w:val="left"/>
      </w:pPr>
      <w:bookmarkStart w:id="11" w:name="what_this_does_not_mean"/>
      <w:r>
        <w:rPr>
          <w:rFonts w:eastAsia="source serif 4" w:cs="source serif 4" w:ascii="source serif 4" w:hAnsi="source serif 4"/>
          <w:b/>
          <w:color w:val="000000"/>
          <w:sz w:val="24"/>
        </w:rPr>
        <w:t xml:space="preserve">What This Does Not Mean</w:t>
      </w:r>
      <w:bookmarkEnd w:id="11"/>
    </w:p>
    <w:p>
      <w:pPr>
        <w:spacing w:line="360" w:after="210" w:lineRule="auto"/>
      </w:pPr>
      <w:r>
        <w:rPr>
          <w:rFonts w:eastAsia="source serif 4" w:cs="source serif 4" w:ascii="source serif 4" w:hAnsi="source serif 4"/>
          <w:color w:val="000000"/>
        </w:rPr>
        <w:t xml:space="preserve">Play is not automatically beneficial, and an activity does not become developmentally powerful merely because it is labeled play.</w:t>
      </w:r>
    </w:p>
    <w:p>
      <w:pPr>
        <w:spacing w:line="360" w:before="315" w:after="105" w:lineRule="auto"/>
        <w:ind w:left="-30"/>
        <w:jc w:val="left"/>
      </w:pPr>
      <w:bookmarkStart w:id="12" w:name="what_action_is_reasonably_justified"/>
      <w:r>
        <w:rPr>
          <w:rFonts w:eastAsia="source serif 4" w:cs="source serif 4" w:ascii="source serif 4" w:hAnsi="source serif 4"/>
          <w:b/>
          <w:color w:val="000000"/>
          <w:sz w:val="24"/>
        </w:rPr>
        <w:t xml:space="preserve">What Action Is Reasonably Justified</w:t>
      </w:r>
      <w:bookmarkEnd w:id="12"/>
    </w:p>
    <w:p>
      <w:pPr>
        <w:spacing w:line="360" w:after="210" w:lineRule="auto"/>
      </w:pPr>
      <w:r>
        <w:rPr>
          <w:rFonts w:eastAsia="source serif 4" w:cs="source serif 4" w:ascii="source serif 4" w:hAnsi="source serif 4"/>
          <w:color w:val="000000"/>
        </w:rPr>
        <w:t xml:space="preserve">Define the play form and outcome before making a developmental claim. Avoid treating “amount of play” as a sufficient measure.</w:t>
      </w:r>
    </w:p>
    <w:p>
      <w:pPr>
        <w:spacing w:line="360" w:before="315" w:after="105" w:lineRule="auto"/>
        <w:ind w:left="-30"/>
        <w:jc w:val="left"/>
      </w:pPr>
      <w:bookmarkStart w:id="13" w:name="evidence_card_2_symbolic_representation"/>
      <w:r>
        <w:rPr>
          <w:rFonts w:eastAsia="source serif 4" w:cs="source serif 4" w:ascii="source serif 4" w:hAnsi="source serif 4"/>
          <w:b/>
          <w:color w:val="000000"/>
          <w:sz w:val="24"/>
        </w:rPr>
        <w:t xml:space="preserve">Evidence Card 2: Symbolic Representation</w:t>
      </w:r>
      <w:bookmarkEnd w:id="13"/>
    </w:p>
    <w:p>
      <w:pPr>
        <w:spacing w:line="360" w:before="315" w:after="105" w:lineRule="auto"/>
        <w:ind w:left="-30"/>
        <w:jc w:val="left"/>
      </w:pPr>
      <w:bookmarkStart w:id="14" w:name="what_we_know_2"/>
      <w:r>
        <w:rPr>
          <w:rFonts w:eastAsia="source serif 4" w:cs="source serif 4" w:ascii="source serif 4" w:hAnsi="source serif 4"/>
          <w:b/>
          <w:color w:val="000000"/>
          <w:sz w:val="24"/>
        </w:rPr>
        <w:t xml:space="preserve">What We Know</w:t>
      </w:r>
      <w:bookmarkEnd w:id="14"/>
    </w:p>
    <w:p>
      <w:pPr>
        <w:spacing w:line="360" w:after="210" w:lineRule="auto"/>
      </w:pPr>
      <w:r>
        <w:rPr>
          <w:rFonts w:eastAsia="source serif 4" w:cs="source serif 4" w:ascii="source serif 4" w:hAnsi="source serif 4"/>
          <w:color w:val="000000"/>
        </w:rPr>
        <w:t xml:space="preserve">During the second year, children increasingly move from exploratory object manipulation toward symbolic and pretend uses, including treating familiar objects as something else. Spontaneous pretend behavior is commonly reported from approximately 18 months, with substantial individual variation.[</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6][^7]</w:t>
      </w:r>
    </w:p>
    <w:p>
      <w:pPr>
        <w:spacing w:line="360" w:before="315" w:after="105" w:lineRule="auto"/>
        <w:ind w:left="-30"/>
        <w:jc w:val="left"/>
      </w:pPr>
      <w:bookmarkStart w:id="15" w:name="how_confident_we_are_2"/>
      <w:r>
        <w:rPr>
          <w:rFonts w:eastAsia="source serif 4" w:cs="source serif 4" w:ascii="source serif 4" w:hAnsi="source serif 4"/>
          <w:b/>
          <w:color w:val="000000"/>
          <w:sz w:val="24"/>
        </w:rPr>
        <w:t xml:space="preserve">How Confident We Are</w:t>
      </w:r>
      <w:bookmarkEnd w:id="15"/>
    </w:p>
    <w:p>
      <w:pPr>
        <w:spacing w:line="360" w:after="210" w:lineRule="auto"/>
      </w:pPr>
      <w:r>
        <w:rPr>
          <w:rFonts w:eastAsia="source serif 4" w:cs="source serif 4" w:ascii="source serif 4" w:hAnsi="source serif 4"/>
          <w:b/>
          <w:color w:val="000000"/>
        </w:rPr>
        <w:t xml:space="preserve">Moderate to High</w:t>
      </w:r>
      <w:r>
        <w:rPr>
          <w:rFonts w:eastAsia="source serif 4" w:cs="source serif 4" w:ascii="source serif 4" w:hAnsi="source serif 4"/>
          <w:color w:val="000000"/>
        </w:rPr>
        <w:t xml:space="preserve"> for the developmental transition;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any particular mechanism.</w:t>
      </w:r>
    </w:p>
    <w:p>
      <w:pPr>
        <w:spacing w:line="360" w:before="315" w:after="105" w:lineRule="auto"/>
        <w:ind w:left="-30"/>
        <w:jc w:val="left"/>
      </w:pPr>
      <w:bookmarkStart w:id="16" w:name="evidence_and_causal_assessment_2"/>
      <w:r>
        <w:rPr>
          <w:rFonts w:eastAsia="source serif 4" w:cs="source serif 4" w:ascii="source serif 4" w:hAnsi="source serif 4"/>
          <w:b/>
          <w:color w:val="000000"/>
          <w:sz w:val="24"/>
        </w:rPr>
        <w:t xml:space="preserve">Evidence and Causal Assessment</w:t>
      </w:r>
      <w:bookmarkEnd w:id="16"/>
    </w:p>
    <w:p>
      <w:pPr>
        <w:spacing w:line="360" w:after="210" w:lineRule="auto"/>
      </w:pPr>
      <w:r>
        <w:rPr>
          <w:rFonts w:eastAsia="source serif 4" w:cs="source serif 4" w:ascii="source serif 4" w:hAnsi="source serif 4"/>
          <w:color w:val="000000"/>
        </w:rPr>
        <w:t xml:space="preserve">Developmental theory, longitudinal observation, and experimental studies converge that symbolic play requires some ability to coordinate a real object or action with a represented meaning. The evidence does not establish that pretend play is the only route to representational thought, nor that a single cognitive module causes it.</w:t>
      </w:r>
    </w:p>
    <w:p>
      <w:pPr>
        <w:spacing w:line="360" w:before="315" w:after="105" w:lineRule="auto"/>
        <w:ind w:left="-30"/>
        <w:jc w:val="left"/>
      </w:pPr>
      <w:bookmarkStart w:id="17" w:name="effect_size_and_persistence_2"/>
      <w:r>
        <w:rPr>
          <w:rFonts w:eastAsia="source serif 4" w:cs="source serif 4" w:ascii="source serif 4" w:hAnsi="source serif 4"/>
          <w:b/>
          <w:color w:val="000000"/>
          <w:sz w:val="24"/>
        </w:rPr>
        <w:t xml:space="preserve">Effect Size and Persistence</w:t>
      </w:r>
      <w:bookmarkEnd w:id="17"/>
    </w:p>
    <w:p>
      <w:pPr>
        <w:spacing w:line="360" w:after="210" w:lineRule="auto"/>
      </w:pPr>
      <w:r>
        <w:rPr>
          <w:rFonts w:eastAsia="source serif 4" w:cs="source serif 4" w:ascii="source serif 4" w:hAnsi="source serif 4"/>
          <w:color w:val="000000"/>
        </w:rPr>
        <w:t xml:space="preserve">The emergence is developmentally visible between roughly 18 and 24 months, but age ranges are descriptive rather than diagnostic. Complexity expands with language, memory, social participation, and experience.</w:t>
      </w:r>
    </w:p>
    <w:p>
      <w:pPr>
        <w:spacing w:line="360" w:before="315" w:after="105" w:lineRule="auto"/>
        <w:ind w:left="-30"/>
        <w:jc w:val="left"/>
      </w:pPr>
      <w:bookmarkStart w:id="18" w:name="bias_heterogeneity_and_confounding_2"/>
      <w:r>
        <w:rPr>
          <w:rFonts w:eastAsia="source serif 4" w:cs="source serif 4" w:ascii="source serif 4" w:hAnsi="source serif 4"/>
          <w:b/>
          <w:color w:val="000000"/>
          <w:sz w:val="24"/>
        </w:rPr>
        <w:t xml:space="preserve">Bias, Heterogeneity, and Confounding</w:t>
      </w:r>
      <w:bookmarkEnd w:id="18"/>
    </w:p>
    <w:p>
      <w:pPr>
        <w:spacing w:line="360" w:after="210" w:lineRule="auto"/>
      </w:pPr>
      <w:r>
        <w:rPr>
          <w:rFonts w:eastAsia="source serif 4" w:cs="source serif 4" w:ascii="source serif 4" w:hAnsi="source serif 4"/>
          <w:color w:val="000000"/>
        </w:rPr>
        <w:t xml:space="preserve">Tasks can underestimate children whose play is less verbal, less adult-shaped, or culturally unfamiliar. Familiarity with props and scripts may affect performance.</w:t>
      </w:r>
    </w:p>
    <w:p>
      <w:pPr>
        <w:spacing w:line="360" w:before="315" w:after="105" w:lineRule="auto"/>
        <w:ind w:left="-30"/>
        <w:jc w:val="left"/>
      </w:pPr>
      <w:bookmarkStart w:id="19" w:name="what_remains_uncertain_2"/>
      <w:r>
        <w:rPr>
          <w:rFonts w:eastAsia="source serif 4" w:cs="source serif 4" w:ascii="source serif 4" w:hAnsi="source serif 4"/>
          <w:b/>
          <w:color w:val="000000"/>
          <w:sz w:val="24"/>
        </w:rPr>
        <w:t xml:space="preserve">What Remains Uncertain</w:t>
      </w:r>
      <w:bookmarkEnd w:id="19"/>
    </w:p>
    <w:p>
      <w:pPr>
        <w:spacing w:line="360" w:after="210" w:lineRule="auto"/>
      </w:pPr>
      <w:r>
        <w:rPr>
          <w:rFonts w:eastAsia="source serif 4" w:cs="source serif 4" w:ascii="source serif 4" w:hAnsi="source serif 4"/>
          <w:color w:val="000000"/>
        </w:rPr>
        <w:t xml:space="preserve">How much early object substitution reflects general representational capacity versus learned routines, imitation, language, and social framing.</w:t>
      </w:r>
    </w:p>
    <w:p>
      <w:pPr>
        <w:spacing w:line="360" w:before="315" w:after="105" w:lineRule="auto"/>
        <w:ind w:left="-30"/>
        <w:jc w:val="left"/>
      </w:pPr>
      <w:bookmarkStart w:id="20" w:name="what_this_does_not_mean_2"/>
      <w:r>
        <w:rPr>
          <w:rFonts w:eastAsia="source serif 4" w:cs="source serif 4" w:ascii="source serif 4" w:hAnsi="source serif 4"/>
          <w:b/>
          <w:color w:val="000000"/>
          <w:sz w:val="24"/>
        </w:rPr>
        <w:t xml:space="preserve">What This Does Not Mean</w:t>
      </w:r>
      <w:bookmarkEnd w:id="20"/>
    </w:p>
    <w:p>
      <w:pPr>
        <w:spacing w:line="360" w:after="210" w:lineRule="auto"/>
      </w:pPr>
      <w:r>
        <w:rPr>
          <w:rFonts w:eastAsia="source serif 4" w:cs="source serif 4" w:ascii="source serif 4" w:hAnsi="source serif 4"/>
          <w:color w:val="000000"/>
        </w:rPr>
        <w:t xml:space="preserve">A child’s play does not need to follow a prescribed sequence, and variation in observed pretend play is not by itself evidence of disorder.</w:t>
      </w:r>
    </w:p>
    <w:p>
      <w:pPr>
        <w:spacing w:line="360" w:before="315" w:after="105" w:lineRule="auto"/>
        <w:ind w:left="-30"/>
        <w:jc w:val="left"/>
      </w:pPr>
      <w:bookmarkStart w:id="21" w:name="what_action_is_reasonably_justified_2"/>
      <w:r>
        <w:rPr>
          <w:rFonts w:eastAsia="source serif 4" w:cs="source serif 4" w:ascii="source serif 4" w:hAnsi="source serif 4"/>
          <w:b/>
          <w:color w:val="000000"/>
          <w:sz w:val="24"/>
        </w:rPr>
        <w:t xml:space="preserve">What Action Is Reasonably Justified</w:t>
      </w:r>
      <w:bookmarkEnd w:id="21"/>
    </w:p>
    <w:p>
      <w:pPr>
        <w:spacing w:line="360" w:after="210" w:lineRule="auto"/>
      </w:pPr>
      <w:r>
        <w:rPr>
          <w:rFonts w:eastAsia="source serif 4" w:cs="source serif 4" w:ascii="source serif 4" w:hAnsi="source serif 4"/>
          <w:color w:val="000000"/>
        </w:rPr>
        <w:t xml:space="preserve">Use symbolic play as one developmental observation among many, interpreted in context rather than as a standalone screening criterion.</w:t>
      </w:r>
    </w:p>
    <w:p>
      <w:pPr>
        <w:spacing w:line="360" w:before="315" w:after="105" w:lineRule="auto"/>
        <w:ind w:left="-30"/>
        <w:jc w:val="left"/>
      </w:pPr>
      <w:bookmarkStart w:id="22" w:name="evidence_card_3_pretend_play"/>
      <w:r>
        <w:rPr>
          <w:rFonts w:eastAsia="source serif 4" w:cs="source serif 4" w:ascii="source serif 4" w:hAnsi="source serif 4"/>
          <w:b/>
          <w:color w:val="000000"/>
          <w:sz w:val="24"/>
        </w:rPr>
        <w:t xml:space="preserve">Evidence Card 3: Pretend Play</w:t>
      </w:r>
      <w:bookmarkEnd w:id="22"/>
    </w:p>
    <w:p>
      <w:pPr>
        <w:spacing w:line="360" w:before="315" w:after="105" w:lineRule="auto"/>
        <w:ind w:left="-30"/>
        <w:jc w:val="left"/>
      </w:pPr>
      <w:bookmarkStart w:id="23" w:name="what_we_know_3"/>
      <w:r>
        <w:rPr>
          <w:rFonts w:eastAsia="source serif 4" w:cs="source serif 4" w:ascii="source serif 4" w:hAnsi="source serif 4"/>
          <w:b/>
          <w:color w:val="000000"/>
          <w:sz w:val="24"/>
        </w:rPr>
        <w:t xml:space="preserve">What We Know</w:t>
      </w:r>
      <w:bookmarkEnd w:id="23"/>
    </w:p>
    <w:p>
      <w:pPr>
        <w:spacing w:line="360" w:after="210" w:lineRule="auto"/>
      </w:pPr>
      <w:r>
        <w:rPr>
          <w:rFonts w:eastAsia="source serif 4" w:cs="source serif 4" w:ascii="source serif 4" w:hAnsi="source serif 4"/>
          <w:color w:val="000000"/>
        </w:rPr>
        <w:t xml:space="preserve">Pretend play involves maintaining a distinction between actual and represented states while acting within the represented situation. It plausibly recruits dual representation, inhibition of literal interpretation, memory, flexibility, and language, but these mechanisms do not prove that pretend play produces broad developmental gains.</w:t>
      </w:r>
    </w:p>
    <w:p>
      <w:pPr>
        <w:spacing w:line="360" w:before="315" w:after="105" w:lineRule="auto"/>
        <w:ind w:left="-30"/>
        <w:jc w:val="left"/>
      </w:pPr>
      <w:bookmarkStart w:id="24" w:name="how_confident_we_are_3"/>
      <w:r>
        <w:rPr>
          <w:rFonts w:eastAsia="source serif 4" w:cs="source serif 4" w:ascii="source serif 4" w:hAnsi="source serif 4"/>
          <w:b/>
          <w:color w:val="000000"/>
          <w:sz w:val="24"/>
        </w:rPr>
        <w:t xml:space="preserve">How Confident We Are</w:t>
      </w:r>
      <w:bookmarkEnd w:id="24"/>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cognitive demands of pretense; </w:t>
      </w:r>
      <w:r>
        <w:rPr>
          <w:rFonts w:eastAsia="source serif 4" w:cs="source serif 4" w:ascii="source serif 4" w:hAnsi="source serif 4"/>
          <w:b/>
          <w:color w:val="000000"/>
        </w:rPr>
        <w:t xml:space="preserve">Low</w:t>
      </w:r>
      <w:r>
        <w:rPr>
          <w:rFonts w:eastAsia="source serif 4" w:cs="source serif 4" w:ascii="source serif 4" w:hAnsi="source serif 4"/>
          <w:color w:val="000000"/>
        </w:rPr>
        <w:t xml:space="preserve"> for unique causal benefits.</w:t>
      </w:r>
    </w:p>
    <w:p>
      <w:pPr>
        <w:spacing w:line="360" w:before="315" w:after="105" w:lineRule="auto"/>
        <w:ind w:left="-30"/>
        <w:jc w:val="left"/>
      </w:pPr>
      <w:bookmarkStart w:id="25" w:name="evidence_and_causal_assessment_3"/>
      <w:r>
        <w:rPr>
          <w:rFonts w:eastAsia="source serif 4" w:cs="source serif 4" w:ascii="source serif 4" w:hAnsi="source serif 4"/>
          <w:b/>
          <w:color w:val="000000"/>
          <w:sz w:val="24"/>
        </w:rPr>
        <w:t xml:space="preserve">Evidence and Causal Assessment</w:t>
      </w:r>
      <w:bookmarkEnd w:id="25"/>
    </w:p>
    <w:p>
      <w:pPr>
        <w:spacing w:line="360" w:after="210" w:lineRule="auto"/>
      </w:pPr>
      <w:r>
        <w:rPr>
          <w:rFonts w:eastAsia="source serif 4" w:cs="source serif 4" w:ascii="source serif 4" w:hAnsi="source serif 4"/>
          <w:color w:val="000000"/>
        </w:rPr>
        <w:t xml:space="preserve">Preschool studies find associations between pretense and executive-function measures, including relations between understanding pretend-reality distinctions and conflict-related executive function. These studies are correlational and compatible with a bidirectional model. A major review found that evidence for language, narrative, and emotion regulation was insufficient for causal conclusions; evidence for executive function and social skills leaned against a “crucial causal” position but did not resolve whether pretense is one route among many or an epiphenomenon of child, adult, and environmental characteristics.[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w:t>
      </w:r>
    </w:p>
    <w:p>
      <w:pPr>
        <w:spacing w:line="360" w:before="315" w:after="105" w:lineRule="auto"/>
        <w:ind w:left="-30"/>
        <w:jc w:val="left"/>
      </w:pPr>
      <w:bookmarkStart w:id="26" w:name="effect_size_and_persistence_3"/>
      <w:r>
        <w:rPr>
          <w:rFonts w:eastAsia="source serif 4" w:cs="source serif 4" w:ascii="source serif 4" w:hAnsi="source serif 4"/>
          <w:b/>
          <w:color w:val="000000"/>
          <w:sz w:val="24"/>
        </w:rPr>
        <w:t xml:space="preserve">Effect Size and Persistence</w:t>
      </w:r>
      <w:bookmarkEnd w:id="26"/>
    </w:p>
    <w:p>
      <w:pPr>
        <w:spacing w:line="360" w:after="210" w:lineRule="auto"/>
      </w:pPr>
      <w:r>
        <w:rPr>
          <w:rFonts w:eastAsia="source serif 4" w:cs="source serif 4" w:ascii="source serif 4" w:hAnsi="source serif 4"/>
          <w:color w:val="000000"/>
        </w:rPr>
        <w:t xml:space="preserve">No stable, generalizable effect estimate currently justifies claiming that pretend play produces durable gains across domains. Some experimental studies report short-term improvements under particular story or play conditions, such as improved inhibitory control following realistic or fantastical pretense, but these findings should not be generalized to all pretend play.[^9]</w:t>
      </w:r>
    </w:p>
    <w:p>
      <w:pPr>
        <w:spacing w:line="360" w:before="315" w:after="105" w:lineRule="auto"/>
        <w:ind w:left="-30"/>
        <w:jc w:val="left"/>
      </w:pPr>
      <w:bookmarkStart w:id="27" w:name="bias_heterogeneity_and_confounding_3"/>
      <w:r>
        <w:rPr>
          <w:rFonts w:eastAsia="source serif 4" w:cs="source serif 4" w:ascii="source serif 4" w:hAnsi="source serif 4"/>
          <w:b/>
          <w:color w:val="000000"/>
          <w:sz w:val="24"/>
        </w:rPr>
        <w:t xml:space="preserve">Bias, Heterogeneity, and Confounding</w:t>
      </w:r>
      <w:bookmarkEnd w:id="27"/>
    </w:p>
    <w:p>
      <w:pPr>
        <w:spacing w:line="360" w:after="210" w:lineRule="auto"/>
      </w:pPr>
      <w:r>
        <w:rPr>
          <w:rFonts w:eastAsia="source serif 4" w:cs="source serif 4" w:ascii="source serif 4" w:hAnsi="source serif 4"/>
          <w:color w:val="000000"/>
        </w:rPr>
        <w:t xml:space="preserve">Children with stronger language, executive function, social opportunity, and adult support may both engage in more complex pretense and perform better on developmental tasks. Masked-assessor nonreplication and inconsistent correlational findings are important cautions.[^1]</w:t>
      </w:r>
    </w:p>
    <w:p>
      <w:pPr>
        <w:spacing w:line="360" w:before="315" w:after="105" w:lineRule="auto"/>
        <w:ind w:left="-30"/>
        <w:jc w:val="left"/>
      </w:pPr>
      <w:bookmarkStart w:id="28" w:name="what_remains_uncertain_3"/>
      <w:r>
        <w:rPr>
          <w:rFonts w:eastAsia="source serif 4" w:cs="source serif 4" w:ascii="source serif 4" w:hAnsi="source serif 4"/>
          <w:b/>
          <w:color w:val="000000"/>
          <w:sz w:val="24"/>
        </w:rPr>
        <w:t xml:space="preserve">What Remains Uncertain</w:t>
      </w:r>
      <w:bookmarkEnd w:id="28"/>
    </w:p>
    <w:p>
      <w:pPr>
        <w:spacing w:line="360" w:after="210" w:lineRule="auto"/>
      </w:pPr>
      <w:r>
        <w:rPr>
          <w:rFonts w:eastAsia="source serif 4" w:cs="source serif 4" w:ascii="source serif 4" w:hAnsi="source serif 4"/>
          <w:color w:val="000000"/>
        </w:rPr>
        <w:t xml:space="preserve">Whether repeated, high-quality pretend-play interventions yield domain-specific improvements, whether effects transfer beyond trained tasks, and which active ingredients matter.</w:t>
      </w:r>
    </w:p>
    <w:p>
      <w:pPr>
        <w:spacing w:line="360" w:before="315" w:after="105" w:lineRule="auto"/>
        <w:ind w:left="-30"/>
        <w:jc w:val="left"/>
      </w:pPr>
      <w:bookmarkStart w:id="29" w:name="what_this_does_not_mean_3"/>
      <w:r>
        <w:rPr>
          <w:rFonts w:eastAsia="source serif 4" w:cs="source serif 4" w:ascii="source serif 4" w:hAnsi="source serif 4"/>
          <w:b/>
          <w:color w:val="000000"/>
          <w:sz w:val="24"/>
        </w:rPr>
        <w:t xml:space="preserve">What This Does Not Mean</w:t>
      </w:r>
      <w:bookmarkEnd w:id="29"/>
    </w:p>
    <w:p>
      <w:pPr>
        <w:spacing w:line="360" w:after="210" w:lineRule="auto"/>
      </w:pPr>
      <w:r>
        <w:rPr>
          <w:rFonts w:eastAsia="source serif 4" w:cs="source serif 4" w:ascii="source serif 4" w:hAnsi="source serif 4"/>
          <w:color w:val="000000"/>
        </w:rPr>
        <w:t xml:space="preserve">Pretend play is not irrelevant; the evidence instead rejects an inflated claim of unique necessity.</w:t>
      </w:r>
    </w:p>
    <w:p>
      <w:pPr>
        <w:spacing w:line="360" w:before="315" w:after="105" w:lineRule="auto"/>
        <w:ind w:left="-30"/>
        <w:jc w:val="left"/>
      </w:pPr>
      <w:bookmarkStart w:id="30" w:name="what_action_is_reasonably_justified_3"/>
      <w:r>
        <w:rPr>
          <w:rFonts w:eastAsia="source serif 4" w:cs="source serif 4" w:ascii="source serif 4" w:hAnsi="source serif 4"/>
          <w:b/>
          <w:color w:val="000000"/>
          <w:sz w:val="24"/>
        </w:rPr>
        <w:t xml:space="preserve">What Action Is Reasonably Justified</w:t>
      </w:r>
      <w:bookmarkEnd w:id="30"/>
    </w:p>
    <w:p>
      <w:pPr>
        <w:spacing w:line="360" w:after="210" w:lineRule="auto"/>
      </w:pPr>
      <w:r>
        <w:rPr>
          <w:rFonts w:eastAsia="source serif 4" w:cs="source serif 4" w:ascii="source serif 4" w:hAnsi="source serif 4"/>
          <w:color w:val="000000"/>
        </w:rPr>
        <w:t xml:space="preserve">Protect opportunities for imaginative activity without turning pretend play into a performance target or developmental prescription.</w:t>
      </w:r>
    </w:p>
    <w:p>
      <w:pPr>
        <w:spacing w:line="360" w:before="315" w:after="105" w:lineRule="auto"/>
        <w:ind w:left="-30"/>
        <w:jc w:val="left"/>
      </w:pPr>
      <w:bookmarkStart w:id="31" w:name="evidence_card_4_exploration_and_learning"/>
      <w:r>
        <w:rPr>
          <w:rFonts w:eastAsia="source serif 4" w:cs="source serif 4" w:ascii="source serif 4" w:hAnsi="source serif 4"/>
          <w:b/>
          <w:color w:val="000000"/>
          <w:sz w:val="24"/>
        </w:rPr>
        <w:t xml:space="preserve">Evidence Card 4: Exploration and Learning</w:t>
      </w:r>
      <w:bookmarkEnd w:id="31"/>
    </w:p>
    <w:p>
      <w:pPr>
        <w:spacing w:line="360" w:before="315" w:after="105" w:lineRule="auto"/>
        <w:ind w:left="-30"/>
        <w:jc w:val="left"/>
      </w:pPr>
      <w:bookmarkStart w:id="32" w:name="what_we_know_4"/>
      <w:r>
        <w:rPr>
          <w:rFonts w:eastAsia="source serif 4" w:cs="source serif 4" w:ascii="source serif 4" w:hAnsi="source serif 4"/>
          <w:b/>
          <w:color w:val="000000"/>
          <w:sz w:val="24"/>
        </w:rPr>
        <w:t xml:space="preserve">What We Know</w:t>
      </w:r>
      <w:bookmarkEnd w:id="32"/>
    </w:p>
    <w:p>
      <w:pPr>
        <w:spacing w:line="360" w:after="210" w:lineRule="auto"/>
      </w:pPr>
      <w:r>
        <w:rPr>
          <w:rFonts w:eastAsia="source serif 4" w:cs="source serif 4" w:ascii="source serif 4" w:hAnsi="source serif 4"/>
          <w:color w:val="000000"/>
        </w:rPr>
        <w:t xml:space="preserve">Exploratory and constructive play can give children repeated opportunities to investigate object properties, action–outcome relations, spatial relations, and alternative solutions. This supports a plausible learning mechanism, but “play supports learning” is too broad without specifying the target, materials, feedback, and comparison condition.</w:t>
      </w:r>
    </w:p>
    <w:p>
      <w:pPr>
        <w:spacing w:line="360" w:before="315" w:after="105" w:lineRule="auto"/>
        <w:ind w:left="-30"/>
        <w:jc w:val="left"/>
      </w:pPr>
      <w:bookmarkStart w:id="33" w:name="how_confident_we_are_4"/>
      <w:r>
        <w:rPr>
          <w:rFonts w:eastAsia="source serif 4" w:cs="source serif 4" w:ascii="source serif 4" w:hAnsi="source serif 4"/>
          <w:b/>
          <w:color w:val="000000"/>
          <w:sz w:val="24"/>
        </w:rPr>
        <w:t xml:space="preserve">How Confident We Are</w:t>
      </w:r>
      <w:bookmarkEnd w:id="33"/>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proximal learning opportunities;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broad transfer.</w:t>
      </w:r>
    </w:p>
    <w:p>
      <w:pPr>
        <w:spacing w:line="360" w:before="315" w:after="105" w:lineRule="auto"/>
        <w:ind w:left="-30"/>
        <w:jc w:val="left"/>
      </w:pPr>
      <w:bookmarkStart w:id="34" w:name="evidence_and_causal_assessment_4"/>
      <w:r>
        <w:rPr>
          <w:rFonts w:eastAsia="source serif 4" w:cs="source serif 4" w:ascii="source serif 4" w:hAnsi="source serif 4"/>
          <w:b/>
          <w:color w:val="000000"/>
          <w:sz w:val="24"/>
        </w:rPr>
        <w:t xml:space="preserve">Evidence and Causal Assessment</w:t>
      </w:r>
      <w:bookmarkEnd w:id="34"/>
    </w:p>
    <w:p>
      <w:pPr>
        <w:spacing w:line="360" w:after="210" w:lineRule="auto"/>
      </w:pPr>
      <w:r>
        <w:rPr>
          <w:rFonts w:eastAsia="source serif 4" w:cs="source serif 4" w:ascii="source serif 4" w:hAnsi="source serif 4"/>
          <w:color w:val="000000"/>
        </w:rPr>
        <w:t xml:space="preserve">Observational and experimental work supports learning through active manipulation and inquiry. However, play can vary from cognitively informative exploration to repetitive activity, and child choice alone does not ensure conceptual learning.</w:t>
      </w:r>
    </w:p>
    <w:p>
      <w:pPr>
        <w:spacing w:line="360" w:before="315" w:after="105" w:lineRule="auto"/>
        <w:ind w:left="-30"/>
        <w:jc w:val="left"/>
      </w:pPr>
      <w:bookmarkStart w:id="35" w:name="effect_size_and_persistence_4"/>
      <w:r>
        <w:rPr>
          <w:rFonts w:eastAsia="source serif 4" w:cs="source serif 4" w:ascii="source serif 4" w:hAnsi="source serif 4"/>
          <w:b/>
          <w:color w:val="000000"/>
          <w:sz w:val="24"/>
        </w:rPr>
        <w:t xml:space="preserve">Effect Size and Persistence</w:t>
      </w:r>
      <w:bookmarkEnd w:id="35"/>
    </w:p>
    <w:p>
      <w:pPr>
        <w:spacing w:line="360" w:after="210" w:lineRule="auto"/>
      </w:pPr>
      <w:r>
        <w:rPr>
          <w:rFonts w:eastAsia="source serif 4" w:cs="source serif 4" w:ascii="source serif 4" w:hAnsi="source serif 4"/>
          <w:color w:val="000000"/>
        </w:rPr>
        <w:t xml:space="preserve">Effects should be reported by outcome. General claims about intelligence or later achievement are not justified from the available evidence reviewed here.</w:t>
      </w:r>
    </w:p>
    <w:p>
      <w:pPr>
        <w:spacing w:line="360" w:before="315" w:after="105" w:lineRule="auto"/>
        <w:ind w:left="-30"/>
        <w:jc w:val="left"/>
      </w:pPr>
      <w:bookmarkStart w:id="36" w:name="bias_heterogeneity_and_confounding_4"/>
      <w:r>
        <w:rPr>
          <w:rFonts w:eastAsia="source serif 4" w:cs="source serif 4" w:ascii="source serif 4" w:hAnsi="source serif 4"/>
          <w:b/>
          <w:color w:val="000000"/>
          <w:sz w:val="24"/>
        </w:rPr>
        <w:t xml:space="preserve">Bias, Heterogeneity, and Confounding</w:t>
      </w:r>
      <w:bookmarkEnd w:id="36"/>
    </w:p>
    <w:p>
      <w:pPr>
        <w:spacing w:line="360" w:after="210" w:lineRule="auto"/>
      </w:pPr>
      <w:r>
        <w:rPr>
          <w:rFonts w:eastAsia="source serif 4" w:cs="source serif 4" w:ascii="source serif 4" w:hAnsi="source serif 4"/>
          <w:color w:val="000000"/>
        </w:rPr>
        <w:t xml:space="preserve">Adult selection of materials, prior knowledge, language, classroom quality, and socioeconomic resources can explain apparent differences.</w:t>
      </w:r>
    </w:p>
    <w:p>
      <w:pPr>
        <w:spacing w:line="360" w:before="315" w:after="105" w:lineRule="auto"/>
        <w:ind w:left="-30"/>
        <w:jc w:val="left"/>
      </w:pPr>
      <w:bookmarkStart w:id="37" w:name="what_remains_uncertain_4"/>
      <w:r>
        <w:rPr>
          <w:rFonts w:eastAsia="source serif 4" w:cs="source serif 4" w:ascii="source serif 4" w:hAnsi="source serif 4"/>
          <w:b/>
          <w:color w:val="000000"/>
          <w:sz w:val="24"/>
        </w:rPr>
        <w:t xml:space="preserve">What Remains Uncertain</w:t>
      </w:r>
      <w:bookmarkEnd w:id="37"/>
    </w:p>
    <w:p>
      <w:pPr>
        <w:spacing w:line="360" w:after="210" w:lineRule="auto"/>
      </w:pPr>
      <w:r>
        <w:rPr>
          <w:rFonts w:eastAsia="source serif 4" w:cs="source serif 4" w:ascii="source serif 4" w:hAnsi="source serif 4"/>
          <w:color w:val="000000"/>
        </w:rPr>
        <w:t xml:space="preserve">Which features—choice, repetition, challenge, feedback, social dialogue, or emotional engagement—are necessary for specific learning outcomes.</w:t>
      </w:r>
    </w:p>
    <w:p>
      <w:pPr>
        <w:spacing w:line="360" w:before="315" w:after="105" w:lineRule="auto"/>
        <w:ind w:left="-30"/>
        <w:jc w:val="left"/>
      </w:pPr>
      <w:bookmarkStart w:id="38" w:name="what_this_does_not_mean_4"/>
      <w:r>
        <w:rPr>
          <w:rFonts w:eastAsia="source serif 4" w:cs="source serif 4" w:ascii="source serif 4" w:hAnsi="source serif 4"/>
          <w:b/>
          <w:color w:val="000000"/>
          <w:sz w:val="24"/>
        </w:rPr>
        <w:t xml:space="preserve">What This Does Not Mean</w:t>
      </w:r>
      <w:bookmarkEnd w:id="38"/>
    </w:p>
    <w:p>
      <w:pPr>
        <w:spacing w:line="360" w:after="210" w:lineRule="auto"/>
      </w:pPr>
      <w:r>
        <w:rPr>
          <w:rFonts w:eastAsia="source serif 4" w:cs="source serif 4" w:ascii="source serif 4" w:hAnsi="source serif 4"/>
          <w:color w:val="000000"/>
        </w:rPr>
        <w:t xml:space="preserve">Free play is not automatically superior to instruction, and direct instruction is not automatically incompatible with play.</w:t>
      </w:r>
    </w:p>
    <w:p>
      <w:pPr>
        <w:spacing w:line="360" w:before="315" w:after="105" w:lineRule="auto"/>
        <w:ind w:left="-30"/>
        <w:jc w:val="left"/>
      </w:pPr>
      <w:bookmarkStart w:id="39" w:name="what_action_is_reasonably_justified_4"/>
      <w:r>
        <w:rPr>
          <w:rFonts w:eastAsia="source serif 4" w:cs="source serif 4" w:ascii="source serif 4" w:hAnsi="source serif 4"/>
          <w:b/>
          <w:color w:val="000000"/>
          <w:sz w:val="24"/>
        </w:rPr>
        <w:t xml:space="preserve">What Action Is Reasonably Justified</w:t>
      </w:r>
      <w:bookmarkEnd w:id="39"/>
    </w:p>
    <w:p>
      <w:pPr>
        <w:spacing w:line="360" w:after="210" w:lineRule="auto"/>
      </w:pPr>
      <w:r>
        <w:rPr>
          <w:rFonts w:eastAsia="source serif 4" w:cs="source serif 4" w:ascii="source serif 4" w:hAnsi="source serif 4"/>
          <w:color w:val="000000"/>
        </w:rPr>
        <w:t xml:space="preserve">Match the activity and adult support to the learning goal, while preserving meaningful child agency where possible.</w:t>
      </w:r>
    </w:p>
    <w:p>
      <w:pPr>
        <w:spacing w:line="360" w:before="315" w:after="105" w:lineRule="auto"/>
        <w:ind w:left="-30"/>
        <w:jc w:val="left"/>
      </w:pPr>
      <w:bookmarkStart w:id="40" w:name="evidence_card_5_social_play_and_meaning"/>
      <w:r>
        <w:rPr>
          <w:rFonts w:eastAsia="source serif 4" w:cs="source serif 4" w:ascii="source serif 4" w:hAnsi="source serif 4"/>
          <w:b/>
          <w:color w:val="000000"/>
          <w:sz w:val="24"/>
        </w:rPr>
        <w:t xml:space="preserve">Evidence Card 5: Social Play and Meaning</w:t>
      </w:r>
      <w:bookmarkEnd w:id="40"/>
    </w:p>
    <w:p>
      <w:pPr>
        <w:spacing w:line="360" w:before="315" w:after="105" w:lineRule="auto"/>
        <w:ind w:left="-30"/>
        <w:jc w:val="left"/>
      </w:pPr>
      <w:bookmarkStart w:id="41" w:name="what_we_know_5"/>
      <w:r>
        <w:rPr>
          <w:rFonts w:eastAsia="source serif 4" w:cs="source serif 4" w:ascii="source serif 4" w:hAnsi="source serif 4"/>
          <w:b/>
          <w:color w:val="000000"/>
          <w:sz w:val="24"/>
        </w:rPr>
        <w:t xml:space="preserve">What We Know</w:t>
      </w:r>
      <w:bookmarkEnd w:id="41"/>
    </w:p>
    <w:p>
      <w:pPr>
        <w:spacing w:line="360" w:after="210" w:lineRule="auto"/>
      </w:pPr>
      <w:r>
        <w:rPr>
          <w:rFonts w:eastAsia="source serif 4" w:cs="source serif 4" w:ascii="source serif 4" w:hAnsi="source serif 4"/>
          <w:color w:val="000000"/>
        </w:rPr>
        <w:t xml:space="preserve">Social play requires children to coordinate attention, roles, actions, objects, and expectations. It can therefore provide practice in negotiation and shared meaning, but association with social competence does not establish that play causes social understanding.</w:t>
      </w:r>
    </w:p>
    <w:p>
      <w:pPr>
        <w:spacing w:line="360" w:before="315" w:after="105" w:lineRule="auto"/>
        <w:ind w:left="-30"/>
        <w:jc w:val="left"/>
      </w:pPr>
      <w:bookmarkStart w:id="42" w:name="how_confident_we_are_5"/>
      <w:r>
        <w:rPr>
          <w:rFonts w:eastAsia="source serif 4" w:cs="source serif 4" w:ascii="source serif 4" w:hAnsi="source serif 4"/>
          <w:b/>
          <w:color w:val="000000"/>
          <w:sz w:val="24"/>
        </w:rPr>
        <w:t xml:space="preserve">How Confident We Are</w:t>
      </w:r>
      <w:bookmarkEnd w:id="42"/>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social coordination during play; </w:t>
      </w:r>
      <w:r>
        <w:rPr>
          <w:rFonts w:eastAsia="source serif 4" w:cs="source serif 4" w:ascii="source serif 4" w:hAnsi="source serif 4"/>
          <w:b/>
          <w:color w:val="000000"/>
        </w:rPr>
        <w:t xml:space="preserve">Low</w:t>
      </w:r>
      <w:r>
        <w:rPr>
          <w:rFonts w:eastAsia="source serif 4" w:cs="source serif 4" w:ascii="source serif 4" w:hAnsi="source serif 4"/>
          <w:color w:val="000000"/>
        </w:rPr>
        <w:t xml:space="preserve"> for durable causal effects on theory of mind or empathy.</w:t>
      </w:r>
    </w:p>
    <w:p>
      <w:pPr>
        <w:spacing w:line="360" w:before="315" w:after="105" w:lineRule="auto"/>
        <w:ind w:left="-30"/>
        <w:jc w:val="left"/>
      </w:pPr>
      <w:bookmarkStart w:id="43" w:name="evidence_and_causal_assessment_5"/>
      <w:r>
        <w:rPr>
          <w:rFonts w:eastAsia="source serif 4" w:cs="source serif 4" w:ascii="source serif 4" w:hAnsi="source serif 4"/>
          <w:b/>
          <w:color w:val="000000"/>
          <w:sz w:val="24"/>
        </w:rPr>
        <w:t xml:space="preserve">Evidence and Causal Assessment</w:t>
      </w:r>
      <w:bookmarkEnd w:id="43"/>
    </w:p>
    <w:p>
      <w:pPr>
        <w:spacing w:line="360" w:after="210" w:lineRule="auto"/>
      </w:pPr>
      <w:r>
        <w:rPr>
          <w:rFonts w:eastAsia="source serif 4" w:cs="source serif 4" w:ascii="source serif 4" w:hAnsi="source serif 4"/>
          <w:color w:val="000000"/>
        </w:rPr>
        <w:t xml:space="preserve">Peer and caregiver play research documents transitions from parallel and object-focused activity toward more coordinated forms. Role play plausibly creates perspective-taking demands. Yet language, temperament, peer acceptance, adult mediation, and broader social experience may produce both richer play and better social cognition. Theory-of-mind training research also identifies language and perspective-taking contexts as important, preventing pretend play from being treated as a sole mechanism.[^10]</w:t>
      </w:r>
    </w:p>
    <w:p>
      <w:pPr>
        <w:spacing w:line="360" w:before="315" w:after="105" w:lineRule="auto"/>
        <w:ind w:left="-30"/>
        <w:jc w:val="left"/>
      </w:pPr>
      <w:bookmarkStart w:id="44" w:name="effect_size_and_persistence_5"/>
      <w:r>
        <w:rPr>
          <w:rFonts w:eastAsia="source serif 4" w:cs="source serif 4" w:ascii="source serif 4" w:hAnsi="source serif 4"/>
          <w:b/>
          <w:color w:val="000000"/>
          <w:sz w:val="24"/>
        </w:rPr>
        <w:t xml:space="preserve">Effect Size and Persistence</w:t>
      </w:r>
      <w:bookmarkEnd w:id="44"/>
    </w:p>
    <w:p>
      <w:pPr>
        <w:spacing w:line="360" w:after="210" w:lineRule="auto"/>
      </w:pPr>
      <w:r>
        <w:rPr>
          <w:rFonts w:eastAsia="source serif 4" w:cs="source serif 4" w:ascii="source serif 4" w:hAnsi="source serif 4"/>
          <w:color w:val="000000"/>
        </w:rPr>
        <w:t xml:space="preserve">No single estimate should be assigned to “social play.” Effects are likely task-, partner-, and context-specific.</w:t>
      </w:r>
    </w:p>
    <w:p>
      <w:pPr>
        <w:spacing w:line="360" w:before="315" w:after="105" w:lineRule="auto"/>
        <w:ind w:left="-30"/>
        <w:jc w:val="left"/>
      </w:pPr>
      <w:bookmarkStart w:id="45" w:name="bias_heterogeneity_and_confounding_5"/>
      <w:r>
        <w:rPr>
          <w:rFonts w:eastAsia="source serif 4" w:cs="source serif 4" w:ascii="source serif 4" w:hAnsi="source serif 4"/>
          <w:b/>
          <w:color w:val="000000"/>
          <w:sz w:val="24"/>
        </w:rPr>
        <w:t xml:space="preserve">Bias, Heterogeneity, and Confounding</w:t>
      </w:r>
      <w:bookmarkEnd w:id="45"/>
    </w:p>
    <w:p>
      <w:pPr>
        <w:spacing w:line="360" w:after="210" w:lineRule="auto"/>
      </w:pPr>
      <w:r>
        <w:rPr>
          <w:rFonts w:eastAsia="source serif 4" w:cs="source serif 4" w:ascii="source serif 4" w:hAnsi="source serif 4"/>
          <w:color w:val="000000"/>
        </w:rPr>
        <w:t xml:space="preserve">Peer cultures and norms for cooperation differ. Adult-coded measures may mistake quiet coordination, observation, or culturally normative participation for social deficit.</w:t>
      </w:r>
    </w:p>
    <w:p>
      <w:pPr>
        <w:spacing w:line="360" w:before="315" w:after="105" w:lineRule="auto"/>
        <w:ind w:left="-30"/>
        <w:jc w:val="left"/>
      </w:pPr>
      <w:bookmarkStart w:id="46" w:name="what_remains_uncertain_5"/>
      <w:r>
        <w:rPr>
          <w:rFonts w:eastAsia="source serif 4" w:cs="source serif 4" w:ascii="source serif 4" w:hAnsi="source serif 4"/>
          <w:b/>
          <w:color w:val="000000"/>
          <w:sz w:val="24"/>
        </w:rPr>
        <w:t xml:space="preserve">What Remains Uncertain</w:t>
      </w:r>
      <w:bookmarkEnd w:id="46"/>
    </w:p>
    <w:p>
      <w:pPr>
        <w:spacing w:line="360" w:after="210" w:lineRule="auto"/>
      </w:pPr>
      <w:r>
        <w:rPr>
          <w:rFonts w:eastAsia="source serif 4" w:cs="source serif 4" w:ascii="source serif 4" w:hAnsi="source serif 4"/>
          <w:color w:val="000000"/>
        </w:rPr>
        <w:t xml:space="preserve">Whether specific role-play structures improve social-cognitive performance outside the play setting and for how long.</w:t>
      </w:r>
    </w:p>
    <w:p>
      <w:pPr>
        <w:spacing w:line="360" w:before="315" w:after="105" w:lineRule="auto"/>
        <w:ind w:left="-30"/>
        <w:jc w:val="left"/>
      </w:pPr>
      <w:bookmarkStart w:id="47" w:name="what_this_does_not_mean_5"/>
      <w:r>
        <w:rPr>
          <w:rFonts w:eastAsia="source serif 4" w:cs="source serif 4" w:ascii="source serif 4" w:hAnsi="source serif 4"/>
          <w:b/>
          <w:color w:val="000000"/>
          <w:sz w:val="24"/>
        </w:rPr>
        <w:t xml:space="preserve">What This Does Not Mean</w:t>
      </w:r>
      <w:bookmarkEnd w:id="47"/>
    </w:p>
    <w:p>
      <w:pPr>
        <w:spacing w:line="360" w:after="210" w:lineRule="auto"/>
      </w:pPr>
      <w:r>
        <w:rPr>
          <w:rFonts w:eastAsia="source serif 4" w:cs="source serif 4" w:ascii="source serif 4" w:hAnsi="source serif 4"/>
          <w:color w:val="000000"/>
        </w:rPr>
        <w:t xml:space="preserve">Children do not need constant group play to develop socially, and solitary or parallel play is not inherently inferior.</w:t>
      </w:r>
    </w:p>
    <w:p>
      <w:pPr>
        <w:spacing w:line="360" w:before="315" w:after="105" w:lineRule="auto"/>
        <w:ind w:left="-30"/>
        <w:jc w:val="left"/>
      </w:pPr>
      <w:bookmarkStart w:id="48" w:name="what_action_is_reasonably_justified_5"/>
      <w:r>
        <w:rPr>
          <w:rFonts w:eastAsia="source serif 4" w:cs="source serif 4" w:ascii="source serif 4" w:hAnsi="source serif 4"/>
          <w:b/>
          <w:color w:val="000000"/>
          <w:sz w:val="24"/>
        </w:rPr>
        <w:t xml:space="preserve">What Action Is Reasonably Justified</w:t>
      </w:r>
      <w:bookmarkEnd w:id="48"/>
    </w:p>
    <w:p>
      <w:pPr>
        <w:spacing w:line="360" w:after="210" w:lineRule="auto"/>
      </w:pPr>
      <w:r>
        <w:rPr>
          <w:rFonts w:eastAsia="source serif 4" w:cs="source serif 4" w:ascii="source serif 4" w:hAnsi="source serif 4"/>
          <w:color w:val="000000"/>
        </w:rPr>
        <w:t xml:space="preserve">Provide opportunities for children to play with others, support negotiation when needed, and avoid forcing participation as a universal developmental treatment.</w:t>
      </w:r>
    </w:p>
    <w:p>
      <w:pPr>
        <w:spacing w:line="360" w:before="315" w:after="105" w:lineRule="auto"/>
        <w:ind w:left="-30"/>
        <w:jc w:val="left"/>
      </w:pPr>
      <w:bookmarkStart w:id="49" w:name="evidence_card_6_language_and_narrative"/>
      <w:r>
        <w:rPr>
          <w:rFonts w:eastAsia="source serif 4" w:cs="source serif 4" w:ascii="source serif 4" w:hAnsi="source serif 4"/>
          <w:b/>
          <w:color w:val="000000"/>
          <w:sz w:val="24"/>
        </w:rPr>
        <w:t xml:space="preserve">Evidence Card 6: Language and Narrative</w:t>
      </w:r>
      <w:bookmarkEnd w:id="49"/>
    </w:p>
    <w:p>
      <w:pPr>
        <w:spacing w:line="360" w:before="315" w:after="105" w:lineRule="auto"/>
        <w:ind w:left="-30"/>
        <w:jc w:val="left"/>
      </w:pPr>
      <w:bookmarkStart w:id="50" w:name="what_we_know_6"/>
      <w:r>
        <w:rPr>
          <w:rFonts w:eastAsia="source serif 4" w:cs="source serif 4" w:ascii="source serif 4" w:hAnsi="source serif 4"/>
          <w:b/>
          <w:color w:val="000000"/>
          <w:sz w:val="24"/>
        </w:rPr>
        <w:t xml:space="preserve">What We Know</w:t>
      </w:r>
      <w:bookmarkEnd w:id="50"/>
    </w:p>
    <w:p>
      <w:pPr>
        <w:spacing w:line="360" w:after="210" w:lineRule="auto"/>
      </w:pPr>
      <w:r>
        <w:rPr>
          <w:rFonts w:eastAsia="source serif 4" w:cs="source serif 4" w:ascii="source serif 4" w:hAnsi="source serif 4"/>
          <w:color w:val="000000"/>
        </w:rPr>
        <w:t xml:space="preserve">Language and play are plausibly reciprocal: language helps children name roles, negotiate rules, construct scripts, and narrate events, while play creates reasons to communicate, rehearse dialogue, and organize sequences.</w:t>
      </w:r>
    </w:p>
    <w:p>
      <w:pPr>
        <w:spacing w:line="360" w:before="315" w:after="105" w:lineRule="auto"/>
        <w:ind w:left="-30"/>
        <w:jc w:val="left"/>
      </w:pPr>
      <w:bookmarkStart w:id="51" w:name="how_confident_we_are_6"/>
      <w:r>
        <w:rPr>
          <w:rFonts w:eastAsia="source serif 4" w:cs="source serif 4" w:ascii="source serif 4" w:hAnsi="source serif 4"/>
          <w:b/>
          <w:color w:val="000000"/>
          <w:sz w:val="24"/>
        </w:rPr>
        <w:t xml:space="preserve">How Confident We Are</w:t>
      </w:r>
      <w:bookmarkEnd w:id="51"/>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reciprocal opportunity;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broad causal transfer.</w:t>
      </w:r>
    </w:p>
    <w:p>
      <w:pPr>
        <w:spacing w:line="360" w:before="315" w:after="105" w:lineRule="auto"/>
        <w:ind w:left="-30"/>
        <w:jc w:val="left"/>
      </w:pPr>
      <w:bookmarkStart w:id="52" w:name="evidence_and_causal_assessment_6"/>
      <w:r>
        <w:rPr>
          <w:rFonts w:eastAsia="source serif 4" w:cs="source serif 4" w:ascii="source serif 4" w:hAnsi="source serif 4"/>
          <w:b/>
          <w:color w:val="000000"/>
          <w:sz w:val="24"/>
        </w:rPr>
        <w:t xml:space="preserve">Evidence and Causal Assessment</w:t>
      </w:r>
      <w:bookmarkEnd w:id="52"/>
    </w:p>
    <w:p>
      <w:pPr>
        <w:spacing w:line="360" w:after="210" w:lineRule="auto"/>
      </w:pPr>
      <w:r>
        <w:rPr>
          <w:rFonts w:eastAsia="source serif 4" w:cs="source serif 4" w:ascii="source serif 4" w:hAnsi="source serif 4"/>
          <w:color w:val="000000"/>
        </w:rPr>
        <w:t xml:space="preserve">The strongest design will separate language-rich play from play with minimal dialogue and test whether gains generalize to unfamiliar narrative or language tasks. Guided pretend-play trials that combine storybook reading, role play, and explicit vocabulary or phonological-awareness instruction cannot attribute effects to pretend play alone. One randomized study with children learning English as an additional language found greater phonological-awareness improvement than typical curriculum, but the intervention contained several active ingredients.[^11]</w:t>
      </w:r>
    </w:p>
    <w:p>
      <w:pPr>
        <w:spacing w:line="360" w:before="315" w:after="105" w:lineRule="auto"/>
        <w:ind w:left="-30"/>
        <w:jc w:val="left"/>
      </w:pPr>
      <w:bookmarkStart w:id="53" w:name="effect_size_and_persistence_6"/>
      <w:r>
        <w:rPr>
          <w:rFonts w:eastAsia="source serif 4" w:cs="source serif 4" w:ascii="source serif 4" w:hAnsi="source serif 4"/>
          <w:b/>
          <w:color w:val="000000"/>
          <w:sz w:val="24"/>
        </w:rPr>
        <w:t xml:space="preserve">Effect Size and Persistence</w:t>
      </w:r>
      <w:bookmarkEnd w:id="53"/>
    </w:p>
    <w:p>
      <w:pPr>
        <w:spacing w:line="360" w:after="210" w:lineRule="auto"/>
      </w:pPr>
      <w:r>
        <w:rPr>
          <w:rFonts w:eastAsia="source serif 4" w:cs="source serif 4" w:ascii="source serif 4" w:hAnsi="source serif 4"/>
          <w:color w:val="000000"/>
        </w:rPr>
        <w:t xml:space="preserve">Evidence reviewed here does not establish a durable, play-specific effect on general language ability.</w:t>
      </w:r>
    </w:p>
    <w:p>
      <w:pPr>
        <w:spacing w:line="360" w:before="315" w:after="105" w:lineRule="auto"/>
        <w:ind w:left="-30"/>
        <w:jc w:val="left"/>
      </w:pPr>
      <w:bookmarkStart w:id="54" w:name="bias_heterogeneity_and_confounding_6"/>
      <w:r>
        <w:rPr>
          <w:rFonts w:eastAsia="source serif 4" w:cs="source serif 4" w:ascii="source serif 4" w:hAnsi="source serif 4"/>
          <w:b/>
          <w:color w:val="000000"/>
          <w:sz w:val="24"/>
        </w:rPr>
        <w:t xml:space="preserve">Bias, Heterogeneity, and Confounding</w:t>
      </w:r>
      <w:bookmarkEnd w:id="54"/>
    </w:p>
    <w:p>
      <w:pPr>
        <w:spacing w:line="360" w:after="210" w:lineRule="auto"/>
      </w:pPr>
      <w:r>
        <w:rPr>
          <w:rFonts w:eastAsia="source serif 4" w:cs="source serif 4" w:ascii="source serif 4" w:hAnsi="source serif 4"/>
          <w:color w:val="000000"/>
        </w:rPr>
        <w:t xml:space="preserve">Studies may favor children with dominant-language fluency and verbal styles of play. Adult talk quality and classroom language environment may be more influential than the play label.</w:t>
      </w:r>
    </w:p>
    <w:p>
      <w:pPr>
        <w:spacing w:line="360" w:before="315" w:after="105" w:lineRule="auto"/>
        <w:ind w:left="-30"/>
        <w:jc w:val="left"/>
      </w:pPr>
      <w:bookmarkStart w:id="55" w:name="what_remains_uncertain_6"/>
      <w:r>
        <w:rPr>
          <w:rFonts w:eastAsia="source serif 4" w:cs="source serif 4" w:ascii="source serif 4" w:hAnsi="source serif 4"/>
          <w:b/>
          <w:color w:val="000000"/>
          <w:sz w:val="24"/>
        </w:rPr>
        <w:t xml:space="preserve">What Remains Uncertain</w:t>
      </w:r>
      <w:bookmarkEnd w:id="55"/>
    </w:p>
    <w:p>
      <w:pPr>
        <w:spacing w:line="360" w:after="210" w:lineRule="auto"/>
      </w:pPr>
      <w:r>
        <w:rPr>
          <w:rFonts w:eastAsia="source serif 4" w:cs="source serif 4" w:ascii="source serif 4" w:hAnsi="source serif 4"/>
          <w:color w:val="000000"/>
        </w:rPr>
        <w:t xml:space="preserve">How play, shared reading, conversation, and narrative instruction combine, and whether effects differ by language background.</w:t>
      </w:r>
    </w:p>
    <w:p>
      <w:pPr>
        <w:spacing w:line="360" w:before="315" w:after="105" w:lineRule="auto"/>
        <w:ind w:left="-30"/>
        <w:jc w:val="left"/>
      </w:pPr>
      <w:bookmarkStart w:id="56" w:name="what_this_does_not_mean_6"/>
      <w:r>
        <w:rPr>
          <w:rFonts w:eastAsia="source serif 4" w:cs="source serif 4" w:ascii="source serif 4" w:hAnsi="source serif 4"/>
          <w:b/>
          <w:color w:val="000000"/>
          <w:sz w:val="24"/>
        </w:rPr>
        <w:t xml:space="preserve">What This Does Not Mean</w:t>
      </w:r>
      <w:bookmarkEnd w:id="56"/>
    </w:p>
    <w:p>
      <w:pPr>
        <w:spacing w:line="360" w:after="210" w:lineRule="auto"/>
      </w:pPr>
      <w:r>
        <w:rPr>
          <w:rFonts w:eastAsia="source serif 4" w:cs="source serif 4" w:ascii="source serif 4" w:hAnsi="source serif 4"/>
          <w:color w:val="000000"/>
        </w:rPr>
        <w:t xml:space="preserve">Pretend play is not a substitute for rich conversation, responsive language interaction, or evidence-based language instruction.</w:t>
      </w:r>
    </w:p>
    <w:p>
      <w:pPr>
        <w:spacing w:line="360" w:before="315" w:after="105" w:lineRule="auto"/>
        <w:ind w:left="-30"/>
        <w:jc w:val="left"/>
      </w:pPr>
      <w:bookmarkStart w:id="57" w:name="what_action_is_reasonably_justified_6"/>
      <w:r>
        <w:rPr>
          <w:rFonts w:eastAsia="source serif 4" w:cs="source serif 4" w:ascii="source serif 4" w:hAnsi="source serif 4"/>
          <w:b/>
          <w:color w:val="000000"/>
          <w:sz w:val="24"/>
        </w:rPr>
        <w:t xml:space="preserve">What Action Is Reasonably Justified</w:t>
      </w:r>
      <w:bookmarkEnd w:id="57"/>
    </w:p>
    <w:p>
      <w:pPr>
        <w:spacing w:line="360" w:after="210" w:lineRule="auto"/>
      </w:pPr>
      <w:r>
        <w:rPr>
          <w:rFonts w:eastAsia="source serif 4" w:cs="source serif 4" w:ascii="source serif 4" w:hAnsi="source serif 4"/>
          <w:color w:val="000000"/>
        </w:rPr>
        <w:t xml:space="preserve">Treat play as a useful context for conversation and narrative, not as a stand-alone language intervention.</w:t>
      </w:r>
    </w:p>
    <w:p>
      <w:pPr>
        <w:spacing w:line="360" w:before="315" w:after="105" w:lineRule="auto"/>
        <w:ind w:left="-30"/>
        <w:jc w:val="left"/>
      </w:pPr>
      <w:bookmarkStart w:id="58" w:name="evidence_card_7_executive_function"/>
      <w:r>
        <w:rPr>
          <w:rFonts w:eastAsia="source serif 4" w:cs="source serif 4" w:ascii="source serif 4" w:hAnsi="source serif 4"/>
          <w:b/>
          <w:color w:val="000000"/>
          <w:sz w:val="24"/>
        </w:rPr>
        <w:t xml:space="preserve">Evidence Card 7: Executive Function</w:t>
      </w:r>
      <w:bookmarkEnd w:id="58"/>
    </w:p>
    <w:p>
      <w:pPr>
        <w:spacing w:line="360" w:before="315" w:after="105" w:lineRule="auto"/>
        <w:ind w:left="-30"/>
        <w:jc w:val="left"/>
      </w:pPr>
      <w:bookmarkStart w:id="59" w:name="what_we_know_7"/>
      <w:r>
        <w:rPr>
          <w:rFonts w:eastAsia="source serif 4" w:cs="source serif 4" w:ascii="source serif 4" w:hAnsi="source serif 4"/>
          <w:b/>
          <w:color w:val="000000"/>
          <w:sz w:val="24"/>
        </w:rPr>
        <w:t xml:space="preserve">What We Know</w:t>
      </w:r>
      <w:bookmarkEnd w:id="59"/>
    </w:p>
    <w:p>
      <w:pPr>
        <w:spacing w:line="360" w:after="210" w:lineRule="auto"/>
      </w:pPr>
      <w:r>
        <w:rPr>
          <w:rFonts w:eastAsia="source serif 4" w:cs="source serif 4" w:ascii="source serif 4" w:hAnsi="source serif 4"/>
          <w:color w:val="000000"/>
        </w:rPr>
        <w:t xml:space="preserve">Pretend and rule-based play often demand inhibition, working memory, role maintenance, and cognitive flexibility. Executive function is also likely to enable more complex play, making the relationship plausibly bidirectional.</w:t>
      </w:r>
    </w:p>
    <w:p>
      <w:pPr>
        <w:spacing w:line="360" w:before="315" w:after="105" w:lineRule="auto"/>
        <w:ind w:left="-30"/>
        <w:jc w:val="left"/>
      </w:pPr>
      <w:bookmarkStart w:id="60" w:name="how_confident_we_are_7"/>
      <w:r>
        <w:rPr>
          <w:rFonts w:eastAsia="source serif 4" w:cs="source serif 4" w:ascii="source serif 4" w:hAnsi="source serif 4"/>
          <w:b/>
          <w:color w:val="000000"/>
          <w:sz w:val="24"/>
        </w:rPr>
        <w:t xml:space="preserve">How Confident We Are</w:t>
      </w:r>
      <w:bookmarkEnd w:id="60"/>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co-occurrence and cognitive demands; </w:t>
      </w:r>
      <w:r>
        <w:rPr>
          <w:rFonts w:eastAsia="source serif 4" w:cs="source serif 4" w:ascii="source serif 4" w:hAnsi="source serif 4"/>
          <w:b/>
          <w:color w:val="000000"/>
        </w:rPr>
        <w:t xml:space="preserve">Low</w:t>
      </w:r>
      <w:r>
        <w:rPr>
          <w:rFonts w:eastAsia="source serif 4" w:cs="source serif 4" w:ascii="source serif 4" w:hAnsi="source serif 4"/>
          <w:color w:val="000000"/>
        </w:rPr>
        <w:t xml:space="preserve"> for durable causal transfer from ordinary play.</w:t>
      </w:r>
    </w:p>
    <w:p>
      <w:pPr>
        <w:spacing w:line="360" w:before="315" w:after="105" w:lineRule="auto"/>
        <w:ind w:left="-30"/>
        <w:jc w:val="left"/>
      </w:pPr>
      <w:bookmarkStart w:id="61" w:name="evidence_and_causal_assessment_7"/>
      <w:r>
        <w:rPr>
          <w:rFonts w:eastAsia="source serif 4" w:cs="source serif 4" w:ascii="source serif 4" w:hAnsi="source serif 4"/>
          <w:b/>
          <w:color w:val="000000"/>
          <w:sz w:val="24"/>
        </w:rPr>
        <w:t xml:space="preserve">Evidence and Causal Assessment</w:t>
      </w:r>
      <w:bookmarkEnd w:id="61"/>
    </w:p>
    <w:p>
      <w:pPr>
        <w:spacing w:line="360" w:after="210" w:lineRule="auto"/>
      </w:pPr>
      <w:r>
        <w:rPr>
          <w:rFonts w:eastAsia="source serif 4" w:cs="source serif 4" w:ascii="source serif 4" w:hAnsi="source serif 4"/>
          <w:color w:val="000000"/>
        </w:rPr>
        <w:t xml:space="preserve">A preschool study found separable but overlapping executive-function dimensions and significant relations between executive function and pretense after controls; understanding pretend-reality distinctions was related to conflict executive function, while performing pretend actions was more related to delay executive function. The authors explicitly describe the evidence as correlational. A systematic review of guided play found advantages over direct instruction for early mathematics, shape knowledge, and task switching, but not for all outcomes, and emphasized heterogeneity.[</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8]</w:t>
      </w:r>
    </w:p>
    <w:p>
      <w:pPr>
        <w:spacing w:line="360" w:before="315" w:after="105" w:lineRule="auto"/>
        <w:ind w:left="-30"/>
        <w:jc w:val="left"/>
      </w:pPr>
      <w:bookmarkStart w:id="62" w:name="effect_size_and_persistence_7"/>
      <w:r>
        <w:rPr>
          <w:rFonts w:eastAsia="source serif 4" w:cs="source serif 4" w:ascii="source serif 4" w:hAnsi="source serif 4"/>
          <w:b/>
          <w:color w:val="000000"/>
          <w:sz w:val="24"/>
        </w:rPr>
        <w:t xml:space="preserve">Effect Size and Persistence</w:t>
      </w:r>
      <w:bookmarkEnd w:id="62"/>
    </w:p>
    <w:p>
      <w:pPr>
        <w:spacing w:line="360" w:after="210" w:lineRule="auto"/>
      </w:pPr>
      <w:r>
        <w:rPr>
          <w:rFonts w:eastAsia="source serif 4" w:cs="source serif 4" w:ascii="source serif 4" w:hAnsi="source serif 4"/>
          <w:color w:val="000000"/>
        </w:rPr>
        <w:t xml:space="preserve">The guided-play meta-analysis reported standardized effects of approximately 0.24 for early mathematics, 0.63 for shape knowledge, 0.40 for task switching versus direct instruction, and 0.93 for spatial vocabulary versus free play; these estimates concern guided-play studies and should not be transferred to unstructured pretend play.[^12]</w:t>
      </w:r>
    </w:p>
    <w:p>
      <w:pPr>
        <w:spacing w:line="360" w:before="315" w:after="105" w:lineRule="auto"/>
        <w:ind w:left="-30"/>
        <w:jc w:val="left"/>
      </w:pPr>
      <w:bookmarkStart w:id="63" w:name="bias_heterogeneity_and_confounding_7"/>
      <w:r>
        <w:rPr>
          <w:rFonts w:eastAsia="source serif 4" w:cs="source serif 4" w:ascii="source serif 4" w:hAnsi="source serif 4"/>
          <w:b/>
          <w:color w:val="000000"/>
          <w:sz w:val="24"/>
        </w:rPr>
        <w:t xml:space="preserve">Bias, Heterogeneity, and Confounding</w:t>
      </w:r>
      <w:bookmarkEnd w:id="63"/>
    </w:p>
    <w:p>
      <w:pPr>
        <w:spacing w:line="360" w:after="210" w:lineRule="auto"/>
      </w:pPr>
      <w:r>
        <w:rPr>
          <w:rFonts w:eastAsia="source serif 4" w:cs="source serif 4" w:ascii="source serif 4" w:hAnsi="source serif 4"/>
          <w:color w:val="000000"/>
        </w:rPr>
        <w:t xml:space="preserve">Interventions may include trained adults, carefully selected materials, repeated practice, and explicit learning targets. Short-term task gains may not transfer to everyday self-regulation.</w:t>
      </w:r>
    </w:p>
    <w:p>
      <w:pPr>
        <w:spacing w:line="360" w:before="315" w:after="105" w:lineRule="auto"/>
        <w:ind w:left="-30"/>
        <w:jc w:val="left"/>
      </w:pPr>
      <w:bookmarkStart w:id="64" w:name="what_remains_uncertain_7"/>
      <w:r>
        <w:rPr>
          <w:rFonts w:eastAsia="source serif 4" w:cs="source serif 4" w:ascii="source serif 4" w:hAnsi="source serif 4"/>
          <w:b/>
          <w:color w:val="000000"/>
          <w:sz w:val="24"/>
        </w:rPr>
        <w:t xml:space="preserve">What Remains Uncertain</w:t>
      </w:r>
      <w:bookmarkEnd w:id="64"/>
    </w:p>
    <w:p>
      <w:pPr>
        <w:spacing w:line="360" w:after="210" w:lineRule="auto"/>
      </w:pPr>
      <w:r>
        <w:rPr>
          <w:rFonts w:eastAsia="source serif 4" w:cs="source serif 4" w:ascii="source serif 4" w:hAnsi="source serif 4"/>
          <w:color w:val="000000"/>
        </w:rPr>
        <w:t xml:space="preserve">Whether ordinary child-led play changes executive function, whether guided-play effects persist, and which children benefit most.</w:t>
      </w:r>
    </w:p>
    <w:p>
      <w:pPr>
        <w:spacing w:line="360" w:before="315" w:after="105" w:lineRule="auto"/>
        <w:ind w:left="-30"/>
        <w:jc w:val="left"/>
      </w:pPr>
      <w:bookmarkStart w:id="65" w:name="what_this_does_not_mean_7"/>
      <w:r>
        <w:rPr>
          <w:rFonts w:eastAsia="source serif 4" w:cs="source serif 4" w:ascii="source serif 4" w:hAnsi="source serif 4"/>
          <w:b/>
          <w:color w:val="000000"/>
          <w:sz w:val="24"/>
        </w:rPr>
        <w:t xml:space="preserve">What This Does Not Mean</w:t>
      </w:r>
      <w:bookmarkEnd w:id="65"/>
    </w:p>
    <w:p>
      <w:pPr>
        <w:spacing w:line="360" w:after="210" w:lineRule="auto"/>
      </w:pPr>
      <w:r>
        <w:rPr>
          <w:rFonts w:eastAsia="source serif 4" w:cs="source serif 4" w:ascii="source serif 4" w:hAnsi="source serif 4"/>
          <w:color w:val="000000"/>
        </w:rPr>
        <w:t xml:space="preserve">Play is not an established general-purpose executive-function training program.</w:t>
      </w:r>
    </w:p>
    <w:p>
      <w:pPr>
        <w:spacing w:line="360" w:before="315" w:after="105" w:lineRule="auto"/>
        <w:ind w:left="-30"/>
        <w:jc w:val="left"/>
      </w:pPr>
      <w:bookmarkStart w:id="66" w:name="what_action_is_reasonably_justified_7"/>
      <w:r>
        <w:rPr>
          <w:rFonts w:eastAsia="source serif 4" w:cs="source serif 4" w:ascii="source serif 4" w:hAnsi="source serif 4"/>
          <w:b/>
          <w:color w:val="000000"/>
          <w:sz w:val="24"/>
        </w:rPr>
        <w:t xml:space="preserve">What Action Is Reasonably Justified</w:t>
      </w:r>
      <w:bookmarkEnd w:id="66"/>
    </w:p>
    <w:p>
      <w:pPr>
        <w:spacing w:line="360" w:after="210" w:lineRule="auto"/>
      </w:pPr>
      <w:r>
        <w:rPr>
          <w:rFonts w:eastAsia="source serif 4" w:cs="source serif 4" w:ascii="source serif 4" w:hAnsi="source serif 4"/>
          <w:color w:val="000000"/>
        </w:rPr>
        <w:t xml:space="preserve">Use playful formats when they fit the learning target and remain feasible, but retain outcome-specific instruction and assessment.</w:t>
      </w:r>
    </w:p>
    <w:p>
      <w:pPr>
        <w:spacing w:line="360" w:before="315" w:after="105" w:lineRule="auto"/>
        <w:ind w:left="-30"/>
        <w:jc w:val="left"/>
      </w:pPr>
      <w:bookmarkStart w:id="67" w:name="evidence_card_8_imagination_and_c_3a310e"/>
      <w:r>
        <w:rPr>
          <w:rFonts w:eastAsia="source serif 4" w:cs="source serif 4" w:ascii="source serif 4" w:hAnsi="source serif 4"/>
          <w:b/>
          <w:color w:val="000000"/>
          <w:sz w:val="24"/>
        </w:rPr>
        <w:t xml:space="preserve">Evidence Card 8: Imagination and Counterfactual Thought</w:t>
      </w:r>
      <w:bookmarkEnd w:id="67"/>
    </w:p>
    <w:p>
      <w:pPr>
        <w:spacing w:line="360" w:before="315" w:after="105" w:lineRule="auto"/>
        <w:ind w:left="-30"/>
        <w:jc w:val="left"/>
      </w:pPr>
      <w:bookmarkStart w:id="68" w:name="what_we_know_8"/>
      <w:r>
        <w:rPr>
          <w:rFonts w:eastAsia="source serif 4" w:cs="source serif 4" w:ascii="source serif 4" w:hAnsi="source serif 4"/>
          <w:b/>
          <w:color w:val="000000"/>
          <w:sz w:val="24"/>
        </w:rPr>
        <w:t xml:space="preserve">What We Know</w:t>
      </w:r>
      <w:bookmarkEnd w:id="68"/>
    </w:p>
    <w:p>
      <w:pPr>
        <w:spacing w:line="360" w:after="210" w:lineRule="auto"/>
      </w:pPr>
      <w:r>
        <w:rPr>
          <w:rFonts w:eastAsia="source serif 4" w:cs="source serif 4" w:ascii="source serif 4" w:hAnsi="source serif 4"/>
          <w:color w:val="000000"/>
        </w:rPr>
        <w:t xml:space="preserve">Imagination enables representations that depart from the immediate perceptual situation. Pretend play and counterfactual reasoning share the need to consider alternatives to reality, making imagination a plausible bridge between representation, simulation, and possibility generation.[^5]</w:t>
      </w:r>
    </w:p>
    <w:p>
      <w:pPr>
        <w:spacing w:line="360" w:before="315" w:after="105" w:lineRule="auto"/>
        <w:ind w:left="-30"/>
        <w:jc w:val="left"/>
      </w:pPr>
      <w:bookmarkStart w:id="69" w:name="how_confident_we_are_8"/>
      <w:r>
        <w:rPr>
          <w:rFonts w:eastAsia="source serif 4" w:cs="source serif 4" w:ascii="source serif 4" w:hAnsi="source serif 4"/>
          <w:b/>
          <w:color w:val="000000"/>
          <w:sz w:val="24"/>
        </w:rPr>
        <w:t xml:space="preserve">How Confident We Are</w:t>
      </w:r>
      <w:bookmarkEnd w:id="69"/>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conceptual relations; </w:t>
      </w:r>
      <w:r>
        <w:rPr>
          <w:rFonts w:eastAsia="source serif 4" w:cs="source serif 4" w:ascii="source serif 4" w:hAnsi="source serif 4"/>
          <w:b/>
          <w:color w:val="000000"/>
        </w:rPr>
        <w:t xml:space="preserve">Low</w:t>
      </w:r>
      <w:r>
        <w:rPr>
          <w:rFonts w:eastAsia="source serif 4" w:cs="source serif 4" w:ascii="source serif 4" w:hAnsi="source serif 4"/>
          <w:color w:val="000000"/>
        </w:rPr>
        <w:t xml:space="preserve"> for broad developmental effects.</w:t>
      </w:r>
    </w:p>
    <w:p>
      <w:pPr>
        <w:spacing w:line="360" w:before="315" w:after="105" w:lineRule="auto"/>
        <w:ind w:left="-30"/>
        <w:jc w:val="left"/>
      </w:pPr>
      <w:bookmarkStart w:id="70" w:name="evidence_and_causal_assessment_8"/>
      <w:r>
        <w:rPr>
          <w:rFonts w:eastAsia="source serif 4" w:cs="source serif 4" w:ascii="source serif 4" w:hAnsi="source serif 4"/>
          <w:b/>
          <w:color w:val="000000"/>
          <w:sz w:val="24"/>
        </w:rPr>
        <w:t xml:space="preserve">Evidence and Causal Assessment</w:t>
      </w:r>
      <w:bookmarkEnd w:id="70"/>
    </w:p>
    <w:p>
      <w:pPr>
        <w:spacing w:line="360" w:after="210" w:lineRule="auto"/>
      </w:pPr>
      <w:r>
        <w:rPr>
          <w:rFonts w:eastAsia="source serif 4" w:cs="source serif 4" w:ascii="source serif 4" w:hAnsi="source serif 4"/>
          <w:color w:val="000000"/>
        </w:rPr>
        <w:t xml:space="preserve">The evidence supports studying imagination as a cognitive process involving representational flexibility, rather than treating it as a vague personality trait. However, children can imagine, reason, and learn through activities other than pretend play, and the developmental direction between imagination and play remains unresolved.</w:t>
      </w:r>
    </w:p>
    <w:p>
      <w:pPr>
        <w:spacing w:line="360" w:before="315" w:after="105" w:lineRule="auto"/>
        <w:ind w:left="-30"/>
        <w:jc w:val="left"/>
      </w:pPr>
      <w:bookmarkStart w:id="71" w:name="effect_size_and_persistence_8"/>
      <w:r>
        <w:rPr>
          <w:rFonts w:eastAsia="source serif 4" w:cs="source serif 4" w:ascii="source serif 4" w:hAnsi="source serif 4"/>
          <w:b/>
          <w:color w:val="000000"/>
          <w:sz w:val="24"/>
        </w:rPr>
        <w:t xml:space="preserve">Effect Size and Persistence</w:t>
      </w:r>
      <w:bookmarkEnd w:id="71"/>
    </w:p>
    <w:p>
      <w:pPr>
        <w:spacing w:line="360" w:after="210" w:lineRule="auto"/>
      </w:pPr>
      <w:r>
        <w:rPr>
          <w:rFonts w:eastAsia="source serif 4" w:cs="source serif 4" w:ascii="source serif 4" w:hAnsi="source serif 4"/>
          <w:color w:val="000000"/>
        </w:rPr>
        <w:t xml:space="preserve">No general effect size or persistence estimate is warranted.</w:t>
      </w:r>
    </w:p>
    <w:p>
      <w:pPr>
        <w:spacing w:line="360" w:before="315" w:after="105" w:lineRule="auto"/>
        <w:ind w:left="-30"/>
        <w:jc w:val="left"/>
      </w:pPr>
      <w:bookmarkStart w:id="72" w:name="bias_heterogeneity_and_confounding_8"/>
      <w:r>
        <w:rPr>
          <w:rFonts w:eastAsia="source serif 4" w:cs="source serif 4" w:ascii="source serif 4" w:hAnsi="source serif 4"/>
          <w:b/>
          <w:color w:val="000000"/>
          <w:sz w:val="24"/>
        </w:rPr>
        <w:t xml:space="preserve">Bias, Heterogeneity, and Confounding</w:t>
      </w:r>
      <w:bookmarkEnd w:id="72"/>
    </w:p>
    <w:p>
      <w:pPr>
        <w:spacing w:line="360" w:after="210" w:lineRule="auto"/>
      </w:pPr>
      <w:r>
        <w:rPr>
          <w:rFonts w:eastAsia="source serif 4" w:cs="source serif 4" w:ascii="source serif 4" w:hAnsi="source serif 4"/>
          <w:color w:val="000000"/>
        </w:rPr>
        <w:t xml:space="preserve">Fantasy content, cultural scripts, language, exposure to stories, and adult judgments influence measurement. Measures of “imagination” often combine novelty, fluency, narrative skill, and rule violation.</w:t>
      </w:r>
    </w:p>
    <w:p>
      <w:pPr>
        <w:spacing w:line="360" w:before="315" w:after="105" w:lineRule="auto"/>
        <w:ind w:left="-30"/>
        <w:jc w:val="left"/>
      </w:pPr>
      <w:bookmarkStart w:id="73" w:name="what_remains_uncertain_8"/>
      <w:r>
        <w:rPr>
          <w:rFonts w:eastAsia="source serif 4" w:cs="source serif 4" w:ascii="source serif 4" w:hAnsi="source serif 4"/>
          <w:b/>
          <w:color w:val="000000"/>
          <w:sz w:val="24"/>
        </w:rPr>
        <w:t xml:space="preserve">What Remains Uncertain</w:t>
      </w:r>
      <w:bookmarkEnd w:id="73"/>
    </w:p>
    <w:p>
      <w:pPr>
        <w:spacing w:line="360" w:after="210" w:lineRule="auto"/>
      </w:pPr>
      <w:r>
        <w:rPr>
          <w:rFonts w:eastAsia="source serif 4" w:cs="source serif 4" w:ascii="source serif 4" w:hAnsi="source serif 4"/>
          <w:color w:val="000000"/>
        </w:rPr>
        <w:t xml:space="preserve">Whether imaginative play improves transfer to novel problem solving and whether such transfer differs between realistic and fantastical content.</w:t>
      </w:r>
    </w:p>
    <w:p>
      <w:pPr>
        <w:spacing w:line="360" w:before="315" w:after="105" w:lineRule="auto"/>
        <w:ind w:left="-30"/>
        <w:jc w:val="left"/>
      </w:pPr>
      <w:bookmarkStart w:id="74" w:name="what_this_does_not_mean_8"/>
      <w:r>
        <w:rPr>
          <w:rFonts w:eastAsia="source serif 4" w:cs="source serif 4" w:ascii="source serif 4" w:hAnsi="source serif 4"/>
          <w:b/>
          <w:color w:val="000000"/>
          <w:sz w:val="24"/>
        </w:rPr>
        <w:t xml:space="preserve">What This Does Not Mean</w:t>
      </w:r>
      <w:bookmarkEnd w:id="74"/>
    </w:p>
    <w:p>
      <w:pPr>
        <w:spacing w:line="360" w:after="210" w:lineRule="auto"/>
      </w:pPr>
      <w:r>
        <w:rPr>
          <w:rFonts w:eastAsia="source serif 4" w:cs="source serif 4" w:ascii="source serif 4" w:hAnsi="source serif 4"/>
          <w:color w:val="000000"/>
        </w:rPr>
        <w:t xml:space="preserve">Imagination is not synonymous with fantasy, creativity, intelligence, or unrestricted novelty.</w:t>
      </w:r>
    </w:p>
    <w:p>
      <w:pPr>
        <w:spacing w:line="360" w:before="315" w:after="105" w:lineRule="auto"/>
        <w:ind w:left="-30"/>
        <w:jc w:val="left"/>
      </w:pPr>
      <w:bookmarkStart w:id="75" w:name="what_action_is_reasonably_justified_8"/>
      <w:r>
        <w:rPr>
          <w:rFonts w:eastAsia="source serif 4" w:cs="source serif 4" w:ascii="source serif 4" w:hAnsi="source serif 4"/>
          <w:b/>
          <w:color w:val="000000"/>
          <w:sz w:val="24"/>
        </w:rPr>
        <w:t xml:space="preserve">What Action Is Reasonably Justified</w:t>
      </w:r>
      <w:bookmarkEnd w:id="75"/>
    </w:p>
    <w:p>
      <w:pPr>
        <w:spacing w:line="360" w:after="210" w:lineRule="auto"/>
      </w:pPr>
      <w:r>
        <w:rPr>
          <w:rFonts w:eastAsia="source serif 4" w:cs="source serif 4" w:ascii="source serif 4" w:hAnsi="source serif 4"/>
          <w:color w:val="000000"/>
        </w:rPr>
        <w:t xml:space="preserve">Study and support opportunities to consider alternatives, while avoiding claims that any imaginative activity produces general cognitive enhancement.</w:t>
      </w:r>
    </w:p>
    <w:p>
      <w:pPr>
        <w:spacing w:line="360" w:before="315" w:after="105" w:lineRule="auto"/>
        <w:ind w:left="-30"/>
        <w:jc w:val="left"/>
      </w:pPr>
      <w:bookmarkStart w:id="76" w:name="evidence_card_9_creativity"/>
      <w:r>
        <w:rPr>
          <w:rFonts w:eastAsia="source serif 4" w:cs="source serif 4" w:ascii="source serif 4" w:hAnsi="source serif 4"/>
          <w:b/>
          <w:color w:val="000000"/>
          <w:sz w:val="24"/>
        </w:rPr>
        <w:t xml:space="preserve">Evidence Card 9: Creativity</w:t>
      </w:r>
      <w:bookmarkEnd w:id="76"/>
    </w:p>
    <w:p>
      <w:pPr>
        <w:spacing w:line="360" w:before="315" w:after="105" w:lineRule="auto"/>
        <w:ind w:left="-30"/>
        <w:jc w:val="left"/>
      </w:pPr>
      <w:bookmarkStart w:id="77" w:name="what_we_know_9"/>
      <w:r>
        <w:rPr>
          <w:rFonts w:eastAsia="source serif 4" w:cs="source serif 4" w:ascii="source serif 4" w:hAnsi="source serif 4"/>
          <w:b/>
          <w:color w:val="000000"/>
          <w:sz w:val="24"/>
        </w:rPr>
        <w:t xml:space="preserve">What We Know</w:t>
      </w:r>
      <w:bookmarkEnd w:id="77"/>
    </w:p>
    <w:p>
      <w:pPr>
        <w:spacing w:line="360" w:after="210" w:lineRule="auto"/>
      </w:pPr>
      <w:r>
        <w:rPr>
          <w:rFonts w:eastAsia="source serif 4" w:cs="source serif 4" w:ascii="source serif 4" w:hAnsi="source serif 4"/>
          <w:color w:val="000000"/>
        </w:rPr>
        <w:t xml:space="preserve">Early creativity can be operationalized through aspects such as fluency, flexibility, originality, elaboration, symbolic transformation, and narrative generation. These are measurable performances, not fixed traits.</w:t>
      </w:r>
    </w:p>
    <w:p>
      <w:pPr>
        <w:spacing w:line="360" w:before="315" w:after="105" w:lineRule="auto"/>
        <w:ind w:left="-30"/>
        <w:jc w:val="left"/>
      </w:pPr>
      <w:bookmarkStart w:id="78" w:name="how_confident_we_are_9"/>
      <w:r>
        <w:rPr>
          <w:rFonts w:eastAsia="source serif 4" w:cs="source serif 4" w:ascii="source serif 4" w:hAnsi="source serif 4"/>
          <w:b/>
          <w:color w:val="000000"/>
          <w:sz w:val="24"/>
        </w:rPr>
        <w:t xml:space="preserve">How Confident We Are</w:t>
      </w:r>
      <w:bookmarkEnd w:id="78"/>
    </w:p>
    <w:p>
      <w:pPr>
        <w:spacing w:line="360" w:after="210" w:lineRule="auto"/>
      </w:pP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Measurement is heterogeneous, and the causal contribution of play is not established.</w:t>
      </w:r>
    </w:p>
    <w:p>
      <w:pPr>
        <w:spacing w:line="360" w:before="315" w:after="105" w:lineRule="auto"/>
        <w:ind w:left="-30"/>
        <w:jc w:val="left"/>
      </w:pPr>
      <w:bookmarkStart w:id="79" w:name="evidence_and_causal_assessment_9"/>
      <w:r>
        <w:rPr>
          <w:rFonts w:eastAsia="source serif 4" w:cs="source serif 4" w:ascii="source serif 4" w:hAnsi="source serif 4"/>
          <w:b/>
          <w:color w:val="000000"/>
          <w:sz w:val="24"/>
        </w:rPr>
        <w:t xml:space="preserve">Evidence and Causal Assessment</w:t>
      </w:r>
      <w:bookmarkEnd w:id="79"/>
    </w:p>
    <w:p>
      <w:pPr>
        <w:spacing w:line="360" w:after="210" w:lineRule="auto"/>
      </w:pPr>
      <w:r>
        <w:rPr>
          <w:rFonts w:eastAsia="source serif 4" w:cs="source serif 4" w:ascii="source serif 4" w:hAnsi="source serif 4"/>
          <w:color w:val="000000"/>
        </w:rPr>
        <w:t xml:space="preserve">Play may provide repeated opportunities to generate and revise possibilities, but the same child, adult, and environmental conditions that support play may also support creativity. Creativity tasks are sensitive to language, familiarity, motivation, scoring rules, and cultural expectations.</w:t>
      </w:r>
    </w:p>
    <w:p>
      <w:pPr>
        <w:spacing w:line="360" w:before="315" w:after="105" w:lineRule="auto"/>
        <w:ind w:left="-30"/>
        <w:jc w:val="left"/>
      </w:pPr>
      <w:bookmarkStart w:id="80" w:name="effect_size_and_persistence_9"/>
      <w:r>
        <w:rPr>
          <w:rFonts w:eastAsia="source serif 4" w:cs="source serif 4" w:ascii="source serif 4" w:hAnsi="source serif 4"/>
          <w:b/>
          <w:color w:val="000000"/>
          <w:sz w:val="24"/>
        </w:rPr>
        <w:t xml:space="preserve">Effect Size and Persistence</w:t>
      </w:r>
      <w:bookmarkEnd w:id="80"/>
    </w:p>
    <w:p>
      <w:pPr>
        <w:spacing w:line="360" w:after="210" w:lineRule="auto"/>
      </w:pPr>
      <w:r>
        <w:rPr>
          <w:rFonts w:eastAsia="source serif 4" w:cs="source serif 4" w:ascii="source serif 4" w:hAnsi="source serif 4"/>
          <w:color w:val="000000"/>
        </w:rPr>
        <w:t xml:space="preserve">No stable estimate is justified from the evidence gathered for this plan.</w:t>
      </w:r>
    </w:p>
    <w:p>
      <w:pPr>
        <w:spacing w:line="360" w:before="315" w:after="105" w:lineRule="auto"/>
        <w:ind w:left="-30"/>
        <w:jc w:val="left"/>
      </w:pPr>
      <w:bookmarkStart w:id="81" w:name="bias_heterogeneity_and_confounding_9"/>
      <w:r>
        <w:rPr>
          <w:rFonts w:eastAsia="source serif 4" w:cs="source serif 4" w:ascii="source serif 4" w:hAnsi="source serif 4"/>
          <w:b/>
          <w:color w:val="000000"/>
          <w:sz w:val="24"/>
        </w:rPr>
        <w:t xml:space="preserve">Bias, Heterogeneity, and Confounding</w:t>
      </w:r>
      <w:bookmarkEnd w:id="81"/>
    </w:p>
    <w:p>
      <w:pPr>
        <w:spacing w:line="360" w:after="210" w:lineRule="auto"/>
      </w:pPr>
      <w:r>
        <w:rPr>
          <w:rFonts w:eastAsia="source serif 4" w:cs="source serif 4" w:ascii="source serif 4" w:hAnsi="source serif 4"/>
          <w:color w:val="000000"/>
        </w:rPr>
        <w:t xml:space="preserve">Novelty can be mistaken for creativity; adult preference can shape scoring; culturally unfamiliar products may be underrated.</w:t>
      </w:r>
    </w:p>
    <w:p>
      <w:pPr>
        <w:spacing w:line="360" w:before="315" w:after="105" w:lineRule="auto"/>
        <w:ind w:left="-30"/>
        <w:jc w:val="left"/>
      </w:pPr>
      <w:bookmarkStart w:id="82" w:name="what_remains_uncertain_9"/>
      <w:r>
        <w:rPr>
          <w:rFonts w:eastAsia="source serif 4" w:cs="source serif 4" w:ascii="source serif 4" w:hAnsi="source serif 4"/>
          <w:b/>
          <w:color w:val="000000"/>
          <w:sz w:val="24"/>
        </w:rPr>
        <w:t xml:space="preserve">What Remains Uncertain</w:t>
      </w:r>
      <w:bookmarkEnd w:id="82"/>
    </w:p>
    <w:p>
      <w:pPr>
        <w:spacing w:line="360" w:after="210" w:lineRule="auto"/>
      </w:pPr>
      <w:r>
        <w:rPr>
          <w:rFonts w:eastAsia="source serif 4" w:cs="source serif 4" w:ascii="source serif 4" w:hAnsi="source serif 4"/>
          <w:color w:val="000000"/>
        </w:rPr>
        <w:t xml:space="preserve">Whether playful practice produces creativity gains on untrained tasks and whether early creativity predicts later creative achievement.</w:t>
      </w:r>
    </w:p>
    <w:p>
      <w:pPr>
        <w:spacing w:line="360" w:before="315" w:after="105" w:lineRule="auto"/>
        <w:ind w:left="-30"/>
        <w:jc w:val="left"/>
      </w:pPr>
      <w:bookmarkStart w:id="83" w:name="what_this_does_not_mean_9"/>
      <w:r>
        <w:rPr>
          <w:rFonts w:eastAsia="source serif 4" w:cs="source serif 4" w:ascii="source serif 4" w:hAnsi="source serif 4"/>
          <w:b/>
          <w:color w:val="000000"/>
          <w:sz w:val="24"/>
        </w:rPr>
        <w:t xml:space="preserve">What This Does Not Mean</w:t>
      </w:r>
      <w:bookmarkEnd w:id="83"/>
    </w:p>
    <w:p>
      <w:pPr>
        <w:spacing w:line="360" w:after="210" w:lineRule="auto"/>
      </w:pPr>
      <w:r>
        <w:rPr>
          <w:rFonts w:eastAsia="source serif 4" w:cs="source serif 4" w:ascii="source serif 4" w:hAnsi="source serif 4"/>
          <w:color w:val="000000"/>
        </w:rPr>
        <w:t xml:space="preserve">More pretend play, more toys, or less adult structure does not automatically produce greater creativity.</w:t>
      </w:r>
    </w:p>
    <w:p>
      <w:pPr>
        <w:spacing w:line="360" w:before="315" w:after="105" w:lineRule="auto"/>
        <w:ind w:left="-30"/>
        <w:jc w:val="left"/>
      </w:pPr>
      <w:bookmarkStart w:id="84" w:name="what_action_is_reasonably_justified_9"/>
      <w:r>
        <w:rPr>
          <w:rFonts w:eastAsia="source serif 4" w:cs="source serif 4" w:ascii="source serif 4" w:hAnsi="source serif 4"/>
          <w:b/>
          <w:color w:val="000000"/>
          <w:sz w:val="24"/>
        </w:rPr>
        <w:t xml:space="preserve">What Action Is Reasonably Justified</w:t>
      </w:r>
      <w:bookmarkEnd w:id="84"/>
    </w:p>
    <w:p>
      <w:pPr>
        <w:spacing w:line="360" w:after="210" w:lineRule="auto"/>
      </w:pPr>
      <w:r>
        <w:rPr>
          <w:rFonts w:eastAsia="source serif 4" w:cs="source serif 4" w:ascii="source serif 4" w:hAnsi="source serif 4"/>
          <w:color w:val="000000"/>
        </w:rPr>
        <w:t xml:space="preserve">Offer varied materials and opportunities for transformation, while treating creative expression as plural and context-dependent.</w:t>
      </w:r>
    </w:p>
    <w:p>
      <w:pPr>
        <w:spacing w:line="360" w:before="315" w:after="105" w:lineRule="auto"/>
        <w:ind w:left="-30"/>
        <w:jc w:val="left"/>
      </w:pPr>
      <w:bookmarkStart w:id="85" w:name="evidence_card_10_guided_play_and_427749"/>
      <w:r>
        <w:rPr>
          <w:rFonts w:eastAsia="source serif 4" w:cs="source serif 4" w:ascii="source serif 4" w:hAnsi="source serif 4"/>
          <w:b/>
          <w:color w:val="000000"/>
          <w:sz w:val="24"/>
        </w:rPr>
        <w:t xml:space="preserve">Evidence Card 10: Guided Play and Education</w:t>
      </w:r>
      <w:bookmarkEnd w:id="85"/>
    </w:p>
    <w:p>
      <w:pPr>
        <w:spacing w:line="360" w:before="315" w:after="105" w:lineRule="auto"/>
        <w:ind w:left="-30"/>
        <w:jc w:val="left"/>
      </w:pPr>
      <w:bookmarkStart w:id="86" w:name="what_we_know_10"/>
      <w:r>
        <w:rPr>
          <w:rFonts w:eastAsia="source serif 4" w:cs="source serif 4" w:ascii="source serif 4" w:hAnsi="source serif 4"/>
          <w:b/>
          <w:color w:val="000000"/>
          <w:sz w:val="24"/>
        </w:rPr>
        <w:t xml:space="preserve">What We Know</w:t>
      </w:r>
      <w:bookmarkEnd w:id="86"/>
    </w:p>
    <w:p>
      <w:pPr>
        <w:spacing w:line="360" w:after="210" w:lineRule="auto"/>
      </w:pPr>
      <w:r>
        <w:rPr>
          <w:rFonts w:eastAsia="source serif 4" w:cs="source serif 4" w:ascii="source serif 4" w:hAnsi="source serif 4"/>
          <w:color w:val="000000"/>
        </w:rPr>
        <w:t xml:space="preserve">Guided play is a promising but heterogeneous middle ground between direct instruction and fully child-directed play. A systematic review identified 39 studies, with 17 included in meta-analysis, and found positive effects for selected outcomes rather than a universal advantage.[^12]</w:t>
      </w:r>
    </w:p>
    <w:p>
      <w:pPr>
        <w:spacing w:line="360" w:before="315" w:after="105" w:lineRule="auto"/>
        <w:ind w:left="-30"/>
        <w:jc w:val="left"/>
      </w:pPr>
      <w:bookmarkStart w:id="87" w:name="how_confident_we_are_10"/>
      <w:r>
        <w:rPr>
          <w:rFonts w:eastAsia="source serif 4" w:cs="source serif 4" w:ascii="source serif 4" w:hAnsi="source serif 4"/>
          <w:b/>
          <w:color w:val="000000"/>
          <w:sz w:val="24"/>
        </w:rPr>
        <w:t xml:space="preserve">How Confident We Are</w:t>
      </w:r>
      <w:bookmarkEnd w:id="87"/>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selected proximal outcomes;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broad educational superiority.</w:t>
      </w:r>
    </w:p>
    <w:p>
      <w:pPr>
        <w:spacing w:line="360" w:before="315" w:after="105" w:lineRule="auto"/>
        <w:ind w:left="-30"/>
        <w:jc w:val="left"/>
      </w:pPr>
      <w:bookmarkStart w:id="88" w:name="evidence_and_causal_assessment_10"/>
      <w:r>
        <w:rPr>
          <w:rFonts w:eastAsia="source serif 4" w:cs="source serif 4" w:ascii="source serif 4" w:hAnsi="source serif 4"/>
          <w:b/>
          <w:color w:val="000000"/>
          <w:sz w:val="24"/>
        </w:rPr>
        <w:t xml:space="preserve">Evidence and Causal Assessment</w:t>
      </w:r>
      <w:bookmarkEnd w:id="88"/>
    </w:p>
    <w:p>
      <w:pPr>
        <w:spacing w:line="360" w:after="210" w:lineRule="auto"/>
      </w:pPr>
      <w:r>
        <w:rPr>
          <w:rFonts w:eastAsia="source serif 4" w:cs="source serif 4" w:ascii="source serif 4" w:hAnsi="source serif 4"/>
          <w:color w:val="000000"/>
        </w:rPr>
        <w:t xml:space="preserve">The review found advantages over direct instruction for early mathematics, shape knowledge, and task switching, and an advantage over free play for spatial vocabulary, while finding no differences for other key outcomes. The heterogeneity of guided-play definitions and implementation limits causal generalization.[^12]</w:t>
      </w:r>
    </w:p>
    <w:p>
      <w:pPr>
        <w:spacing w:line="360" w:before="315" w:after="105" w:lineRule="auto"/>
        <w:ind w:left="-30"/>
        <w:jc w:val="left"/>
      </w:pPr>
      <w:bookmarkStart w:id="89" w:name="effect_size_and_persistence_10"/>
      <w:r>
        <w:rPr>
          <w:rFonts w:eastAsia="source serif 4" w:cs="source serif 4" w:ascii="source serif 4" w:hAnsi="source serif 4"/>
          <w:b/>
          <w:color w:val="000000"/>
          <w:sz w:val="24"/>
        </w:rPr>
        <w:t xml:space="preserve">Effect Size and Persistence</w:t>
      </w:r>
      <w:bookmarkEnd w:id="89"/>
    </w:p>
    <w:p>
      <w:pPr>
        <w:spacing w:line="360" w:after="210" w:lineRule="auto"/>
      </w:pPr>
      <w:r>
        <w:rPr>
          <w:rFonts w:eastAsia="source serif 4" w:cs="source serif 4" w:ascii="source serif 4" w:hAnsi="source serif 4"/>
          <w:color w:val="000000"/>
        </w:rPr>
        <w:t xml:space="preserve">Reported effects were small to large depending on the outcome, with the largest estimate for spatial vocabulary relative to free play. Persistence beyond the intervention and transfer to everyday learning require stronger follow-up evidence.</w:t>
      </w:r>
    </w:p>
    <w:p>
      <w:pPr>
        <w:spacing w:line="360" w:before="315" w:after="105" w:lineRule="auto"/>
        <w:ind w:left="-30"/>
        <w:jc w:val="left"/>
      </w:pPr>
      <w:bookmarkStart w:id="90" w:name="bias_heterogeneity_and_confounding_10"/>
      <w:r>
        <w:rPr>
          <w:rFonts w:eastAsia="source serif 4" w:cs="source serif 4" w:ascii="source serif 4" w:hAnsi="source serif 4"/>
          <w:b/>
          <w:color w:val="000000"/>
          <w:sz w:val="24"/>
        </w:rPr>
        <w:t xml:space="preserve">Bias, Heterogeneity, and Confounding</w:t>
      </w:r>
      <w:bookmarkEnd w:id="90"/>
    </w:p>
    <w:p>
      <w:pPr>
        <w:spacing w:line="360" w:after="210" w:lineRule="auto"/>
      </w:pPr>
      <w:r>
        <w:rPr>
          <w:rFonts w:eastAsia="source serif 4" w:cs="source serif 4" w:ascii="source serif 4" w:hAnsi="source serif 4"/>
          <w:color w:val="000000"/>
        </w:rPr>
        <w:t xml:space="preserve">Adult training, fidelity, materials, dosage, classroom quality, and baseline differences may moderate results. Guided play can become disguised instruction if autonomy and meaningful engagement are not preserved.</w:t>
      </w:r>
    </w:p>
    <w:p>
      <w:pPr>
        <w:spacing w:line="360" w:before="315" w:after="105" w:lineRule="auto"/>
        <w:ind w:left="-30"/>
        <w:jc w:val="left"/>
      </w:pPr>
      <w:bookmarkStart w:id="91" w:name="what_remains_uncertain_10"/>
      <w:r>
        <w:rPr>
          <w:rFonts w:eastAsia="source serif 4" w:cs="source serif 4" w:ascii="source serif 4" w:hAnsi="source serif 4"/>
          <w:b/>
          <w:color w:val="000000"/>
          <w:sz w:val="24"/>
        </w:rPr>
        <w:t xml:space="preserve">What Remains Uncertain</w:t>
      </w:r>
      <w:bookmarkEnd w:id="91"/>
    </w:p>
    <w:p>
      <w:pPr>
        <w:spacing w:line="360" w:after="210" w:lineRule="auto"/>
      </w:pPr>
      <w:r>
        <w:rPr>
          <w:rFonts w:eastAsia="source serif 4" w:cs="source serif 4" w:ascii="source serif 4" w:hAnsi="source serif 4"/>
          <w:color w:val="000000"/>
        </w:rPr>
        <w:t xml:space="preserve">Which active ingredients matter: choice, goal salience, adult prompts, feedback, repetition, social interaction, or the play frame itself.</w:t>
      </w:r>
    </w:p>
    <w:p>
      <w:pPr>
        <w:spacing w:line="360" w:before="315" w:after="105" w:lineRule="auto"/>
        <w:ind w:left="-30"/>
        <w:jc w:val="left"/>
      </w:pPr>
      <w:bookmarkStart w:id="92" w:name="what_this_does_not_mean_10"/>
      <w:r>
        <w:rPr>
          <w:rFonts w:eastAsia="source serif 4" w:cs="source serif 4" w:ascii="source serif 4" w:hAnsi="source serif 4"/>
          <w:b/>
          <w:color w:val="000000"/>
          <w:sz w:val="24"/>
        </w:rPr>
        <w:t xml:space="preserve">What This Does Not Mean</w:t>
      </w:r>
      <w:bookmarkEnd w:id="92"/>
    </w:p>
    <w:p>
      <w:pPr>
        <w:spacing w:line="360" w:after="210" w:lineRule="auto"/>
      </w:pPr>
      <w:r>
        <w:rPr>
          <w:rFonts w:eastAsia="source serif 4" w:cs="source serif 4" w:ascii="source serif 4" w:hAnsi="source serif 4"/>
          <w:color w:val="000000"/>
        </w:rPr>
        <w:t xml:space="preserve">Play-based education is not universally superior, and “guided play” is not a single standardized intervention.</w:t>
      </w:r>
    </w:p>
    <w:p>
      <w:pPr>
        <w:spacing w:line="360" w:before="315" w:after="105" w:lineRule="auto"/>
        <w:ind w:left="-30"/>
        <w:jc w:val="left"/>
      </w:pPr>
      <w:bookmarkStart w:id="93" w:name="what_action_is_reasonably_justified_10"/>
      <w:r>
        <w:rPr>
          <w:rFonts w:eastAsia="source serif 4" w:cs="source serif 4" w:ascii="source serif 4" w:hAnsi="source serif 4"/>
          <w:b/>
          <w:color w:val="000000"/>
          <w:sz w:val="24"/>
        </w:rPr>
        <w:t xml:space="preserve">What Action Is Reasonably Justified</w:t>
      </w:r>
      <w:bookmarkEnd w:id="93"/>
    </w:p>
    <w:p>
      <w:pPr>
        <w:spacing w:line="360" w:after="210" w:lineRule="auto"/>
      </w:pPr>
      <w:r>
        <w:rPr>
          <w:rFonts w:eastAsia="source serif 4" w:cs="source serif 4" w:ascii="source serif 4" w:hAnsi="source serif 4"/>
          <w:color w:val="000000"/>
        </w:rPr>
        <w:t xml:space="preserve">Use guided play selectively for well-defined learning goals, evaluate outcomes directly, and protect child agency rather than treating play as a branding term.</w:t>
      </w:r>
    </w:p>
    <w:p>
      <w:pPr>
        <w:spacing w:line="360" w:before="315" w:after="105" w:lineRule="auto"/>
        <w:ind w:left="-30"/>
        <w:jc w:val="left"/>
      </w:pPr>
      <w:bookmarkStart w:id="94" w:name="evidence_card_11_adult_participation"/>
      <w:r>
        <w:rPr>
          <w:rFonts w:eastAsia="source serif 4" w:cs="source serif 4" w:ascii="source serif 4" w:hAnsi="source serif 4"/>
          <w:b/>
          <w:color w:val="000000"/>
          <w:sz w:val="24"/>
        </w:rPr>
        <w:t xml:space="preserve">Evidence Card 11: Adult Participation</w:t>
      </w:r>
      <w:bookmarkEnd w:id="94"/>
    </w:p>
    <w:p>
      <w:pPr>
        <w:spacing w:line="360" w:before="315" w:after="105" w:lineRule="auto"/>
        <w:ind w:left="-30"/>
        <w:jc w:val="left"/>
      </w:pPr>
      <w:bookmarkStart w:id="95" w:name="what_we_know_11"/>
      <w:r>
        <w:rPr>
          <w:rFonts w:eastAsia="source serif 4" w:cs="source serif 4" w:ascii="source serif 4" w:hAnsi="source serif 4"/>
          <w:b/>
          <w:color w:val="000000"/>
          <w:sz w:val="24"/>
        </w:rPr>
        <w:t xml:space="preserve">What We Know</w:t>
      </w:r>
      <w:bookmarkEnd w:id="95"/>
    </w:p>
    <w:p>
      <w:pPr>
        <w:spacing w:line="360" w:after="210" w:lineRule="auto"/>
      </w:pPr>
      <w:r>
        <w:rPr>
          <w:rFonts w:eastAsia="source serif 4" w:cs="source serif 4" w:ascii="source serif 4" w:hAnsi="source serif 4"/>
          <w:color w:val="000000"/>
        </w:rPr>
        <w:t xml:space="preserve">Adults can expand play by providing time, materials, language, emotional safety, and occasional scaffolding. The same adult can also narrow play through excessive direction, evaluation, correction, or premature instructional goals.</w:t>
      </w:r>
    </w:p>
    <w:p>
      <w:pPr>
        <w:spacing w:line="360" w:before="315" w:after="105" w:lineRule="auto"/>
        <w:ind w:left="-30"/>
        <w:jc w:val="left"/>
      </w:pPr>
      <w:bookmarkStart w:id="96" w:name="how_confident_we_are_11"/>
      <w:r>
        <w:rPr>
          <w:rFonts w:eastAsia="source serif 4" w:cs="source serif 4" w:ascii="source serif 4" w:hAnsi="source serif 4"/>
          <w:b/>
          <w:color w:val="000000"/>
          <w:sz w:val="24"/>
        </w:rPr>
        <w:t xml:space="preserve">How Confident We Are</w:t>
      </w:r>
      <w:bookmarkEnd w:id="96"/>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importance of interactional context;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a universal optimal level of guidance.</w:t>
      </w:r>
    </w:p>
    <w:p>
      <w:pPr>
        <w:spacing w:line="360" w:before="315" w:after="105" w:lineRule="auto"/>
        <w:ind w:left="-30"/>
        <w:jc w:val="left"/>
      </w:pPr>
      <w:bookmarkStart w:id="97" w:name="evidence_and_causal_assessment_11"/>
      <w:r>
        <w:rPr>
          <w:rFonts w:eastAsia="source serif 4" w:cs="source serif 4" w:ascii="source serif 4" w:hAnsi="source serif 4"/>
          <w:b/>
          <w:color w:val="000000"/>
          <w:sz w:val="24"/>
        </w:rPr>
        <w:t xml:space="preserve">Evidence and Causal Assessment</w:t>
      </w:r>
      <w:bookmarkEnd w:id="97"/>
    </w:p>
    <w:p>
      <w:pPr>
        <w:spacing w:line="360" w:after="210" w:lineRule="auto"/>
      </w:pPr>
      <w:r>
        <w:rPr>
          <w:rFonts w:eastAsia="source serif 4" w:cs="source serif 4" w:ascii="source serif 4" w:hAnsi="source serif 4"/>
          <w:color w:val="000000"/>
        </w:rPr>
        <w:t xml:space="preserve">Intervention studies often bundle adult training with materials, structure, dosage, and explicit targets, so effects cannot be attributed to “adult participation” alone. Cultural research shows variation in parent beliefs and participation, making a single ideal of adult–child play inappropriate.[</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7]</w:t>
      </w:r>
    </w:p>
    <w:p>
      <w:pPr>
        <w:spacing w:line="360" w:before="315" w:after="105" w:lineRule="auto"/>
        <w:ind w:left="-30"/>
        <w:jc w:val="left"/>
      </w:pPr>
      <w:bookmarkStart w:id="98" w:name="effect_size_and_persistence_11"/>
      <w:r>
        <w:rPr>
          <w:rFonts w:eastAsia="source serif 4" w:cs="source serif 4" w:ascii="source serif 4" w:hAnsi="source serif 4"/>
          <w:b/>
          <w:color w:val="000000"/>
          <w:sz w:val="24"/>
        </w:rPr>
        <w:t xml:space="preserve">Effect Size and Persistence</w:t>
      </w:r>
      <w:bookmarkEnd w:id="98"/>
    </w:p>
    <w:p>
      <w:pPr>
        <w:spacing w:line="360" w:after="210" w:lineRule="auto"/>
      </w:pPr>
      <w:r>
        <w:rPr>
          <w:rFonts w:eastAsia="source serif 4" w:cs="source serif 4" w:ascii="source serif 4" w:hAnsi="source serif 4"/>
          <w:color w:val="000000"/>
        </w:rPr>
        <w:t xml:space="preserve">No universal dose-response curve is established.</w:t>
      </w:r>
    </w:p>
    <w:p>
      <w:pPr>
        <w:spacing w:line="360" w:before="315" w:after="105" w:lineRule="auto"/>
        <w:ind w:left="-30"/>
        <w:jc w:val="left"/>
      </w:pPr>
      <w:bookmarkStart w:id="99" w:name="bias_heterogeneity_and_confounding_11"/>
      <w:r>
        <w:rPr>
          <w:rFonts w:eastAsia="source serif 4" w:cs="source serif 4" w:ascii="source serif 4" w:hAnsi="source serif 4"/>
          <w:b/>
          <w:color w:val="000000"/>
          <w:sz w:val="24"/>
        </w:rPr>
        <w:t xml:space="preserve">Bias, Heterogeneity, and Confounding</w:t>
      </w:r>
      <w:bookmarkEnd w:id="99"/>
    </w:p>
    <w:p>
      <w:pPr>
        <w:spacing w:line="360" w:after="210" w:lineRule="auto"/>
      </w:pPr>
      <w:r>
        <w:rPr>
          <w:rFonts w:eastAsia="source serif 4" w:cs="source serif 4" w:ascii="source serif 4" w:hAnsi="source serif 4"/>
          <w:color w:val="000000"/>
        </w:rPr>
        <w:t xml:space="preserve">Adult time, stress, resources, language, disability, childcare conditions, and institutional support affect both participation and outcomes. Parent-blaming interpretations are not justified.</w:t>
      </w:r>
    </w:p>
    <w:p>
      <w:pPr>
        <w:spacing w:line="360" w:before="315" w:after="105" w:lineRule="auto"/>
        <w:ind w:left="-30"/>
        <w:jc w:val="left"/>
      </w:pPr>
      <w:bookmarkStart w:id="100" w:name="what_remains_uncertain_11"/>
      <w:r>
        <w:rPr>
          <w:rFonts w:eastAsia="source serif 4" w:cs="source serif 4" w:ascii="source serif 4" w:hAnsi="source serif 4"/>
          <w:b/>
          <w:color w:val="000000"/>
          <w:sz w:val="24"/>
        </w:rPr>
        <w:t xml:space="preserve">What Remains Uncertain</w:t>
      </w:r>
      <w:bookmarkEnd w:id="100"/>
    </w:p>
    <w:p>
      <w:pPr>
        <w:spacing w:line="360" w:after="210" w:lineRule="auto"/>
      </w:pPr>
      <w:r>
        <w:rPr>
          <w:rFonts w:eastAsia="source serif 4" w:cs="source serif 4" w:ascii="source serif 4" w:hAnsi="source serif 4"/>
          <w:color w:val="000000"/>
        </w:rPr>
        <w:t xml:space="preserve">How guidance should vary by age, activity, child characteristics, learning target, and cultural setting.</w:t>
      </w:r>
    </w:p>
    <w:p>
      <w:pPr>
        <w:spacing w:line="360" w:before="315" w:after="105" w:lineRule="auto"/>
        <w:ind w:left="-30"/>
        <w:jc w:val="left"/>
      </w:pPr>
      <w:bookmarkStart w:id="101" w:name="what_this_does_not_mean_11"/>
      <w:r>
        <w:rPr>
          <w:rFonts w:eastAsia="source serif 4" w:cs="source serif 4" w:ascii="source serif 4" w:hAnsi="source serif 4"/>
          <w:b/>
          <w:color w:val="000000"/>
          <w:sz w:val="24"/>
        </w:rPr>
        <w:t xml:space="preserve">What This Does Not Mean</w:t>
      </w:r>
      <w:bookmarkEnd w:id="101"/>
    </w:p>
    <w:p>
      <w:pPr>
        <w:spacing w:line="360" w:after="210" w:lineRule="auto"/>
      </w:pPr>
      <w:r>
        <w:rPr>
          <w:rFonts w:eastAsia="source serif 4" w:cs="source serif 4" w:ascii="source serif 4" w:hAnsi="source serif 4"/>
          <w:color w:val="000000"/>
        </w:rPr>
        <w:t xml:space="preserve">Adults do not need to entertain children constantly, and nonparticipation at a given moment is not evidence of poor caregiving.</w:t>
      </w:r>
    </w:p>
    <w:p>
      <w:pPr>
        <w:spacing w:line="360" w:before="315" w:after="105" w:lineRule="auto"/>
        <w:ind w:left="-30"/>
        <w:jc w:val="left"/>
      </w:pPr>
      <w:bookmarkStart w:id="102" w:name="what_action_is_reasonably_justified_11"/>
      <w:r>
        <w:rPr>
          <w:rFonts w:eastAsia="source serif 4" w:cs="source serif 4" w:ascii="source serif 4" w:hAnsi="source serif 4"/>
          <w:b/>
          <w:color w:val="000000"/>
          <w:sz w:val="24"/>
        </w:rPr>
        <w:t xml:space="preserve">What Action Is Reasonably Justified</w:t>
      </w:r>
      <w:bookmarkEnd w:id="102"/>
    </w:p>
    <w:p>
      <w:pPr>
        <w:spacing w:line="360" w:after="210" w:lineRule="auto"/>
      </w:pPr>
      <w:r>
        <w:rPr>
          <w:rFonts w:eastAsia="source serif 4" w:cs="source serif 4" w:ascii="source serif 4" w:hAnsi="source serif 4"/>
          <w:color w:val="000000"/>
        </w:rPr>
        <w:t xml:space="preserve">Follow the child’s interest, add language or a question when useful, and step back when adult direction begins replacing the child’s initiative.</w:t>
      </w:r>
    </w:p>
    <w:p>
      <w:pPr>
        <w:spacing w:line="360" w:before="315" w:after="105" w:lineRule="auto"/>
        <w:ind w:left="-30"/>
        <w:jc w:val="left"/>
      </w:pPr>
      <w:bookmarkStart w:id="103" w:name="evidence_card_12_culture_and_digi_90bdfa"/>
      <w:r>
        <w:rPr>
          <w:rFonts w:eastAsia="source serif 4" w:cs="source serif 4" w:ascii="source serif 4" w:hAnsi="source serif 4"/>
          <w:b/>
          <w:color w:val="000000"/>
          <w:sz w:val="24"/>
        </w:rPr>
        <w:t xml:space="preserve">Evidence Card 12: Culture and Digital Play</w:t>
      </w:r>
      <w:bookmarkEnd w:id="103"/>
    </w:p>
    <w:p>
      <w:pPr>
        <w:spacing w:line="360" w:before="315" w:after="105" w:lineRule="auto"/>
        <w:ind w:left="-30"/>
        <w:jc w:val="left"/>
      </w:pPr>
      <w:bookmarkStart w:id="104" w:name="what_we_know_12"/>
      <w:r>
        <w:rPr>
          <w:rFonts w:eastAsia="source serif 4" w:cs="source serif 4" w:ascii="source serif 4" w:hAnsi="source serif 4"/>
          <w:b/>
          <w:color w:val="000000"/>
          <w:sz w:val="24"/>
        </w:rPr>
        <w:t xml:space="preserve">What We Know</w:t>
      </w:r>
      <w:bookmarkEnd w:id="104"/>
    </w:p>
    <w:p>
      <w:pPr>
        <w:spacing w:line="360" w:after="210" w:lineRule="auto"/>
      </w:pPr>
      <w:r>
        <w:rPr>
          <w:rFonts w:eastAsia="source serif 4" w:cs="source serif 4" w:ascii="source serif 4" w:hAnsi="source serif 4"/>
          <w:color w:val="000000"/>
        </w:rPr>
        <w:t xml:space="preserve">Play is widespread, but its forms, meanings, materials, partners, settings, and adult interpretations vary across cultures. Cross-cultural work reports both recurring patterns and meaningful differences in toddler and caregiver play.[</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15][^7]</w:t>
      </w:r>
    </w:p>
    <w:p>
      <w:pPr>
        <w:spacing w:line="360" w:after="210" w:lineRule="auto"/>
      </w:pPr>
      <w:r>
        <w:rPr>
          <w:rFonts w:eastAsia="source serif 4" w:cs="source serif 4" w:ascii="source serif 4" w:hAnsi="source serif 4"/>
          <w:color w:val="000000"/>
        </w:rPr>
        <w:t xml:space="preserve">Digital play should be treated as a family of activities rather than a binary equivalent or threat. Reviews identify interactive, situated, meaningful, and socially mediated forms of digital play, while also noting concerns about physical activity, problematic use, and the limited quality of the evidence base.[</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p>
    <w:p>
      <w:pPr>
        <w:spacing w:line="360" w:before="315" w:after="105" w:lineRule="auto"/>
        <w:ind w:left="-30"/>
        <w:jc w:val="left"/>
      </w:pPr>
      <w:bookmarkStart w:id="105" w:name="how_confident_we_are_12"/>
      <w:r>
        <w:rPr>
          <w:rFonts w:eastAsia="source serif 4" w:cs="source serif 4" w:ascii="source serif 4" w:hAnsi="source serif 4"/>
          <w:b/>
          <w:color w:val="000000"/>
          <w:sz w:val="24"/>
        </w:rPr>
        <w:t xml:space="preserve">How Confident We Are</w:t>
      </w:r>
      <w:bookmarkEnd w:id="105"/>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cultural variation and the non-unitary nature of digital play; </w:t>
      </w:r>
      <w:r>
        <w:rPr>
          <w:rFonts w:eastAsia="source serif 4" w:cs="source serif 4" w:ascii="source serif 4" w:hAnsi="source serif 4"/>
          <w:b/>
          <w:color w:val="000000"/>
        </w:rPr>
        <w:t xml:space="preserve">Low</w:t>
      </w:r>
      <w:r>
        <w:rPr>
          <w:rFonts w:eastAsia="source serif 4" w:cs="source serif 4" w:ascii="source serif 4" w:hAnsi="source serif 4"/>
          <w:color w:val="000000"/>
        </w:rPr>
        <w:t xml:space="preserve"> for developmental equivalence between digital and physical play.</w:t>
      </w:r>
    </w:p>
    <w:p>
      <w:pPr>
        <w:spacing w:line="360" w:before="315" w:after="105" w:lineRule="auto"/>
        <w:ind w:left="-30"/>
        <w:jc w:val="left"/>
      </w:pPr>
      <w:bookmarkStart w:id="106" w:name="evidence_and_causal_assessment_12"/>
      <w:r>
        <w:rPr>
          <w:rFonts w:eastAsia="source serif 4" w:cs="source serif 4" w:ascii="source serif 4" w:hAnsi="source serif 4"/>
          <w:b/>
          <w:color w:val="000000"/>
          <w:sz w:val="24"/>
        </w:rPr>
        <w:t xml:space="preserve">Evidence and Causal Assessment</w:t>
      </w:r>
      <w:bookmarkEnd w:id="106"/>
    </w:p>
    <w:p>
      <w:pPr>
        <w:spacing w:line="360" w:after="210" w:lineRule="auto"/>
      </w:pPr>
      <w:r>
        <w:rPr>
          <w:rFonts w:eastAsia="source serif 4" w:cs="source serif 4" w:ascii="source serif 4" w:hAnsi="source serif 4"/>
          <w:color w:val="000000"/>
        </w:rPr>
        <w:t xml:space="preserve">Most digital-play studies focus on touchscreen applications and differ in design, content, adult participation, and outcome measures. A digital activity can involve creation, collaboration, symbolic representation, or passive consumption; device presence alone does not identify the developmental process.</w:t>
      </w:r>
    </w:p>
    <w:p>
      <w:pPr>
        <w:spacing w:line="360" w:before="315" w:after="105" w:lineRule="auto"/>
        <w:ind w:left="-30"/>
        <w:jc w:val="left"/>
      </w:pPr>
      <w:bookmarkStart w:id="107" w:name="effect_size_and_persistence_12"/>
      <w:r>
        <w:rPr>
          <w:rFonts w:eastAsia="source serif 4" w:cs="source serif 4" w:ascii="source serif 4" w:hAnsi="source serif 4"/>
          <w:b/>
          <w:color w:val="000000"/>
          <w:sz w:val="24"/>
        </w:rPr>
        <w:t xml:space="preserve">Effect Size and Persistence</w:t>
      </w:r>
      <w:bookmarkEnd w:id="107"/>
    </w:p>
    <w:p>
      <w:pPr>
        <w:spacing w:line="360" w:after="210" w:lineRule="auto"/>
      </w:pPr>
      <w:r>
        <w:rPr>
          <w:rFonts w:eastAsia="source serif 4" w:cs="source serif 4" w:ascii="source serif 4" w:hAnsi="source serif 4"/>
          <w:color w:val="000000"/>
        </w:rPr>
        <w:t xml:space="preserve">No general equivalence estimate is warranted.</w:t>
      </w:r>
    </w:p>
    <w:p>
      <w:pPr>
        <w:spacing w:line="360" w:before="315" w:after="105" w:lineRule="auto"/>
        <w:ind w:left="-30"/>
        <w:jc w:val="left"/>
      </w:pPr>
      <w:bookmarkStart w:id="108" w:name="bias_heterogeneity_and_confounding_12"/>
      <w:r>
        <w:rPr>
          <w:rFonts w:eastAsia="source serif 4" w:cs="source serif 4" w:ascii="source serif 4" w:hAnsi="source serif 4"/>
          <w:b/>
          <w:color w:val="000000"/>
          <w:sz w:val="24"/>
        </w:rPr>
        <w:t xml:space="preserve">Bias, Heterogeneity, and Confounding</w:t>
      </w:r>
      <w:bookmarkEnd w:id="108"/>
    </w:p>
    <w:p>
      <w:pPr>
        <w:spacing w:line="360" w:after="210" w:lineRule="auto"/>
      </w:pPr>
      <w:r>
        <w:rPr>
          <w:rFonts w:eastAsia="source serif 4" w:cs="source serif 4" w:ascii="source serif 4" w:hAnsi="source serif 4"/>
          <w:color w:val="000000"/>
        </w:rPr>
        <w:t xml:space="preserve">Access, family mediation, commercial design, prior skills, and displacement of sleep, movement, conversation, or peer interaction are major confounders and moderators.</w:t>
      </w:r>
    </w:p>
    <w:p>
      <w:pPr>
        <w:spacing w:line="360" w:before="315" w:after="105" w:lineRule="auto"/>
        <w:ind w:left="-30"/>
        <w:jc w:val="left"/>
      </w:pPr>
      <w:bookmarkStart w:id="109" w:name="what_remains_uncertain_12"/>
      <w:r>
        <w:rPr>
          <w:rFonts w:eastAsia="source serif 4" w:cs="source serif 4" w:ascii="source serif 4" w:hAnsi="source serif 4"/>
          <w:b/>
          <w:color w:val="000000"/>
          <w:sz w:val="24"/>
        </w:rPr>
        <w:t xml:space="preserve">What Remains Uncertain</w:t>
      </w:r>
      <w:bookmarkEnd w:id="109"/>
    </w:p>
    <w:p>
      <w:pPr>
        <w:spacing w:line="360" w:after="210" w:lineRule="auto"/>
      </w:pPr>
      <w:r>
        <w:rPr>
          <w:rFonts w:eastAsia="source serif 4" w:cs="source serif 4" w:ascii="source serif 4" w:hAnsi="source serif 4"/>
          <w:color w:val="000000"/>
        </w:rPr>
        <w:t xml:space="preserve">Which digital affordances reproduce or transform the cognitive and social functions of physical play, and for whom.</w:t>
      </w:r>
    </w:p>
    <w:p>
      <w:pPr>
        <w:spacing w:line="360" w:before="315" w:after="105" w:lineRule="auto"/>
        <w:ind w:left="-30"/>
        <w:jc w:val="left"/>
      </w:pPr>
      <w:bookmarkStart w:id="110" w:name="what_this_does_not_mean_12"/>
      <w:r>
        <w:rPr>
          <w:rFonts w:eastAsia="source serif 4" w:cs="source serif 4" w:ascii="source serif 4" w:hAnsi="source serif 4"/>
          <w:b/>
          <w:color w:val="000000"/>
          <w:sz w:val="24"/>
        </w:rPr>
        <w:t xml:space="preserve">What This Does Not Mean</w:t>
      </w:r>
      <w:bookmarkEnd w:id="110"/>
    </w:p>
    <w:p>
      <w:pPr>
        <w:spacing w:line="360" w:after="210" w:lineRule="auto"/>
      </w:pPr>
      <w:r>
        <w:rPr>
          <w:rFonts w:eastAsia="source serif 4" w:cs="source serif 4" w:ascii="source serif 4" w:hAnsi="source serif 4"/>
          <w:color w:val="000000"/>
        </w:rPr>
        <w:t xml:space="preserve">Digital play is not identical to physical play, but neither is it necessarily developmentally empty or uniformly harmful.</w:t>
      </w:r>
    </w:p>
    <w:p>
      <w:pPr>
        <w:spacing w:line="360" w:before="315" w:after="105" w:lineRule="auto"/>
        <w:ind w:left="-30"/>
        <w:jc w:val="left"/>
      </w:pPr>
      <w:bookmarkStart w:id="111" w:name="what_action_is_reasonably_justified_12"/>
      <w:r>
        <w:rPr>
          <w:rFonts w:eastAsia="source serif 4" w:cs="source serif 4" w:ascii="source serif 4" w:hAnsi="source serif 4"/>
          <w:b/>
          <w:color w:val="000000"/>
          <w:sz w:val="24"/>
        </w:rPr>
        <w:t xml:space="preserve">What Action Is Reasonably Justified</w:t>
      </w:r>
      <w:bookmarkEnd w:id="111"/>
    </w:p>
    <w:p>
      <w:pPr>
        <w:spacing w:line="360" w:after="210" w:lineRule="auto"/>
      </w:pPr>
      <w:r>
        <w:rPr>
          <w:rFonts w:eastAsia="source serif 4" w:cs="source serif 4" w:ascii="source serif 4" w:hAnsi="source serif 4"/>
          <w:color w:val="000000"/>
        </w:rPr>
        <w:t xml:space="preserve">Code digital play by content, agency, interaction, co-use, purpose, and displacement—not by duration alone.</w:t>
      </w:r>
    </w:p>
    <w:p>
      <w:pPr>
        <w:spacing w:line="360" w:before="315" w:after="105" w:lineRule="auto"/>
        <w:ind w:left="-30"/>
        <w:jc w:val="left"/>
      </w:pPr>
      <w:bookmarkStart w:id="112" w:name="developmental_timeline_0_36_months"/>
      <w:r>
        <w:rPr>
          <w:rFonts w:eastAsia="source serif 4" w:cs="source serif 4" w:ascii="source serif 4" w:hAnsi="source serif 4"/>
          <w:b/>
          <w:color w:val="000000"/>
          <w:sz w:val="24"/>
        </w:rPr>
        <w:t xml:space="preserve">Developmental Timeline: 0–36 Months</w:t>
      </w:r>
      <w:bookmarkEnd w:id="1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Defensible developmental 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 sensorimotor exploration of body, movement, sounds, and objects becomes increasingly intentional.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Exploration is not yet equivalent to symbolic play.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6–12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Object-directed actions become more varied; social routines, imitation, gestures, and shared attention provide representational foundations.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Timing varies with opportunity, motor development, interaction, and culture.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12–18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Functional and conventional object use expands; early representational acts may appear in familiar routines.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treat a single observed act as a stable stage or diagnostic milestone.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18–24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Spontaneous pretend and object substitution commonly emerge; simple roles and sequences begin to be coordinated. [</w:t>
            </w:r>
            <w:r>
              <w:rPr>
                <w:rFonts w:eastAsia="source serif 4" w:cs="source serif 4" w:ascii="source serif 4" w:hAnsi="source serif 4"/>
                <w:color w:val="000000"/>
                <w:sz w:val="17"/>
                <w:vertAlign w:val="superscript"/>
              </w:rPr>
              <w:t xml:space="preserve">5][</w:t>
            </w:r>
            <w:r>
              <w:rPr>
                <w:rFonts w:eastAsia="source sans 3" w:cs="source sans 3" w:ascii="source sans 3" w:hAnsi="source sans 3"/>
                <w:color w:val="000000"/>
                <w:sz w:val="17"/>
              </w:rPr>
              <w:t xml:space="preserve">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Emergence is variable and does not establish causal effects.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24–36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Pretend scenarios, role enactment, language, narrative sequences, and social coordination become more elaborate.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“Sociodramatic” complexity depends strongly on partners, language, materials, and cultural scripts.</w:t>
            </w:r>
          </w:p>
        </w:tc>
      </w:tr>
    </w:tbl>
    <w:p>
      <w:pPr>
        <w:spacing w:lineRule="auto"/>
      </w:pPr>
    </w:p>
    <w:p>
      <w:pPr>
        <w:spacing w:line="360" w:before="315" w:after="105" w:lineRule="auto"/>
        <w:ind w:left="-30"/>
        <w:jc w:val="left"/>
      </w:pPr>
      <w:bookmarkStart w:id="113" w:name="claim_register_preliminary_verdicts"/>
      <w:r>
        <w:rPr>
          <w:rFonts w:eastAsia="source serif 4" w:cs="source serif 4" w:ascii="source serif 4" w:hAnsi="source serif 4"/>
          <w:b/>
          <w:color w:val="000000"/>
          <w:sz w:val="24"/>
        </w:rPr>
        <w:t xml:space="preserve">Claim Register: Preliminary Verdicts</w:t>
      </w:r>
      <w:bookmarkEnd w:id="1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Preliminary verdict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 is a distinctive developmental activity.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Defensible if play is operationalized and distinguished from learning generally.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Symbolic representation enables pretend 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as a reciprocal developmental relation, not a one-way mechanism.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Pretend play emerges through multiple developmental systems.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conceptual and developmental fit; direct causal partitioning remains limited.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 supports exploration and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for selected proximal learning processes; broad transfer uncertain.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play contributes to social understanding.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Plausible and partly supported, but causal and durable effects remain uncertain.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and play influence one another.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as a reciprocal opportunity structure; play-specific causal effects uncertain.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Executive function and play are closely related.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for association and task demands; intervention and transfer claims are weaker.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for association; Low for causation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Imagination supports thinking beyond immediate reality.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as a conceptual description; outcome claims require narrower operationalization.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Adult participation can support or constrain 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but optimal guidance is context-dependent.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Some educational claims about play exceed available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Clearly supported.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Cultural contexts shape play experiences.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by cross-cultural and sociocultural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C12-12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 serves multiple developmental functions simultaneously.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Defensible as a systems hypothesis; functions should not be assumed from the play label.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bl>
    <w:p>
      <w:pPr>
        <w:spacing w:lineRule="auto"/>
      </w:pPr>
    </w:p>
    <w:p>
      <w:pPr>
        <w:spacing w:line="360" w:before="315" w:after="105" w:lineRule="auto"/>
        <w:ind w:left="-30"/>
        <w:jc w:val="left"/>
      </w:pPr>
      <w:bookmarkStart w:id="114" w:name="causal_maps_to_use"/>
      <w:r>
        <w:rPr>
          <w:rFonts w:eastAsia="source serif 4" w:cs="source serif 4" w:ascii="source serif 4" w:hAnsi="source serif 4"/>
          <w:b/>
          <w:color w:val="000000"/>
          <w:sz w:val="24"/>
        </w:rPr>
        <w:t xml:space="preserve">Causal Maps to Use</w:t>
      </w:r>
      <w:bookmarkEnd w:id="114"/>
    </w:p>
    <w:p>
      <w:pPr>
        <w:spacing w:line="360" w:before="315" w:after="105" w:lineRule="auto"/>
        <w:ind w:left="-30"/>
        <w:jc w:val="left"/>
      </w:pPr>
      <w:bookmarkStart w:id="115" w:name="symbolic_development"/>
      <w:r>
        <w:rPr>
          <w:rFonts w:eastAsia="source serif 4" w:cs="source serif 4" w:ascii="source serif 4" w:hAnsi="source serif 4"/>
          <w:b/>
          <w:color w:val="000000"/>
          <w:sz w:val="24"/>
        </w:rPr>
        <w:t xml:space="preserve">Symbolic Development</w:t>
      </w:r>
      <w:bookmarkEnd w:id="115"/>
    </w:p>
    <w:p>
      <w:pPr>
        <w:spacing w:line="360" w:after="210" w:lineRule="auto"/>
      </w:pPr>
      <w:r>
        <w:rPr>
          <w:rFonts w:eastAsia="source serif 4" w:cs="source serif 4" w:ascii="source serif 4" w:hAnsi="source serif 4"/>
          <w:color w:val="000000"/>
        </w:rPr>
        <w:t xml:space="preserve">Object and action experience ↔ social routines and language → representational flexibility → object substitution and pretend play.</w:t>
      </w:r>
    </w:p>
    <w:p>
      <w:pPr>
        <w:spacing w:line="360" w:after="210" w:lineRule="auto"/>
      </w:pPr>
      <w:r>
        <w:rPr>
          <w:rFonts w:eastAsia="source serif 4" w:cs="source serif 4" w:ascii="source serif 4" w:hAnsi="source serif 4"/>
          <w:color w:val="000000"/>
        </w:rPr>
        <w:t xml:space="preserve">The bidirectional arrows are essential. The model should not imply that symbolic play simply appears after cognition is complete; play itself may provide repeated practice in coordinating reality and representation.</w:t>
      </w:r>
    </w:p>
    <w:p>
      <w:pPr>
        <w:spacing w:line="360" w:before="315" w:after="105" w:lineRule="auto"/>
        <w:ind w:left="-30"/>
        <w:jc w:val="left"/>
      </w:pPr>
      <w:bookmarkStart w:id="116" w:name="play_and_cognition"/>
      <w:r>
        <w:rPr>
          <w:rFonts w:eastAsia="source serif 4" w:cs="source serif 4" w:ascii="source serif 4" w:hAnsi="source serif 4"/>
          <w:b/>
          <w:color w:val="000000"/>
          <w:sz w:val="24"/>
        </w:rPr>
        <w:t xml:space="preserve">Play and Cognition</w:t>
      </w:r>
      <w:bookmarkEnd w:id="116"/>
    </w:p>
    <w:p>
      <w:pPr>
        <w:spacing w:line="360" w:after="210" w:lineRule="auto"/>
      </w:pPr>
      <w:r>
        <w:rPr>
          <w:rFonts w:eastAsia="source serif 4" w:cs="source serif 4" w:ascii="source serif 4" w:hAnsi="source serif 4"/>
          <w:color w:val="000000"/>
        </w:rPr>
        <w:t xml:space="preserve">Child agency + material affordances + exploration → hypotheses, feedback, and learning opportunities → possible task-specific gains.</w:t>
      </w:r>
    </w:p>
    <w:p>
      <w:pPr>
        <w:spacing w:line="360" w:after="210" w:lineRule="auto"/>
      </w:pPr>
      <w:r>
        <w:rPr>
          <w:rFonts w:eastAsia="source serif 4" w:cs="source serif 4" w:ascii="source serif 4" w:hAnsi="source serif 4"/>
          <w:color w:val="000000"/>
        </w:rPr>
        <w:t xml:space="preserve">The outcome depends on the activity and comparison condition. “Play” is not the active ingredient unless the design isolates the play frame from materials, adult interaction, practice, and motivation.</w:t>
      </w:r>
    </w:p>
    <w:p>
      <w:pPr>
        <w:spacing w:line="360" w:before="315" w:after="105" w:lineRule="auto"/>
        <w:ind w:left="-30"/>
        <w:jc w:val="left"/>
      </w:pPr>
      <w:bookmarkStart w:id="117" w:name="play_and_executive_function"/>
      <w:r>
        <w:rPr>
          <w:rFonts w:eastAsia="source serif 4" w:cs="source serif 4" w:ascii="source serif 4" w:hAnsi="source serif 4"/>
          <w:b/>
          <w:color w:val="000000"/>
          <w:sz w:val="24"/>
        </w:rPr>
        <w:t xml:space="preserve">Play and Executive Function</w:t>
      </w:r>
      <w:bookmarkEnd w:id="117"/>
    </w:p>
    <w:p>
      <w:pPr>
        <w:spacing w:line="360" w:after="210" w:lineRule="auto"/>
      </w:pPr>
      <w:r>
        <w:rPr>
          <w:rFonts w:eastAsia="source serif 4" w:cs="source serif 4" w:ascii="source serif 4" w:hAnsi="source serif 4"/>
          <w:color w:val="000000"/>
        </w:rPr>
        <w:t xml:space="preserve">Existing executive skills → role maintenance, inhibition, and flexible pretense ↔ repeated practice in rule and role coordination → possible short-term or domain-specific executive gains.</w:t>
      </w:r>
    </w:p>
    <w:p>
      <w:pPr>
        <w:spacing w:line="360" w:after="210" w:lineRule="auto"/>
      </w:pPr>
      <w:r>
        <w:rPr>
          <w:rFonts w:eastAsia="source serif 4" w:cs="source serif 4" w:ascii="source serif 4" w:hAnsi="source serif 4"/>
          <w:color w:val="000000"/>
        </w:rPr>
        <w:t xml:space="preserve">Evidence currently supports the reciprocal model more strongly than a one-way training model.[</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w:t>
      </w:r>
    </w:p>
    <w:p>
      <w:pPr>
        <w:spacing w:line="360" w:before="315" w:after="105" w:lineRule="auto"/>
        <w:ind w:left="-30"/>
        <w:jc w:val="left"/>
      </w:pPr>
      <w:bookmarkStart w:id="118" w:name="play_and_social_understanding"/>
      <w:r>
        <w:rPr>
          <w:rFonts w:eastAsia="source serif 4" w:cs="source serif 4" w:ascii="source serif 4" w:hAnsi="source serif 4"/>
          <w:b/>
          <w:color w:val="000000"/>
          <w:sz w:val="24"/>
        </w:rPr>
        <w:t xml:space="preserve">Play and Social Understanding</w:t>
      </w:r>
      <w:bookmarkEnd w:id="118"/>
    </w:p>
    <w:p>
      <w:pPr>
        <w:spacing w:line="360" w:after="210" w:lineRule="auto"/>
      </w:pPr>
      <w:r>
        <w:rPr>
          <w:rFonts w:eastAsia="source serif 4" w:cs="source serif 4" w:ascii="source serif 4" w:hAnsi="source serif 4"/>
          <w:color w:val="000000"/>
        </w:rPr>
        <w:t xml:space="preserve">Shared attention + negotiated roles + language → coordination of perspectives and intentions → opportunities for social learning.</w:t>
      </w:r>
    </w:p>
    <w:p>
      <w:pPr>
        <w:spacing w:line="360" w:after="210" w:lineRule="auto"/>
      </w:pPr>
      <w:r>
        <w:rPr>
          <w:rFonts w:eastAsia="source serif 4" w:cs="source serif 4" w:ascii="source serif 4" w:hAnsi="source serif 4"/>
          <w:color w:val="000000"/>
        </w:rPr>
        <w:t xml:space="preserve">The map represents a mechanism, not proof of transfer to untrained social behavior.</w:t>
      </w:r>
    </w:p>
    <w:p>
      <w:pPr>
        <w:spacing w:line="360" w:before="315" w:after="105" w:lineRule="auto"/>
        <w:ind w:left="-30"/>
        <w:jc w:val="left"/>
      </w:pPr>
      <w:bookmarkStart w:id="119" w:name="guided_play"/>
      <w:r>
        <w:rPr>
          <w:rFonts w:eastAsia="source serif 4" w:cs="source serif 4" w:ascii="source serif 4" w:hAnsi="source serif 4"/>
          <w:b/>
          <w:color w:val="000000"/>
          <w:sz w:val="24"/>
        </w:rPr>
        <w:t xml:space="preserve">Guided Play</w:t>
      </w:r>
      <w:bookmarkEnd w:id="119"/>
    </w:p>
    <w:p>
      <w:pPr>
        <w:spacing w:line="360" w:after="210" w:lineRule="auto"/>
      </w:pPr>
      <w:r>
        <w:rPr>
          <w:rFonts w:eastAsia="source serif 4" w:cs="source serif 4" w:ascii="source serif 4" w:hAnsi="source serif 4"/>
          <w:color w:val="000000"/>
        </w:rPr>
        <w:t xml:space="preserve">Adult-shaped goal + child agency + playful engagement + responsive scaffolding → target-specific learning opportunity.</w:t>
      </w:r>
    </w:p>
    <w:p>
      <w:pPr>
        <w:spacing w:line="360" w:after="210" w:lineRule="auto"/>
      </w:pPr>
      <w:r>
        <w:rPr>
          <w:rFonts w:eastAsia="source serif 4" w:cs="source serif 4" w:ascii="source serif 4" w:hAnsi="source serif 4"/>
          <w:color w:val="000000"/>
        </w:rPr>
        <w:t xml:space="preserve">If agency, meaningful engagement, or responsiveness is removed, the activity may become direct instruction with playful materials rather than guided play.</w:t>
      </w:r>
    </w:p>
    <w:p>
      <w:pPr>
        <w:spacing w:line="360" w:before="315" w:after="105" w:lineRule="auto"/>
        <w:ind w:left="-30"/>
        <w:jc w:val="left"/>
      </w:pPr>
      <w:bookmarkStart w:id="120" w:name="research_design_for_the_full_dossier"/>
      <w:r>
        <w:rPr>
          <w:rFonts w:eastAsia="source serif 4" w:cs="source serif 4" w:ascii="source serif 4" w:hAnsi="source serif 4"/>
          <w:b/>
          <w:color w:val="000000"/>
          <w:sz w:val="24"/>
        </w:rPr>
        <w:t xml:space="preserve">Research Design for the Full Dossier</w:t>
      </w:r>
      <w:bookmarkEnd w:id="120"/>
    </w:p>
    <w:p>
      <w:pPr>
        <w:spacing w:line="360" w:after="210" w:lineRule="auto"/>
      </w:pPr>
      <w:r>
        <w:rPr>
          <w:rFonts w:eastAsia="source serif 4" w:cs="source serif 4" w:ascii="source serif 4" w:hAnsi="source serif 4"/>
          <w:color w:val="000000"/>
        </w:rPr>
        <w:t xml:space="preserve">The next research phase should use a claim-by-claim evidence matrix with these fields:</w:t>
      </w:r>
    </w:p>
    <w:p>
      <w:pPr>
        <w:numPr>
          <w:ilvl w:val="0"/>
          <w:numId w:val="2"/>
        </w:numPr>
        <w:spacing w:line="360" w:before="105" w:after="105" w:lineRule="auto"/>
      </w:pPr>
      <w:r>
        <w:rPr>
          <w:rFonts w:eastAsia="source serif 4" w:cs="source serif 4" w:ascii="source serif 4" w:hAnsi="source serif 4"/>
          <w:color w:val="000000"/>
          <w:sz w:val="21"/>
        </w:rPr>
        <w:t xml:space="preserve">Construct and operational definition.</w:t>
      </w:r>
    </w:p>
    <w:p>
      <w:pPr>
        <w:numPr>
          <w:ilvl w:val="0"/>
          <w:numId w:val="2"/>
        </w:numPr>
        <w:spacing w:line="360" w:before="105" w:after="105" w:lineRule="auto"/>
      </w:pPr>
      <w:r>
        <w:rPr>
          <w:rFonts w:eastAsia="source serif 4" w:cs="source serif 4" w:ascii="source serif 4" w:hAnsi="source serif 4"/>
          <w:color w:val="000000"/>
          <w:sz w:val="21"/>
        </w:rPr>
        <w:t xml:space="preserve">Age range and developmental outcome.</w:t>
      </w:r>
    </w:p>
    <w:p>
      <w:pPr>
        <w:numPr>
          <w:ilvl w:val="0"/>
          <w:numId w:val="2"/>
        </w:numPr>
        <w:spacing w:line="360" w:before="105" w:after="105" w:lineRule="auto"/>
      </w:pPr>
      <w:r>
        <w:rPr>
          <w:rFonts w:eastAsia="source serif 4" w:cs="source serif 4" w:ascii="source serif 4" w:hAnsi="source serif 4"/>
          <w:color w:val="000000"/>
          <w:sz w:val="21"/>
        </w:rPr>
        <w:t xml:space="preserve">Exposure form: free, guided, pretend, social, constructive, digital, or rule-based play.</w:t>
      </w:r>
    </w:p>
    <w:p>
      <w:pPr>
        <w:numPr>
          <w:ilvl w:val="0"/>
          <w:numId w:val="2"/>
        </w:numPr>
        <w:spacing w:line="360" w:before="105" w:after="105" w:lineRule="auto"/>
      </w:pPr>
      <w:r>
        <w:rPr>
          <w:rFonts w:eastAsia="source serif 4" w:cs="source serif 4" w:ascii="source serif 4" w:hAnsi="source serif 4"/>
          <w:color w:val="000000"/>
          <w:sz w:val="21"/>
        </w:rPr>
        <w:t xml:space="preserve">Measurement source: observation, parent report, teacher report, task performance, device log, or coded interaction.</w:t>
      </w:r>
    </w:p>
    <w:p>
      <w:pPr>
        <w:numPr>
          <w:ilvl w:val="0"/>
          <w:numId w:val="2"/>
        </w:numPr>
        <w:spacing w:line="360" w:before="105" w:after="105" w:lineRule="auto"/>
      </w:pPr>
      <w:r>
        <w:rPr>
          <w:rFonts w:eastAsia="source serif 4" w:cs="source serif 4" w:ascii="source serif 4" w:hAnsi="source serif 4"/>
          <w:color w:val="000000"/>
          <w:sz w:val="21"/>
        </w:rPr>
        <w:t xml:space="preserve">Design: randomized trial, longitudinal cohort, natural experiment, sibling or genetically informed design, cross-sectional study, or mechanistic study.</w:t>
      </w:r>
    </w:p>
    <w:p>
      <w:pPr>
        <w:numPr>
          <w:ilvl w:val="0"/>
          <w:numId w:val="2"/>
        </w:numPr>
        <w:spacing w:line="360" w:before="105" w:after="105" w:lineRule="auto"/>
      </w:pPr>
      <w:r>
        <w:rPr>
          <w:rFonts w:eastAsia="source serif 4" w:cs="source serif 4" w:ascii="source serif 4" w:hAnsi="source serif 4"/>
          <w:color w:val="000000"/>
          <w:sz w:val="21"/>
        </w:rPr>
        <w:t xml:space="preserve">Comparator and active ingredients.</w:t>
      </w:r>
    </w:p>
    <w:p>
      <w:pPr>
        <w:numPr>
          <w:ilvl w:val="0"/>
          <w:numId w:val="2"/>
        </w:numPr>
        <w:spacing w:line="360" w:before="105" w:after="105" w:lineRule="auto"/>
      </w:pPr>
      <w:r>
        <w:rPr>
          <w:rFonts w:eastAsia="source serif 4" w:cs="source serif 4" w:ascii="source serif 4" w:hAnsi="source serif 4"/>
          <w:color w:val="000000"/>
          <w:sz w:val="21"/>
        </w:rPr>
        <w:t xml:space="preserve">Standardized or absolute effect estimate with confidence interval where available.</w:t>
      </w:r>
    </w:p>
    <w:p>
      <w:pPr>
        <w:numPr>
          <w:ilvl w:val="0"/>
          <w:numId w:val="2"/>
        </w:numPr>
        <w:spacing w:line="360" w:before="105" w:after="105" w:lineRule="auto"/>
      </w:pPr>
      <w:r>
        <w:rPr>
          <w:rFonts w:eastAsia="source serif 4" w:cs="source serif 4" w:ascii="source serif 4" w:hAnsi="source serif 4"/>
          <w:color w:val="000000"/>
          <w:sz w:val="21"/>
        </w:rPr>
        <w:t xml:space="preserve">Follow-up duration and evidence of transfer.</w:t>
      </w:r>
    </w:p>
    <w:p>
      <w:pPr>
        <w:numPr>
          <w:ilvl w:val="0"/>
          <w:numId w:val="2"/>
        </w:numPr>
        <w:spacing w:line="360" w:before="105" w:after="105" w:lineRule="auto"/>
      </w:pPr>
      <w:r>
        <w:rPr>
          <w:rFonts w:eastAsia="source serif 4" w:cs="source serif 4" w:ascii="source serif 4" w:hAnsi="source serif 4"/>
          <w:color w:val="000000"/>
          <w:sz w:val="21"/>
        </w:rPr>
        <w:t xml:space="preserve">Replication and cross-context consistency.</w:t>
      </w:r>
    </w:p>
    <w:p>
      <w:pPr>
        <w:numPr>
          <w:ilvl w:val="0"/>
          <w:numId w:val="2"/>
        </w:numPr>
        <w:spacing w:line="360" w:before="105" w:after="105" w:lineRule="auto"/>
      </w:pPr>
      <w:r>
        <w:rPr>
          <w:rFonts w:eastAsia="source serif 4" w:cs="source serif 4" w:ascii="source serif 4" w:hAnsi="source serif 4"/>
          <w:color w:val="000000"/>
          <w:sz w:val="21"/>
        </w:rPr>
        <w:t xml:space="preserve">Attrition, selective reporting, measurement bias, and publication bias.</w:t>
      </w:r>
    </w:p>
    <w:p>
      <w:pPr>
        <w:numPr>
          <w:ilvl w:val="0"/>
          <w:numId w:val="2"/>
        </w:numPr>
        <w:spacing w:line="360" w:before="105" w:after="105" w:lineRule="auto"/>
      </w:pPr>
      <w:r>
        <w:rPr>
          <w:rFonts w:eastAsia="source serif 4" w:cs="source serif 4" w:ascii="source serif 4" w:hAnsi="source serif 4"/>
          <w:color w:val="000000"/>
          <w:sz w:val="21"/>
        </w:rPr>
        <w:t xml:space="preserve">Variation by socioeconomic conditions, family structure, culture, disability, language, and child characteristics.</w:t>
      </w:r>
    </w:p>
    <w:p>
      <w:pPr>
        <w:numPr>
          <w:ilvl w:val="0"/>
          <w:numId w:val="2"/>
        </w:numPr>
        <w:spacing w:line="360" w:before="105" w:after="105" w:lineRule="auto"/>
      </w:pPr>
      <w:r>
        <w:rPr>
          <w:rFonts w:eastAsia="source serif 4" w:cs="source serif 4" w:ascii="source serif 4" w:hAnsi="source serif 4"/>
          <w:color w:val="000000"/>
          <w:sz w:val="21"/>
        </w:rPr>
        <w:t xml:space="preserve">Proportionate practical conclusion.</w:t>
      </w:r>
    </w:p>
    <w:p>
      <w:pPr>
        <w:spacing w:line="360" w:after="210" w:lineRule="auto"/>
      </w:pPr>
      <w:r>
        <w:rPr>
          <w:rFonts w:eastAsia="source serif 4" w:cs="source serif 4" w:ascii="source serif 4" w:hAnsi="source serif 4"/>
          <w:color w:val="000000"/>
        </w:rPr>
        <w:t xml:space="preserve">Priority searches should include landmark primary studies, current systematic reviews and meta-analyses, null and contradictory findings, masked-assessor replications, cultural and non-Western samples, and intervention studies with follow-up. The review should not average together ordinary play, guided play, educational curricula, digital games, and parent-mediated clinical interventions.</w:t>
      </w:r>
    </w:p>
    <w:p>
      <w:pPr>
        <w:spacing w:line="360" w:before="315" w:after="105" w:lineRule="auto"/>
        <w:ind w:left="-30"/>
        <w:jc w:val="left"/>
      </w:pPr>
      <w:bookmarkStart w:id="121" w:name="what_chapter_12_can_say"/>
      <w:r>
        <w:rPr>
          <w:rFonts w:eastAsia="source serif 4" w:cs="source serif 4" w:ascii="source serif 4" w:hAnsi="source serif 4"/>
          <w:b/>
          <w:color w:val="000000"/>
          <w:sz w:val="24"/>
        </w:rPr>
        <w:t xml:space="preserve">What Chapter 12 Can Say</w:t>
      </w:r>
      <w:bookmarkEnd w:id="121"/>
    </w:p>
    <w:p>
      <w:pPr>
        <w:spacing w:line="360" w:after="210" w:lineRule="auto"/>
      </w:pPr>
      <w:r>
        <w:rPr>
          <w:rFonts w:eastAsia="source serif 4" w:cs="source serif 4" w:ascii="source serif 4" w:hAnsi="source serif 4"/>
          <w:color w:val="000000"/>
        </w:rPr>
        <w:t xml:space="preserve">By age three, many children show an expanding capacity to use objects, actions, language, roles, and narratives to represent situations beyond the immediate here and now. The emergence of pretend play is best understood as a product of interacting representational, linguistic, social, motivational, and executive processes rather than as the output of one isolated capacity.[</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5]</w:t>
      </w:r>
    </w:p>
    <w:p>
      <w:pPr>
        <w:spacing w:line="360" w:after="210" w:lineRule="auto"/>
      </w:pPr>
      <w:r>
        <w:rPr>
          <w:rFonts w:eastAsia="source serif 4" w:cs="source serif 4" w:ascii="source serif 4" w:hAnsi="source serif 4"/>
          <w:color w:val="000000"/>
        </w:rPr>
        <w:t xml:space="preserve">Play is therefore a developmental arena for exploring possibilities, coordinating meanings, and learning through action. The causal evidence is strongest for selected, proximal learning outcomes in well-specified guided-play contexts and weakest for sweeping claims that pretend play uniquely produces intelligence, executive function, creativity, or social competence.[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12]</w:t>
      </w:r>
    </w:p>
    <w:p>
      <w:pPr>
        <w:spacing w:line="360" w:after="210" w:lineRule="auto"/>
      </w:pPr>
      <w:r>
        <w:rPr>
          <w:rFonts w:eastAsia="source serif 4" w:cs="source serif 4" w:ascii="source serif 4" w:hAnsi="source serif 4"/>
          <w:color w:val="000000"/>
        </w:rPr>
        <w:t xml:space="preserve">A defensible chapter conclusion would be:</w:t>
      </w:r>
    </w:p>
    <w:p>
      <w:pPr>
        <w:spacing w:line="360" w:after="210" w:lineRule="auto"/>
        <w:ind w:left="630"/>
      </w:pPr>
      <w:r>
        <w:rPr>
          <w:rFonts w:eastAsia="source serif 4" w:cs="source serif 4" w:ascii="source serif 4" w:hAnsi="source serif 4"/>
          <w:color w:val="000000"/>
        </w:rPr>
        <w:t xml:space="preserve">Play is one context in which children learn to represent and transform experience. As language, social understanding, and executive capacities develop, children increasingly use objects, actions, roles, and stories to construct possibilities beyond the immediate present. Play can support exploration, communication, and selected learning goals, especially when materials and adult guidance are well matched to the child and the objective. But play is not a unitary intervention, and its presence does not by itself establish developmental benefit. The strongest interpretation is neither that play is mere entertainment nor that it is a universal engine of development: play is a variable developmental system whose meaning and effects depend on what children are doing, with whom, under what conditions, and compared with what.</w:t>
      </w:r>
    </w:p>
    <w:p>
      <w:pPr>
        <w:spacing w:line="360" w:before="315" w:after="105" w:lineRule="auto"/>
        <w:ind w:left="-30"/>
        <w:jc w:val="left"/>
      </w:pPr>
      <w:bookmarkStart w:id="122" w:name="what_chapter_12_must_not_infer"/>
      <w:r>
        <w:rPr>
          <w:rFonts w:eastAsia="source serif 4" w:cs="source serif 4" w:ascii="source serif 4" w:hAnsi="source serif 4"/>
          <w:b/>
          <w:color w:val="000000"/>
          <w:sz w:val="24"/>
        </w:rPr>
        <w:t xml:space="preserve">What Chapter 12 Must Not Infer</w:t>
      </w:r>
      <w:bookmarkEnd w:id="122"/>
    </w:p>
    <w:p>
      <w:pPr>
        <w:numPr>
          <w:ilvl w:val="0"/>
          <w:numId w:val="3"/>
        </w:numPr>
        <w:spacing w:line="360" w:before="105" w:after="105" w:lineRule="auto"/>
      </w:pPr>
      <w:r>
        <w:rPr>
          <w:rFonts w:eastAsia="source serif 4" w:cs="source serif 4" w:ascii="source serif 4" w:hAnsi="source serif 4"/>
          <w:color w:val="000000"/>
          <w:sz w:val="21"/>
        </w:rPr>
        <w:t xml:space="preserve">That all play produces developmental benefits.</w:t>
      </w:r>
    </w:p>
    <w:p>
      <w:pPr>
        <w:numPr>
          <w:ilvl w:val="0"/>
          <w:numId w:val="3"/>
        </w:numPr>
        <w:spacing w:line="360" w:before="105" w:after="105" w:lineRule="auto"/>
      </w:pPr>
      <w:r>
        <w:rPr>
          <w:rFonts w:eastAsia="source serif 4" w:cs="source serif 4" w:ascii="source serif 4" w:hAnsi="source serif 4"/>
          <w:color w:val="000000"/>
          <w:sz w:val="21"/>
        </w:rPr>
        <w:t xml:space="preserve">That pretend play is necessary for normal intelligence, social cognition, or creativity.</w:t>
      </w:r>
    </w:p>
    <w:p>
      <w:pPr>
        <w:numPr>
          <w:ilvl w:val="0"/>
          <w:numId w:val="3"/>
        </w:numPr>
        <w:spacing w:line="360" w:before="105" w:after="105" w:lineRule="auto"/>
      </w:pPr>
      <w:r>
        <w:rPr>
          <w:rFonts w:eastAsia="source serif 4" w:cs="source serif 4" w:ascii="source serif 4" w:hAnsi="source serif 4"/>
          <w:color w:val="000000"/>
          <w:sz w:val="21"/>
        </w:rPr>
        <w:t xml:space="preserve">That correlations between play and executive function establish causal training effects.</w:t>
      </w:r>
    </w:p>
    <w:p>
      <w:pPr>
        <w:numPr>
          <w:ilvl w:val="0"/>
          <w:numId w:val="3"/>
        </w:numPr>
        <w:spacing w:line="360" w:before="105" w:after="105" w:lineRule="auto"/>
      </w:pPr>
      <w:r>
        <w:rPr>
          <w:rFonts w:eastAsia="source serif 4" w:cs="source serif 4" w:ascii="source serif 4" w:hAnsi="source serif 4"/>
          <w:color w:val="000000"/>
          <w:sz w:val="21"/>
        </w:rPr>
        <w:t xml:space="preserve">That guided play is universally superior to direct instruction or child-led play.</w:t>
      </w:r>
    </w:p>
    <w:p>
      <w:pPr>
        <w:numPr>
          <w:ilvl w:val="0"/>
          <w:numId w:val="3"/>
        </w:numPr>
        <w:spacing w:line="360" w:before="105" w:after="105" w:lineRule="auto"/>
      </w:pPr>
      <w:r>
        <w:rPr>
          <w:rFonts w:eastAsia="source serif 4" w:cs="source serif 4" w:ascii="source serif 4" w:hAnsi="source serif 4"/>
          <w:color w:val="000000"/>
          <w:sz w:val="21"/>
        </w:rPr>
        <w:t xml:space="preserve">That digital and physical play are equivalent or categorically opposed.</w:t>
      </w:r>
    </w:p>
    <w:p>
      <w:pPr>
        <w:numPr>
          <w:ilvl w:val="0"/>
          <w:numId w:val="3"/>
        </w:numPr>
        <w:spacing w:line="360" w:before="105" w:after="105" w:lineRule="auto"/>
      </w:pPr>
      <w:r>
        <w:rPr>
          <w:rFonts w:eastAsia="source serif 4" w:cs="source serif 4" w:ascii="source serif 4" w:hAnsi="source serif 4"/>
          <w:color w:val="000000"/>
          <w:sz w:val="21"/>
        </w:rPr>
        <w:t xml:space="preserve">That more toys, more adult participation, or more scheduled play necessarily improves development.</w:t>
      </w:r>
    </w:p>
    <w:p>
      <w:pPr>
        <w:numPr>
          <w:ilvl w:val="0"/>
          <w:numId w:val="3"/>
        </w:numPr>
        <w:spacing w:line="360" w:before="105" w:after="105" w:lineRule="auto"/>
      </w:pPr>
      <w:r>
        <w:rPr>
          <w:rFonts w:eastAsia="source serif 4" w:cs="source serif 4" w:ascii="source serif 4" w:hAnsi="source serif 4"/>
          <w:color w:val="000000"/>
          <w:sz w:val="21"/>
        </w:rPr>
        <w:t xml:space="preserve">That culturally unfamiliar or less verbal play is deficient.</w:t>
      </w:r>
    </w:p>
    <w:p>
      <w:pPr>
        <w:numPr>
          <w:ilvl w:val="0"/>
          <w:numId w:val="3"/>
        </w:numPr>
        <w:spacing w:line="360" w:before="105" w:after="105" w:lineRule="auto"/>
      </w:pPr>
      <w:r>
        <w:rPr>
          <w:rFonts w:eastAsia="source serif 4" w:cs="source serif 4" w:ascii="source serif 4" w:hAnsi="source serif 4"/>
          <w:color w:val="000000"/>
          <w:sz w:val="21"/>
        </w:rPr>
        <w:t xml:space="preserve">That limited observed pretend play alone indicates pathology.</w:t>
      </w:r>
    </w:p>
    <w:p>
      <w:pPr>
        <w:numPr>
          <w:ilvl w:val="0"/>
          <w:numId w:val="3"/>
        </w:numPr>
        <w:spacing w:line="360" w:before="105" w:after="105" w:lineRule="auto"/>
      </w:pPr>
      <w:r>
        <w:rPr>
          <w:rFonts w:eastAsia="source serif 4" w:cs="source serif 4" w:ascii="source serif 4" w:hAnsi="source serif 4"/>
          <w:color w:val="000000"/>
          <w:sz w:val="21"/>
        </w:rPr>
        <w:t xml:space="preserve">That families can compensate through play for inadequate housing, childcare, health care, safety, income, or institutional support.</w:t>
      </w:r>
    </w:p>
    <w:p>
      <w:pPr>
        <w:spacing w:line="360" w:before="315" w:after="105" w:lineRule="auto"/>
        <w:ind w:left="-30"/>
        <w:jc w:val="left"/>
      </w:pPr>
      <w:bookmarkStart w:id="123" w:name="deliverables_before_drafting"/>
      <w:r>
        <w:rPr>
          <w:rFonts w:eastAsia="source serif 4" w:cs="source serif 4" w:ascii="source serif 4" w:hAnsi="source serif 4"/>
          <w:b/>
          <w:color w:val="000000"/>
          <w:sz w:val="24"/>
        </w:rPr>
        <w:t xml:space="preserve">Deliverables Before Drafting</w:t>
      </w:r>
      <w:bookmarkEnd w:id="123"/>
    </w:p>
    <w:p>
      <w:pPr>
        <w:numPr>
          <w:ilvl w:val="0"/>
          <w:numId w:val="4"/>
        </w:numPr>
        <w:spacing w:line="360" w:before="105" w:after="105" w:lineRule="auto"/>
      </w:pPr>
      <w:r>
        <w:rPr>
          <w:rFonts w:eastAsia="source serif 4" w:cs="source serif 4" w:ascii="source serif 4" w:hAnsi="source serif 4"/>
          <w:color w:val="000000"/>
          <w:sz w:val="21"/>
        </w:rPr>
        <w:t xml:space="preserve">A source-verified claim register with study design and certainty grade.</w:t>
      </w:r>
    </w:p>
    <w:p>
      <w:pPr>
        <w:numPr>
          <w:ilvl w:val="0"/>
          <w:numId w:val="4"/>
        </w:numPr>
        <w:spacing w:line="360" w:before="105" w:after="105" w:lineRule="auto"/>
      </w:pPr>
      <w:r>
        <w:rPr>
          <w:rFonts w:eastAsia="source serif 4" w:cs="source serif 4" w:ascii="source serif 4" w:hAnsi="source serif 4"/>
          <w:color w:val="000000"/>
          <w:sz w:val="21"/>
        </w:rPr>
        <w:t xml:space="preserve">A definition and measurement matrix separating play forms and outcomes.</w:t>
      </w:r>
    </w:p>
    <w:p>
      <w:pPr>
        <w:numPr>
          <w:ilvl w:val="0"/>
          <w:numId w:val="4"/>
        </w:numPr>
        <w:spacing w:line="360" w:before="105" w:after="105" w:lineRule="auto"/>
      </w:pPr>
      <w:r>
        <w:rPr>
          <w:rFonts w:eastAsia="source serif 4" w:cs="source serif 4" w:ascii="source serif 4" w:hAnsi="source serif 4"/>
          <w:color w:val="000000"/>
          <w:sz w:val="21"/>
        </w:rPr>
        <w:t xml:space="preserve">A symbolic-development review focused on 12–36 months.</w:t>
      </w:r>
    </w:p>
    <w:p>
      <w:pPr>
        <w:numPr>
          <w:ilvl w:val="0"/>
          <w:numId w:val="4"/>
        </w:numPr>
        <w:spacing w:line="360" w:before="105" w:after="105" w:lineRule="auto"/>
      </w:pPr>
      <w:r>
        <w:rPr>
          <w:rFonts w:eastAsia="source serif 4" w:cs="source serif 4" w:ascii="source serif 4" w:hAnsi="source serif 4"/>
          <w:color w:val="000000"/>
          <w:sz w:val="21"/>
        </w:rPr>
        <w:t xml:space="preserve">A pretend-play causal evidence matrix including null and contradictory findings.</w:t>
      </w:r>
    </w:p>
    <w:p>
      <w:pPr>
        <w:numPr>
          <w:ilvl w:val="0"/>
          <w:numId w:val="4"/>
        </w:numPr>
        <w:spacing w:line="360" w:before="105" w:after="105" w:lineRule="auto"/>
      </w:pPr>
      <w:r>
        <w:rPr>
          <w:rFonts w:eastAsia="source serif 4" w:cs="source serif 4" w:ascii="source serif 4" w:hAnsi="source serif 4"/>
          <w:color w:val="000000"/>
          <w:sz w:val="21"/>
        </w:rPr>
        <w:t xml:space="preserve">A play–executive-function review separating association, mechanism, and intervention.</w:t>
      </w:r>
    </w:p>
    <w:p>
      <w:pPr>
        <w:numPr>
          <w:ilvl w:val="0"/>
          <w:numId w:val="4"/>
        </w:numPr>
        <w:spacing w:line="360" w:before="105" w:after="105" w:lineRule="auto"/>
      </w:pPr>
      <w:r>
        <w:rPr>
          <w:rFonts w:eastAsia="source serif 4" w:cs="source serif 4" w:ascii="source serif 4" w:hAnsi="source serif 4"/>
          <w:color w:val="000000"/>
          <w:sz w:val="21"/>
        </w:rPr>
        <w:t xml:space="preserve">A guided-play review with efficacy, effectiveness, scalability, and institutional dependence separated.</w:t>
      </w:r>
    </w:p>
    <w:p>
      <w:pPr>
        <w:numPr>
          <w:ilvl w:val="0"/>
          <w:numId w:val="4"/>
        </w:numPr>
        <w:spacing w:line="360" w:before="105" w:after="105" w:lineRule="auto"/>
      </w:pPr>
      <w:r>
        <w:rPr>
          <w:rFonts w:eastAsia="source serif 4" w:cs="source serif 4" w:ascii="source serif 4" w:hAnsi="source serif 4"/>
          <w:color w:val="000000"/>
          <w:sz w:val="21"/>
        </w:rPr>
        <w:t xml:space="preserve">A language, narrative, and social-play review.</w:t>
      </w:r>
    </w:p>
    <w:p>
      <w:pPr>
        <w:numPr>
          <w:ilvl w:val="0"/>
          <w:numId w:val="4"/>
        </w:numPr>
        <w:spacing w:line="360" w:before="105" w:after="105" w:lineRule="auto"/>
      </w:pPr>
      <w:r>
        <w:rPr>
          <w:rFonts w:eastAsia="source serif 4" w:cs="source serif 4" w:ascii="source serif 4" w:hAnsi="source serif 4"/>
          <w:color w:val="000000"/>
          <w:sz w:val="21"/>
        </w:rPr>
        <w:t xml:space="preserve">A creativity measurement and transfer review.</w:t>
      </w:r>
    </w:p>
    <w:p>
      <w:pPr>
        <w:numPr>
          <w:ilvl w:val="0"/>
          <w:numId w:val="4"/>
        </w:numPr>
        <w:spacing w:line="360" w:before="105" w:after="105" w:lineRule="auto"/>
      </w:pPr>
      <w:r>
        <w:rPr>
          <w:rFonts w:eastAsia="source serif 4" w:cs="source serif 4" w:ascii="source serif 4" w:hAnsi="source serif 4"/>
          <w:color w:val="000000"/>
          <w:sz w:val="21"/>
        </w:rPr>
        <w:t xml:space="preserve">A digital-play review coded by content, agency, co-use, and displacement.</w:t>
      </w:r>
    </w:p>
    <w:p>
      <w:pPr>
        <w:numPr>
          <w:ilvl w:val="0"/>
          <w:numId w:val="4"/>
        </w:numPr>
        <w:spacing w:line="360" w:before="105" w:after="105" w:lineRule="auto"/>
      </w:pPr>
      <w:r>
        <w:rPr>
          <w:rFonts w:eastAsia="source serif 4" w:cs="source serif 4" w:ascii="source serif 4" w:hAnsi="source serif 4"/>
          <w:color w:val="000000"/>
          <w:sz w:val="21"/>
        </w:rPr>
        <w:t xml:space="preserve">A cultural-variation review with attention to sampling and translation bias.</w:t>
      </w:r>
    </w:p>
    <w:p>
      <w:pPr>
        <w:numPr>
          <w:ilvl w:val="0"/>
          <w:numId w:val="4"/>
        </w:numPr>
        <w:spacing w:line="360" w:before="105" w:after="105" w:lineRule="auto"/>
      </w:pPr>
      <w:r>
        <w:rPr>
          <w:rFonts w:eastAsia="source serif 4" w:cs="source serif 4" w:ascii="source serif 4" w:hAnsi="source serif 4"/>
          <w:color w:val="000000"/>
          <w:sz w:val="21"/>
        </w:rPr>
        <w:t xml:space="preserve">A developmental timeline that states normal variation and avoids rigid stage claims.</w:t>
      </w:r>
    </w:p>
    <w:p>
      <w:pPr>
        <w:numPr>
          <w:ilvl w:val="0"/>
          <w:numId w:val="4"/>
        </w:numPr>
        <w:spacing w:line="360" w:before="105" w:after="105" w:lineRule="auto"/>
      </w:pPr>
      <w:r>
        <w:rPr>
          <w:rFonts w:eastAsia="source serif 4" w:cs="source serif 4" w:ascii="source serif 4" w:hAnsi="source serif 4"/>
          <w:color w:val="000000"/>
          <w:sz w:val="21"/>
        </w:rPr>
        <w:t xml:space="preserve">A parent-facing translation matrix that gives proportionate guidance without parent-blaming.</w:t>
      </w:r>
    </w:p>
    <w:p>
      <w:pPr>
        <w:numPr>
          <w:ilvl w:val="0"/>
          <w:numId w:val="4"/>
        </w:numPr>
        <w:spacing w:line="360" w:before="105" w:after="105" w:lineRule="auto"/>
      </w:pPr>
      <w:r>
        <w:rPr>
          <w:rFonts w:eastAsia="source serif 4" w:cs="source serif 4" w:ascii="source serif 4" w:hAnsi="source serif 4"/>
          <w:color w:val="000000"/>
          <w:sz w:val="21"/>
        </w:rPr>
        <w:t xml:space="preserve">A “what cannot be inferred” register.</w:t>
      </w:r>
    </w:p>
    <w:p>
      <w:pPr>
        <w:numPr>
          <w:ilvl w:val="0"/>
          <w:numId w:val="4"/>
        </w:numPr>
        <w:spacing w:line="360" w:before="105" w:after="105" w:lineRule="auto"/>
      </w:pPr>
      <w:r>
        <w:rPr>
          <w:rFonts w:eastAsia="source serif 4" w:cs="source serif 4" w:ascii="source serif 4" w:hAnsi="source serif 4"/>
          <w:color w:val="000000"/>
          <w:sz w:val="21"/>
        </w:rPr>
        <w:t xml:space="preserve">A chapter synthesis memo distinguishing science, interpretation, and art.</w:t>
      </w:r>
    </w:p>
    <w:p>
      <w:pPr>
        <w:spacing w:line="360" w:before="315" w:after="105" w:lineRule="auto"/>
        <w:ind w:left="-30"/>
        <w:jc w:val="left"/>
      </w:pPr>
      <w:bookmarkStart w:id="124" w:name="drafting_endpoint"/>
      <w:r>
        <w:rPr>
          <w:rFonts w:eastAsia="source serif 4" w:cs="source serif 4" w:ascii="source serif 4" w:hAnsi="source serif 4"/>
          <w:b/>
          <w:color w:val="000000"/>
          <w:sz w:val="24"/>
        </w:rPr>
        <w:t xml:space="preserve">Drafting Endpoint</w:t>
      </w:r>
      <w:bookmarkEnd w:id="124"/>
    </w:p>
    <w:p>
      <w:pPr>
        <w:spacing w:line="360" w:after="210" w:lineRule="auto"/>
      </w:pPr>
      <w:r>
        <w:rPr>
          <w:rFonts w:eastAsia="source serif 4" w:cs="source serif 4" w:ascii="source serif 4" w:hAnsi="source serif 4"/>
          <w:color w:val="000000"/>
        </w:rPr>
        <w:t xml:space="preserve">The chapter can preserve its central human meaning—children become capable of acting in relation to possibilities—provided that this interpretive claim is not converted into an unsupported causal prescription. The scientifically defensible sequence is not simply “executive function causes imagination” or “play causes development.” It is an interacting system: children’s growing capacities make richer play possible, and play creates contexts in which representation, language, social coordination, exploration, and learning can be exercised.</w:t>
      </w:r>
    </w:p>
    <w:p>
      <w:pPr>
        <w:spacing w:line="360" w:after="210" w:lineRule="auto"/>
      </w:pPr>
      <w:r>
        <w:rPr>
          <w:rFonts w:eastAsia="source serif 4" w:cs="source serif 4" w:ascii="source serif 4" w:hAnsi="source serif 4"/>
          <w:color w:val="000000"/>
        </w:rPr>
        <w:t xml:space="preserve">That formulation gives Chapter 12 a clear bridge from Chapter 11 to Chapter 13: the child does not merely direct thought; the child begins to use thought to construct shared and alternative realities. What those realities become depends not only on the child’s capacities, but on the relationships, materials, institutions, culture, and material conditions in which play occurs.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5" w:name="references"/>
      <w:r>
        <w:rPr>
          <w:rFonts w:eastAsia="source serif 4" w:cs="source serif 4" w:ascii="source serif 4" w:hAnsi="source serif 4"/>
          <w:b/>
          <w:color w:val="000000"/>
          <w:sz w:val="24"/>
        </w:rPr>
        <w:t xml:space="preserve">References</w:t>
      </w:r>
      <w:bookmarkEnd w:id="125"/>
    </w:p>
    <w:p>
      <w:pPr>
        <w:numPr>
          <w:ilvl w:val="0"/>
          <w:numId w:val="5"/>
        </w:numPr>
        <w:spacing w:line="360" w:after="210" w:lineRule="auto"/>
      </w:pPr>
      <w:hyperlink r:id="rId5">
        <w:r>
          <w:rPr>
            <w:rFonts w:eastAsia="source sans 3" w:cs="source sans 3" w:ascii="source sans 3" w:hAnsi="source sans 3"/>
            <w:color w:val="#000"/>
            <w:sz w:val="21"/>
            <w:u w:val="single"/>
          </w:rPr>
          <w:t xml:space="preserve">The impact of pretend play on children's development - PubMed</w:t>
        </w:r>
      </w:hyperlink>
      <w:r>
        <w:rPr>
          <w:rFonts w:eastAsia="source serif 4" w:cs="source serif 4" w:ascii="source serif 4" w:hAnsi="source serif 4"/>
          <w:color w:val="000000"/>
          <w:sz w:val="21"/>
        </w:rPr>
        <w:t xml:space="preserve"> - Pretend play has been claimed to be crucial to children's healthy development. Here we examine evide...</w:t>
      </w:r>
    </w:p>
    <w:p>
      <w:pPr>
        <w:numPr>
          <w:ilvl w:val="0"/>
          <w:numId w:val="5"/>
        </w:numPr>
        <w:spacing w:line="360" w:after="210" w:lineRule="auto"/>
      </w:pPr>
      <w:hyperlink r:id="rId6">
        <w:r>
          <w:rPr>
            <w:rFonts w:eastAsia="source sans 3" w:cs="source sans 3" w:ascii="source sans 3" w:hAnsi="source sans 3"/>
            <w:color w:val="#000"/>
            <w:sz w:val="21"/>
            <w:u w:val="single"/>
          </w:rPr>
          <w:t xml:space="preserve">[PDF] 3 Conceptual Review of Play</w:t>
        </w:r>
      </w:hyperlink>
    </w:p>
    <w:p>
      <w:pPr>
        <w:numPr>
          <w:ilvl w:val="0"/>
          <w:numId w:val="5"/>
        </w:numPr>
        <w:spacing w:line="360" w:after="210" w:lineRule="auto"/>
      </w:pPr>
      <w:hyperlink r:id="rId7">
        <w:r>
          <w:rPr>
            <w:rFonts w:eastAsia="source sans 3" w:cs="source sans 3" w:ascii="source sans 3" w:hAnsi="source sans 3"/>
            <w:color w:val="#000"/>
            <w:sz w:val="21"/>
            <w:u w:val="single"/>
          </w:rPr>
          <w:t xml:space="preserve">The role of play in children's development: a review of ...</w:t>
        </w:r>
      </w:hyperlink>
      <w:r>
        <w:rPr>
          <w:rFonts w:eastAsia="source serif 4" w:cs="source serif 4" w:ascii="source serif 4" w:hAnsi="source serif 4"/>
          <w:color w:val="000000"/>
          <w:sz w:val="21"/>
        </w:rPr>
        <w:t xml:space="preserve"> - by D Whitebread · 2017 · Cited by 314 — With this white paper, we set out to move the study of child...</w:t>
      </w:r>
    </w:p>
    <w:p>
      <w:pPr>
        <w:numPr>
          <w:ilvl w:val="0"/>
          <w:numId w:val="5"/>
        </w:numPr>
        <w:spacing w:line="360" w:after="210" w:lineRule="auto"/>
      </w:pPr>
      <w:hyperlink r:id="rId8">
        <w:r>
          <w:rPr>
            <w:rFonts w:eastAsia="source sans 3" w:cs="source sans 3" w:ascii="source sans 3" w:hAnsi="source sans 3"/>
            <w:color w:val="#000"/>
            <w:sz w:val="21"/>
            <w:u w:val="single"/>
          </w:rPr>
          <w:t xml:space="preserve">Children's Play as Cultural Activity - Sage Publishing</w:t>
        </w:r>
      </w:hyperlink>
    </w:p>
    <w:p>
      <w:pPr>
        <w:numPr>
          <w:ilvl w:val="0"/>
          <w:numId w:val="5"/>
        </w:numPr>
        <w:spacing w:line="360" w:after="210" w:lineRule="auto"/>
      </w:pPr>
      <w:hyperlink r:id="rId9">
        <w:r>
          <w:rPr>
            <w:rFonts w:eastAsia="source sans 3" w:cs="source sans 3" w:ascii="source sans 3" w:hAnsi="source sans 3"/>
            <w:color w:val="#000"/>
            <w:sz w:val="21"/>
            <w:u w:val="single"/>
          </w:rPr>
          <w:t xml:space="preserve">A plausible role of imagination in pretend play, counterfactual reasoning, and executive functions</w:t>
        </w:r>
      </w:hyperlink>
      <w:r>
        <w:rPr>
          <w:rFonts w:eastAsia="source serif 4" w:cs="source serif 4" w:ascii="source serif 4" w:hAnsi="source serif 4"/>
          <w:color w:val="000000"/>
          <w:sz w:val="21"/>
        </w:rPr>
        <w:t xml:space="preserve"> - A notable observation is the similarities in the cognitive processes of pretend play (PP) and counte...</w:t>
      </w:r>
    </w:p>
    <w:p>
      <w:pPr>
        <w:numPr>
          <w:ilvl w:val="0"/>
          <w:numId w:val="5"/>
        </w:numPr>
        <w:spacing w:line="360" w:after="210" w:lineRule="auto"/>
      </w:pPr>
      <w:hyperlink r:id="rId10">
        <w:r>
          <w:rPr>
            <w:rFonts w:eastAsia="source sans 3" w:cs="source sans 3" w:ascii="source sans 3" w:hAnsi="source sans 3"/>
            <w:color w:val="#000"/>
            <w:sz w:val="21"/>
            <w:u w:val="single"/>
          </w:rPr>
          <w:t xml:space="preserve">Understanding pretense as causal inference</w:t>
        </w:r>
      </w:hyperlink>
    </w:p>
    <w:p>
      <w:pPr>
        <w:numPr>
          <w:ilvl w:val="0"/>
          <w:numId w:val="5"/>
        </w:numPr>
        <w:spacing w:line="360" w:after="210" w:lineRule="auto"/>
      </w:pPr>
      <w:hyperlink r:id="rId11">
        <w:r>
          <w:rPr>
            <w:rFonts w:eastAsia="source sans 3" w:cs="source sans 3" w:ascii="source sans 3" w:hAnsi="source sans 3"/>
            <w:color w:val="#000"/>
            <w:sz w:val="21"/>
            <w:u w:val="single"/>
          </w:rPr>
          <w:t xml:space="preserve">Child and Mother Play in Three U.S. Cultural Groups</w:t>
        </w:r>
      </w:hyperlink>
      <w:r>
        <w:rPr>
          <w:rFonts w:eastAsia="source serif 4" w:cs="source serif 4" w:ascii="source serif 4" w:hAnsi="source serif 4"/>
          <w:color w:val="000000"/>
          <w:sz w:val="21"/>
        </w:rPr>
        <w:t xml:space="preserve"> - Child and mother play (n = 113 20-month-olds) among Latino immigrants from South America, Japanese i...</w:t>
      </w:r>
    </w:p>
    <w:p>
      <w:pPr>
        <w:numPr>
          <w:ilvl w:val="0"/>
          <w:numId w:val="5"/>
        </w:numPr>
        <w:spacing w:line="360" w:after="210" w:lineRule="auto"/>
      </w:pPr>
      <w:hyperlink r:id="rId12">
        <w:r>
          <w:rPr>
            <w:rFonts w:eastAsia="source sans 3" w:cs="source sans 3" w:ascii="source sans 3" w:hAnsi="source sans 3"/>
            <w:color w:val="#000"/>
            <w:sz w:val="21"/>
            <w:u w:val="single"/>
          </w:rPr>
          <w:t xml:space="preserve">Evidence for a relation between executive function and ...</w:t>
        </w:r>
      </w:hyperlink>
      <w:r>
        <w:rPr>
          <w:rFonts w:eastAsia="source serif 4" w:cs="source serif 4" w:ascii="source serif 4" w:hAnsi="source serif 4"/>
          <w:color w:val="000000"/>
          <w:sz w:val="21"/>
        </w:rPr>
        <w:t xml:space="preserve"> - Several theoretical formulations suggest a relation between children’s pretense and executive functi...</w:t>
      </w:r>
    </w:p>
    <w:p>
      <w:pPr>
        <w:numPr>
          <w:ilvl w:val="0"/>
          <w:numId w:val="5"/>
        </w:numPr>
        <w:spacing w:line="360" w:after="210" w:lineRule="auto"/>
      </w:pPr>
      <w:hyperlink r:id="rId13">
        <w:r>
          <w:rPr>
            <w:rFonts w:eastAsia="source sans 3" w:cs="source sans 3" w:ascii="source sans 3" w:hAnsi="source sans 3"/>
            <w:color w:val="#000"/>
            <w:sz w:val="21"/>
            <w:u w:val="single"/>
          </w:rPr>
          <w:t xml:space="preserve">Pretending with realistic and fantastical stories facilitates executive ...</w:t>
        </w:r>
      </w:hyperlink>
      <w:r>
        <w:rPr>
          <w:rFonts w:eastAsia="source serif 4" w:cs="source serif 4" w:ascii="source serif 4" w:hAnsi="source serif 4"/>
          <w:color w:val="000000"/>
          <w:sz w:val="21"/>
        </w:rPr>
        <w:t xml:space="preserve"> - Fictional stories can affect many aspects of children’s behavior and cognition, yet little is known ...</w:t>
      </w:r>
    </w:p>
    <w:p>
      <w:pPr>
        <w:numPr>
          <w:ilvl w:val="0"/>
          <w:numId w:val="5"/>
        </w:numPr>
        <w:spacing w:line="360" w:after="210" w:lineRule="auto"/>
      </w:pPr>
      <w:hyperlink r:id="rId14">
        <w:r>
          <w:rPr>
            <w:rFonts w:eastAsia="source sans 3" w:cs="source sans 3" w:ascii="source sans 3" w:hAnsi="source sans 3"/>
            <w:color w:val="#000"/>
            <w:sz w:val="21"/>
            <w:u w:val="single"/>
          </w:rPr>
          <w:t xml:space="preserve">Training children's theory-of-mind: A meta-analysis of ... - PMC</w:t>
        </w:r>
      </w:hyperlink>
      <w:r>
        <w:rPr>
          <w:rFonts w:eastAsia="source serif 4" w:cs="source serif 4" w:ascii="source serif 4" w:hAnsi="source serif 4"/>
          <w:color w:val="000000"/>
          <w:sz w:val="21"/>
        </w:rPr>
        <w:t xml:space="preserve"> - Theory-of-mind (ToM) refers to knowledge and awareness of mental states in oneself and others. Vario...</w:t>
      </w:r>
    </w:p>
    <w:p>
      <w:pPr>
        <w:numPr>
          <w:ilvl w:val="0"/>
          <w:numId w:val="5"/>
        </w:numPr>
        <w:spacing w:line="360" w:after="210" w:lineRule="auto"/>
      </w:pPr>
      <w:hyperlink r:id="rId15">
        <w:r>
          <w:rPr>
            <w:rFonts w:eastAsia="source sans 3" w:cs="source sans 3" w:ascii="source sans 3" w:hAnsi="source sans 3"/>
            <w:color w:val="#000"/>
            <w:sz w:val="21"/>
            <w:u w:val="single"/>
          </w:rPr>
          <w:t xml:space="preserve">Self-regulation and language skills of 4- to 5-year-old children with English as an additional language before and after a guided play intervention as measured by teacher reports and cognitive batteries</w:t>
        </w:r>
      </w:hyperlink>
      <w:r>
        <w:rPr>
          <w:rFonts w:eastAsia="source serif 4" w:cs="source serif 4" w:ascii="source serif 4" w:hAnsi="source serif 4"/>
          <w:color w:val="000000"/>
          <w:sz w:val="21"/>
        </w:rPr>
        <w:t xml:space="preserve"> - There has been increasing interest in pretend play and children’s cognitive development. This study ...</w:t>
      </w:r>
    </w:p>
    <w:p>
      <w:pPr>
        <w:numPr>
          <w:ilvl w:val="0"/>
          <w:numId w:val="5"/>
        </w:numPr>
        <w:spacing w:line="360" w:after="210" w:lineRule="auto"/>
      </w:pPr>
      <w:hyperlink r:id="rId16">
        <w:r>
          <w:rPr>
            <w:rFonts w:eastAsia="source sans 3" w:cs="source sans 3" w:ascii="source sans 3" w:hAnsi="source sans 3"/>
            <w:color w:val="#000"/>
            <w:sz w:val="21"/>
            <w:u w:val="single"/>
          </w:rPr>
          <w:t xml:space="preserve">EJ1341250 - Can Guidance during Play Enhance Children's ... - ERIC</w:t>
        </w:r>
      </w:hyperlink>
      <w:r>
        <w:rPr>
          <w:rFonts w:eastAsia="source serif 4" w:cs="source serif 4" w:ascii="source serif 4" w:hAnsi="source serif 4"/>
          <w:color w:val="000000"/>
          <w:sz w:val="21"/>
        </w:rPr>
        <w:t xml:space="preserve"> - This systematic review and meta-analysis considered evidence of guided play compared to direct instr...</w:t>
      </w:r>
    </w:p>
    <w:p>
      <w:pPr>
        <w:numPr>
          <w:ilvl w:val="0"/>
          <w:numId w:val="5"/>
        </w:numPr>
        <w:spacing w:line="360" w:after="210" w:lineRule="auto"/>
      </w:pPr>
      <w:hyperlink r:id="rId17">
        <w:r>
          <w:rPr>
            <w:rFonts w:eastAsia="source sans 3" w:cs="source sans 3" w:ascii="source sans 3" w:hAnsi="source sans 3"/>
            <w:color w:val="#000"/>
            <w:sz w:val="21"/>
            <w:u w:val="single"/>
          </w:rPr>
          <w:t xml:space="preserve">Cultural Variations in Beliefs about Play, Parent–Child Play, and Children’s Play: Meaning for Childhood Development</w:t>
        </w:r>
      </w:hyperlink>
      <w:r>
        <w:rPr>
          <w:rFonts w:eastAsia="source serif 4" w:cs="source serif 4" w:ascii="source serif 4" w:hAnsi="source serif 4"/>
          <w:color w:val="000000"/>
          <w:sz w:val="21"/>
        </w:rPr>
        <w:t xml:space="preserve"> - Abstract. This review considers variations in parental beliefs about play and participation in play ...</w:t>
      </w:r>
    </w:p>
    <w:p>
      <w:pPr>
        <w:numPr>
          <w:ilvl w:val="0"/>
          <w:numId w:val="5"/>
        </w:numPr>
        <w:spacing w:line="360" w:after="210" w:lineRule="auto"/>
      </w:pPr>
      <w:hyperlink r:id="rId18">
        <w:r>
          <w:rPr>
            <w:rFonts w:eastAsia="source sans 3" w:cs="source sans 3" w:ascii="source sans 3" w:hAnsi="source sans 3"/>
            <w:color w:val="#000"/>
            <w:sz w:val="21"/>
            <w:u w:val="single"/>
          </w:rPr>
          <w:t xml:space="preserve">Cultural variations in the play of toddlers - Artin Göncü, Jayanthi Mistry, Christine Mosier, 2000</w:t>
        </w:r>
      </w:hyperlink>
      <w:r>
        <w:rPr>
          <w:rFonts w:eastAsia="source serif 4" w:cs="source serif 4" w:ascii="source serif 4" w:hAnsi="source serif 4"/>
          <w:color w:val="000000"/>
          <w:sz w:val="21"/>
        </w:rPr>
        <w:t xml:space="preserve"> - The present study examines differences in the social play of toddlers from four communities. Fourtee...</w:t>
      </w:r>
    </w:p>
    <w:p>
      <w:pPr>
        <w:numPr>
          <w:ilvl w:val="0"/>
          <w:numId w:val="5"/>
        </w:numPr>
        <w:spacing w:line="360" w:after="210" w:lineRule="auto"/>
      </w:pPr>
      <w:hyperlink r:id="rId19">
        <w:r>
          <w:rPr>
            <w:rFonts w:eastAsia="source sans 3" w:cs="source sans 3" w:ascii="source sans 3" w:hAnsi="source sans 3"/>
            <w:color w:val="#000"/>
            <w:sz w:val="21"/>
            <w:u w:val="single"/>
          </w:rPr>
          <w:t xml:space="preserve">Children's Play in Cross-Cultural Perspective: A New Look at the Six Cultures Study - Carolyn Pope Edwards, 2000</w:t>
        </w:r>
      </w:hyperlink>
      <w:r>
        <w:rPr>
          <w:rFonts w:eastAsia="source serif 4" w:cs="source serif 4" w:ascii="source serif 4" w:hAnsi="source serif 4"/>
          <w:color w:val="000000"/>
          <w:sz w:val="21"/>
        </w:rPr>
        <w:t xml:space="preserve"> - A qualitative and quantitative reanalysis of the Six Cultures data on children's play, collected in ...</w:t>
      </w:r>
    </w:p>
    <w:p>
      <w:pPr>
        <w:numPr>
          <w:ilvl w:val="0"/>
          <w:numId w:val="5"/>
        </w:numPr>
        <w:spacing w:line="360" w:after="210" w:lineRule="auto"/>
      </w:pPr>
      <w:hyperlink r:id="rId20">
        <w:r>
          <w:rPr>
            <w:rFonts w:eastAsia="source sans 3" w:cs="source sans 3" w:ascii="source sans 3" w:hAnsi="source sans 3"/>
            <w:color w:val="#000"/>
            <w:sz w:val="21"/>
            <w:u w:val="single"/>
          </w:rPr>
          <w:t xml:space="preserve">Digital play in the early years : A systematic review</w:t>
        </w:r>
      </w:hyperlink>
      <w:r>
        <w:rPr>
          <w:rFonts w:eastAsia="source serif 4" w:cs="source serif 4" w:ascii="source serif 4" w:hAnsi="source serif 4"/>
          <w:color w:val="000000"/>
          <w:sz w:val="21"/>
        </w:rPr>
        <w:t xml:space="preserve"> - Highlights • The extant literature regarding digital play suggests a predominate focus on touchscree...</w:t>
      </w:r>
    </w:p>
    <w:p>
      <w:pPr>
        <w:numPr>
          <w:ilvl w:val="0"/>
          <w:numId w:val="5"/>
        </w:numPr>
        <w:spacing w:line="360" w:after="210" w:lineRule="auto"/>
      </w:pPr>
      <w:hyperlink r:id="rId21">
        <w:r>
          <w:rPr>
            <w:rFonts w:eastAsia="source sans 3" w:cs="source sans 3" w:ascii="source sans 3" w:hAnsi="source sans 3"/>
            <w:color w:val="#000"/>
            <w:sz w:val="21"/>
            <w:u w:val="single"/>
          </w:rPr>
          <w:t xml:space="preserve">Digital technology use by and with young children: A systematic review for the Statement on Young Children and Digital Technologies - Ana Mantilla, Susan Edwards, 2019</w:t>
        </w:r>
      </w:hyperlink>
      <w:r>
        <w:rPr>
          <w:rFonts w:eastAsia="source serif 4" w:cs="source serif 4" w:ascii="source serif 4" w:hAnsi="source serif 4"/>
          <w:color w:val="000000"/>
          <w:sz w:val="21"/>
        </w:rPr>
        <w:t xml:space="preserve"> - This paper reports on a systematic review of the literature conducted to inform Early Childhood Aust...</w:t>
      </w:r>
    </w:p>
    <w:p>
      <w:pPr>
        <w:numPr>
          <w:ilvl w:val="0"/>
          <w:numId w:val="5"/>
        </w:numPr>
        <w:spacing w:line="360" w:after="210" w:lineRule="auto"/>
      </w:pPr>
      <w:hyperlink r:id="rId22">
        <w:r>
          <w:rPr>
            <w:rFonts w:eastAsia="source sans 3" w:cs="source sans 3" w:ascii="source sans 3" w:hAnsi="source sans 3"/>
            <w:color w:val="#000"/>
            <w:sz w:val="21"/>
            <w:u w:val="single"/>
          </w:rPr>
          <w:t xml:space="preserve">The Development of Play</w:t>
        </w:r>
      </w:hyperlink>
      <w:r>
        <w:rPr>
          <w:rFonts w:eastAsia="source serif 4" w:cs="source serif 4" w:ascii="source serif 4" w:hAnsi="source serif 4"/>
          <w:color w:val="000000"/>
          <w:sz w:val="21"/>
        </w:rPr>
        <w:t xml:space="preserve"> - by AS LILLARD · Cited by 272 — Symbolic play is characterized by using one object to stand for anoth...</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ubmed.ncbi.nlm.nih.gov/22905949/" TargetMode="External"/><Relationship Id="rId6" Type="http://schemas.openxmlformats.org/officeDocument/2006/relationships/hyperlink" Target="https://iris.unito.it/retrieve/e27ce42d-ca1f-2581-e053-d805fe0acbaa/%5B9783110522143%20-%20Play%20development%20in%20children%20with%20disabilties%5D%203%20Conceptual%20Review%20of%20Play.pdf" TargetMode="External"/><Relationship Id="rId7" Type="http://schemas.openxmlformats.org/officeDocument/2006/relationships/hyperlink" Target="https://cms.learningthroughplay.com/media/esriqz2x/role-of-play-in-childrens-development-review_web.pdf" TargetMode="External"/><Relationship Id="rId8" Type="http://schemas.openxmlformats.org/officeDocument/2006/relationships/hyperlink" Target="https://uk.sagepub.com/sites/default/files/upm-binaries/62655_Brooker__Ch3.pdf" TargetMode="External"/><Relationship Id="rId9" Type="http://schemas.openxmlformats.org/officeDocument/2006/relationships/hyperlink" Target="https://pmc.ncbi.nlm.nih.gov/articles/PMC10952659/" TargetMode="External"/><Relationship Id="rId10" Type="http://schemas.openxmlformats.org/officeDocument/2006/relationships/hyperlink" Target="https://par.nsf.gov/servlets/purl/10561088" TargetMode="External"/><Relationship Id="rId11" Type="http://schemas.openxmlformats.org/officeDocument/2006/relationships/hyperlink" Target="https://pmc.ncbi.nlm.nih.gov/articles/PMC2827484/" TargetMode="External"/><Relationship Id="rId12" Type="http://schemas.openxmlformats.org/officeDocument/2006/relationships/hyperlink" Target="https://pmc.ncbi.nlm.nih.gov/articles/PMC3864685/" TargetMode="External"/><Relationship Id="rId13" Type="http://schemas.openxmlformats.org/officeDocument/2006/relationships/hyperlink" Target="https://pmc.ncbi.nlm.nih.gov/articles/PMC8146118/" TargetMode="External"/><Relationship Id="rId14" Type="http://schemas.openxmlformats.org/officeDocument/2006/relationships/hyperlink" Target="https://pmc.ncbi.nlm.nih.gov/articles/PMC4792776/" TargetMode="External"/><Relationship Id="rId15" Type="http://schemas.openxmlformats.org/officeDocument/2006/relationships/hyperlink" Target="https://www.repository.cam.ac.uk/items/0763a9d5-231a-4e8f-9ef8-89448ada30c5" TargetMode="External"/><Relationship Id="rId16" Type="http://schemas.openxmlformats.org/officeDocument/2006/relationships/hyperlink" Target="https://eric.ed.gov/?id=EJ1341250" TargetMode="External"/><Relationship Id="rId17" Type="http://schemas.openxmlformats.org/officeDocument/2006/relationships/hyperlink" Target="https://academic.oup.com/edited-volume/34528/chapter-abstract/292924908?redirectedFrom=fulltext" TargetMode="External"/><Relationship Id="rId18" Type="http://schemas.openxmlformats.org/officeDocument/2006/relationships/hyperlink" Target="https://journals.sagepub.com/doi/10.1080/01650250050118303" TargetMode="External"/><Relationship Id="rId19" Type="http://schemas.openxmlformats.org/officeDocument/2006/relationships/hyperlink" Target="https://journals.sagepub.com/doi/10.1177/106939710003400402" TargetMode="External"/><Relationship Id="rId20" Type="http://schemas.openxmlformats.org/officeDocument/2006/relationships/hyperlink" Target="https://acuresearchbank.acu.edu.au/item/9125v/digital-play-in-the-early-years-a-systematic-review" TargetMode="External"/><Relationship Id="rId21" Type="http://schemas.openxmlformats.org/officeDocument/2006/relationships/hyperlink" Target="https://journals.sagepub.com/doi/10.1177/1836939119832744" TargetMode="External"/><Relationship Id="rId22" Type="http://schemas.openxmlformats.org/officeDocument/2006/relationships/hyperlink" Target="https://uva.theopenscholar.com/files/early-development-lab/files/the_development_of_play_8.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2026-09-10T07:53:42.308Z</dcterms:created>
  <dcterms:modified xsi:type="dcterms:W3CDTF">2026-09-10T07:53:42.308Z</dcterms:modified>
</cp:coreProperties>
</file>