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9_preliminary_research_pl_8118b9"/>
      <w:r>
        <w:rPr>
          <w:rFonts w:eastAsia="source serif 4" w:cs="source serif 4" w:ascii="source serif 4" w:hAnsi="source serif 4"/>
          <w:b/>
          <w:color w:val="000000"/>
          <w:sz w:val="39"/>
        </w:rPr>
        <w:t xml:space="preserve">Chapter 9 Preliminary Research Plan — The Emotional Revolution</w:t>
      </w:r>
      <w:bookmarkEnd w:id="0"/>
    </w:p>
    <w:p>
      <w:pPr>
        <w:spacing w:line="360" w:before="315" w:after="105" w:lineRule="auto"/>
        <w:ind w:left="-30"/>
        <w:jc w:val="left"/>
      </w:pPr>
      <w:bookmarkStart w:id="1" w:name="executive_judgment"/>
      <w:r>
        <w:rPr>
          <w:rFonts w:eastAsia="source serif 4" w:cs="source serif 4" w:ascii="source serif 4" w:hAnsi="source serif 4"/>
          <w:b/>
          <w:color w:val="000000"/>
          <w:sz w:val="24"/>
        </w:rPr>
        <w:t xml:space="preserve">Executive judgment</w:t>
      </w:r>
      <w:bookmarkEnd w:id="1"/>
    </w:p>
    <w:p>
      <w:pPr>
        <w:spacing w:line="360" w:after="210" w:lineRule="auto"/>
      </w:pPr>
      <w:r>
        <w:rPr>
          <w:rFonts w:eastAsia="source serif 4" w:cs="source serif 4" w:ascii="source serif 4" w:hAnsi="source serif 4"/>
          <w:color w:val="000000"/>
        </w:rPr>
        <w:t xml:space="preserve">The chapter’s central proposition is supportable if stated narrowly: early emotional regulation is shaped through dynamic interactions among the child’s biological reactivity, caregiver responses, attention, language, cognition, and wider context; over development, children increasingly contribute to regulation themselves. Co-regulation is therefore a useful developmental construct, but it should not be presented as a single proven sequence in which caregiver regulation mechanically becomes an internal capacity. Caregiver–infant regulation is bidirectional, moment-to-moment, culturally situated, and partly reciprocal.[</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The strongest defensible formulation is: </w:t>
      </w:r>
      <w:r>
        <w:rPr>
          <w:rFonts w:eastAsia="source serif 4" w:cs="source serif 4" w:ascii="source serif 4" w:hAnsi="source serif 4"/>
          <w:b/>
          <w:color w:val="000000"/>
        </w:rPr>
        <w:t xml:space="preserve">children’s capacity for self-regulation develops within repeated regulatory relationships and opportunities for active participation, while remaining dependent on relationships and environments.</w:t>
      </w:r>
      <w:r>
        <w:rPr>
          <w:rFonts w:eastAsia="source serif 4" w:cs="source serif 4" w:ascii="source serif 4" w:hAnsi="source serif 4"/>
          <w:color w:val="000000"/>
        </w:rPr>
        <w:t xml:space="preserve"> Evidence is strongest for developmental change, temperament-by-context models, associations between supportive emotion socialization and child competence, and small-to-moderate effects of targeted interventions. Evidence is weaker for a universal “internalization” mechanism, precise developmental milestones, the long-term persistence of early regulatory differences, and claims that emotion labeling alone produces broad regulation.</w:t>
      </w:r>
    </w:p>
    <w:p>
      <w:pPr>
        <w:spacing w:line="360" w:after="210" w:lineRule="auto"/>
      </w:pPr>
      <w:r>
        <w:rPr>
          <w:rFonts w:eastAsia="source serif 4" w:cs="source serif 4" w:ascii="source serif 4" w:hAnsi="source serif 4"/>
          <w:color w:val="000000"/>
        </w:rPr>
        <w:t xml:space="preserve">The chapter should treat regulation as a family of processes rather than a single trait: monitoring and modulating arousal, shifting attention, inhibiting or initiating behavior, recovering after distress, communicating needs, and pursuing goals. Definitions differ substantially across studies, and measurement varies from parent report to laboratory observation and physiological indicators; this heterogeneity limits direct comparison.[</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315" w:after="105" w:lineRule="auto"/>
        <w:ind w:left="-30"/>
        <w:jc w:val="left"/>
      </w:pPr>
      <w:bookmarkStart w:id="2" w:name="recommended_organizing_model"/>
      <w:r>
        <w:rPr>
          <w:rFonts w:eastAsia="source serif 4" w:cs="source serif 4" w:ascii="source serif 4" w:hAnsi="source serif 4"/>
          <w:b/>
          <w:color w:val="000000"/>
          <w:sz w:val="24"/>
        </w:rPr>
        <w:t xml:space="preserve">Recommended organizing model</w:t>
      </w:r>
      <w:bookmarkEnd w:id="2"/>
    </w:p>
    <w:p>
      <w:pPr>
        <w:spacing w:line="360" w:before="315" w:after="105" w:lineRule="auto"/>
        <w:ind w:left="-30"/>
        <w:jc w:val="left"/>
      </w:pPr>
      <w:bookmarkStart w:id="3" w:name="core_developmental_claim"/>
      <w:r>
        <w:rPr>
          <w:rFonts w:eastAsia="source serif 4" w:cs="source serif 4" w:ascii="source serif 4" w:hAnsi="source serif 4"/>
          <w:b/>
          <w:color w:val="000000"/>
          <w:sz w:val="24"/>
        </w:rPr>
        <w:t xml:space="preserve">Core developmental claim</w:t>
      </w:r>
      <w:bookmarkEnd w:id="3"/>
    </w:p>
    <w:p>
      <w:pPr>
        <w:spacing w:line="360" w:after="210" w:lineRule="auto"/>
      </w:pPr>
      <w:r>
        <w:rPr>
          <w:rFonts w:eastAsia="source serif 4" w:cs="source serif 4" w:ascii="source serif 4" w:hAnsi="source serif 4"/>
          <w:color w:val="000000"/>
        </w:rPr>
        <w:t xml:space="preserve">A developmental model should be framed as a </w:t>
      </w:r>
      <w:r>
        <w:rPr>
          <w:rFonts w:eastAsia="source serif 4" w:cs="source serif 4" w:ascii="source serif 4" w:hAnsi="source serif 4"/>
          <w:b/>
          <w:color w:val="000000"/>
        </w:rPr>
        <w:t xml:space="preserve">transactional progression</w:t>
      </w:r>
      <w:r>
        <w:rPr>
          <w:rFonts w:eastAsia="source serif 4" w:cs="source serif 4" w:ascii="source serif 4" w:hAnsi="source serif 4"/>
          <w:color w:val="000000"/>
        </w:rPr>
        <w:t xml:space="preserve">:</w:t>
      </w:r>
    </w:p>
    <w:p>
      <w:pPr>
        <w:spacing w:line="360" w:after="210" w:lineRule="auto"/>
        <w:ind w:left="630"/>
      </w:pPr>
      <w:r>
        <w:rPr>
          <w:rFonts w:eastAsia="source serif 4" w:cs="source serif 4" w:ascii="source serif 4" w:hAnsi="source serif 4"/>
          <w:color w:val="000000"/>
        </w:rPr>
        <w:t xml:space="preserve">Biological reactivity and regulatory capacity shape interaction; interaction changes the child’s state and learning opportunities; repeated, context-sensitive participation gradually expands the child’s independent regulatory repertoire.</w:t>
      </w:r>
    </w:p>
    <w:p>
      <w:pPr>
        <w:spacing w:line="360" w:after="210" w:lineRule="auto"/>
      </w:pPr>
      <w:r>
        <w:rPr>
          <w:rFonts w:eastAsia="source serif 4" w:cs="source serif 4" w:ascii="source serif 4" w:hAnsi="source serif 4"/>
          <w:color w:val="000000"/>
        </w:rPr>
        <w:t xml:space="preserve">This is stronger than the claim that regulation begins only outside the child. Infants show early self-directed regulatory behaviors, including orienting away from overstimulation and approaching or withdrawing from stimuli, while caregivers remain essential for changing the intensity, duration, and meaning of distress.[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color w:val="000000"/>
        </w:rPr>
        <w:t xml:space="preserve">The model should distinguish four related but non-identical constructs: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Construct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Working definition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 generation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Processes that produce changes in affect, arousal, action readiness, and meaning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single theory has settled whether emotions are best treated as biologically discrete, constructed, appraised, or layered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Co-regulation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Dynamic coordination of child and caregiver physiology, emotion, attention, and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synonymous with sensitive parenting, attachment security, or caregiver control; it is bidirectional and context-dependent[^2]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 regulation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Processes that influence the onset, intensity, duration, expression, or consequences of emotion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Regulation may be adaptive or maladaptive; suppression is not equivalent to healthy regulation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Self-regulation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Increasingly child-organized management of emotion, attention, behavior, and goals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independence from others; performance remains state- and context-dependent[</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3]</w:t>
            </w:r>
          </w:p>
        </w:tc>
      </w:tr>
    </w:tbl>
    <w:p>
      <w:pPr>
        <w:spacing w:lineRule="auto"/>
      </w:pPr>
    </w:p>
    <w:p>
      <w:pPr>
        <w:spacing w:line="360" w:before="315" w:after="105" w:lineRule="auto"/>
        <w:ind w:left="-30"/>
        <w:jc w:val="left"/>
      </w:pPr>
      <w:bookmarkStart w:id="4" w:name="the_chapter_s_boundary_condition"/>
      <w:r>
        <w:rPr>
          <w:rFonts w:eastAsia="source serif 4" w:cs="source serif 4" w:ascii="source serif 4" w:hAnsi="source serif 4"/>
          <w:b/>
          <w:color w:val="000000"/>
          <w:sz w:val="24"/>
        </w:rPr>
        <w:t xml:space="preserve">The chapter’s boundary condition</w:t>
      </w:r>
      <w:bookmarkEnd w:id="4"/>
    </w:p>
    <w:p>
      <w:pPr>
        <w:spacing w:line="360" w:after="210" w:lineRule="auto"/>
      </w:pPr>
      <w:r>
        <w:rPr>
          <w:rFonts w:eastAsia="source serif 4" w:cs="source serif 4" w:ascii="source serif 4" w:hAnsi="source serif 4"/>
          <w:color w:val="000000"/>
        </w:rPr>
        <w:t xml:space="preserve">“Self-regulation emerges from co-regulation” should be retained as the chapter’s interpretive thesis, but labeled as a developmental model rather than a fully demonstrated causal law. The evidence supports caregiver participation, modeling, scaffolding, and socialization as relevant pathways; it does not justify attributing a child’s regulatory outcome to parenting quality alone. Parent mental health, material conditions, childcare, cultural expectations, child characteristics, and reciprocal child-to-parent effects must remain visible.</w:t>
      </w:r>
    </w:p>
    <w:p>
      <w:pPr>
        <w:spacing w:line="360" w:before="315" w:after="105" w:lineRule="auto"/>
        <w:ind w:left="-30"/>
        <w:jc w:val="left"/>
      </w:pPr>
      <w:bookmarkStart w:id="5" w:name="evidence_cards"/>
      <w:r>
        <w:rPr>
          <w:rFonts w:eastAsia="source serif 4" w:cs="source serif 4" w:ascii="source serif 4" w:hAnsi="source serif 4"/>
          <w:b/>
          <w:color w:val="000000"/>
          <w:sz w:val="24"/>
        </w:rPr>
        <w:t xml:space="preserve">Evidence cards</w:t>
      </w:r>
      <w:bookmarkEnd w:id="5"/>
    </w:p>
    <w:p>
      <w:pPr>
        <w:spacing w:line="360" w:before="315" w:after="105" w:lineRule="auto"/>
        <w:ind w:left="-30"/>
        <w:jc w:val="left"/>
      </w:pPr>
      <w:bookmarkStart w:id="6" w:name="co_regulation"/>
      <w:r>
        <w:rPr>
          <w:rFonts w:eastAsia="source serif 4" w:cs="source serif 4" w:ascii="source serif 4" w:hAnsi="source serif 4"/>
          <w:b/>
          <w:color w:val="000000"/>
          <w:sz w:val="24"/>
        </w:rPr>
        <w:t xml:space="preserve">Co-regulation</w:t>
      </w:r>
      <w:bookmarkEnd w:id="6"/>
    </w:p>
    <w:p>
      <w:pPr>
        <w:spacing w:line="360" w:before="315" w:after="105" w:lineRule="auto"/>
        <w:ind w:left="-30"/>
        <w:jc w:val="left"/>
      </w:pPr>
      <w:bookmarkStart w:id="7" w:name="what_we_know"/>
      <w:r>
        <w:rPr>
          <w:rFonts w:eastAsia="source serif 4" w:cs="source serif 4" w:ascii="source serif 4" w:hAnsi="source serif 4"/>
          <w:b/>
          <w:color w:val="000000"/>
          <w:sz w:val="24"/>
        </w:rPr>
        <w:t xml:space="preserve">What We Know</w:t>
      </w:r>
      <w:bookmarkEnd w:id="7"/>
    </w:p>
    <w:p>
      <w:pPr>
        <w:spacing w:line="360" w:after="210" w:lineRule="auto"/>
      </w:pPr>
      <w:r>
        <w:rPr>
          <w:rFonts w:eastAsia="source serif 4" w:cs="source serif 4" w:ascii="source serif 4" w:hAnsi="source serif 4"/>
          <w:color w:val="000000"/>
        </w:rPr>
        <w:t xml:space="preserve">Caregiver–infant co-regulation involves dynamic, bidirectional coordination of physiology, emotion, and behavior. Responsive adults can help infants organize arousal, attention, distress, and action, while infants’ signals and states also alter caregiver behavior. Developmental frameworks identify warm interaction, support, coaching, and modeling as plausible conditions for the growth of self-regulation.[</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8" w:name="how_confident_we_are"/>
      <w:r>
        <w:rPr>
          <w:rFonts w:eastAsia="source serif 4" w:cs="source serif 4" w:ascii="source serif 4" w:hAnsi="source serif 4"/>
          <w:b/>
          <w:color w:val="000000"/>
          <w:sz w:val="24"/>
        </w:rPr>
        <w:t xml:space="preserve">How Confident We Are</w:t>
      </w:r>
      <w:bookmarkEnd w:id="8"/>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relational process is well supported conceptually and observationally, but the exact claim that repeated co-regulation becomes internal self-regulation is difficult to identify causally and is measured inconsistently.</w:t>
      </w:r>
    </w:p>
    <w:p>
      <w:pPr>
        <w:spacing w:line="360" w:before="315" w:after="105" w:lineRule="auto"/>
        <w:ind w:left="-30"/>
        <w:jc w:val="left"/>
      </w:pPr>
      <w:bookmarkStart w:id="9" w:name="evidence_and_causal_assessment"/>
      <w:r>
        <w:rPr>
          <w:rFonts w:eastAsia="source serif 4" w:cs="source serif 4" w:ascii="source serif 4" w:hAnsi="source serif 4"/>
          <w:b/>
          <w:color w:val="000000"/>
          <w:sz w:val="24"/>
        </w:rPr>
        <w:t xml:space="preserve">Evidence and causal assessment</w:t>
      </w:r>
      <w:bookmarkEnd w:id="9"/>
    </w:p>
    <w:p>
      <w:pPr>
        <w:spacing w:line="360" w:after="210" w:lineRule="auto"/>
      </w:pPr>
      <w:r>
        <w:rPr>
          <w:rFonts w:eastAsia="source serif 4" w:cs="source serif 4" w:ascii="source serif 4" w:hAnsi="source serif 4"/>
          <w:color w:val="000000"/>
        </w:rPr>
        <w:t xml:space="preserve">Use microanalytic dyadic studies, physiological synchrony studies, longitudinal cohorts, and intervention studies together. Avoid inferring internalization from synchrony alone: synchrony can reflect shared context, measurement artifacts, or child-to-caregiver effects. The causal test requires evidence that changes in caregiver support precede changes in child regulation, survive plausible confounding, and generalize beyond the intervention context.</w:t>
      </w:r>
    </w:p>
    <w:p>
      <w:pPr>
        <w:spacing w:line="360" w:before="315" w:after="105" w:lineRule="auto"/>
        <w:ind w:left="-30"/>
        <w:jc w:val="left"/>
      </w:pPr>
      <w:bookmarkStart w:id="10" w:name="effect_size_and_persistence"/>
      <w:r>
        <w:rPr>
          <w:rFonts w:eastAsia="source serif 4" w:cs="source serif 4" w:ascii="source serif 4" w:hAnsi="source serif 4"/>
          <w:b/>
          <w:color w:val="000000"/>
          <w:sz w:val="24"/>
        </w:rPr>
        <w:t xml:space="preserve">Effect size and persistence</w:t>
      </w:r>
      <w:bookmarkEnd w:id="10"/>
    </w:p>
    <w:p>
      <w:pPr>
        <w:spacing w:line="360" w:after="210" w:lineRule="auto"/>
      </w:pPr>
      <w:r>
        <w:rPr>
          <w:rFonts w:eastAsia="source serif 4" w:cs="source serif 4" w:ascii="source serif 4" w:hAnsi="source serif 4"/>
          <w:color w:val="000000"/>
        </w:rPr>
        <w:t xml:space="preserve">No single effect size should be assigned to “co-regulation.” Expected effects are domain-specific and likely modest at the population level. Persistence from infancy to later childhood should be treated as conditional, not assumed.</w:t>
      </w:r>
    </w:p>
    <w:p>
      <w:pPr>
        <w:spacing w:line="360" w:before="315" w:after="105" w:lineRule="auto"/>
        <w:ind w:left="-30"/>
        <w:jc w:val="left"/>
      </w:pPr>
      <w:bookmarkStart w:id="11" w:name="bias_and_heterogeneity"/>
      <w:r>
        <w:rPr>
          <w:rFonts w:eastAsia="source serif 4" w:cs="source serif 4" w:ascii="source serif 4" w:hAnsi="source serif 4"/>
          <w:b/>
          <w:color w:val="000000"/>
          <w:sz w:val="24"/>
        </w:rPr>
        <w:t xml:space="preserve">Bias and heterogeneity</w:t>
      </w:r>
      <w:bookmarkEnd w:id="11"/>
    </w:p>
    <w:p>
      <w:pPr>
        <w:spacing w:line="360" w:after="210" w:lineRule="auto"/>
      </w:pPr>
      <w:r>
        <w:rPr>
          <w:rFonts w:eastAsia="source serif 4" w:cs="source serif 4" w:ascii="source serif 4" w:hAnsi="source serif 4"/>
          <w:color w:val="000000"/>
        </w:rPr>
        <w:t xml:space="preserve">Most evidence is dyadic and often Western; cultural organization of arousal, proximity, vocal affect, and autonomy varies. Co-regulation should not be equated with quietness, compliance, or low expressed emotion.</w:t>
      </w:r>
    </w:p>
    <w:p>
      <w:pPr>
        <w:spacing w:line="360" w:before="315" w:after="105" w:lineRule="auto"/>
        <w:ind w:left="-30"/>
        <w:jc w:val="left"/>
      </w:pPr>
      <w:bookmarkStart w:id="12" w:name="what_this_does_not_mean"/>
      <w:r>
        <w:rPr>
          <w:rFonts w:eastAsia="source serif 4" w:cs="source serif 4" w:ascii="source serif 4" w:hAnsi="source serif 4"/>
          <w:b/>
          <w:color w:val="000000"/>
          <w:sz w:val="24"/>
        </w:rPr>
        <w:t xml:space="preserve">What this does not mean</w:t>
      </w:r>
      <w:bookmarkEnd w:id="12"/>
    </w:p>
    <w:p>
      <w:pPr>
        <w:spacing w:line="360" w:after="210" w:lineRule="auto"/>
      </w:pPr>
      <w:r>
        <w:rPr>
          <w:rFonts w:eastAsia="source serif 4" w:cs="source serif 4" w:ascii="source serif 4" w:hAnsi="source serif 4"/>
          <w:color w:val="000000"/>
        </w:rPr>
        <w:t xml:space="preserve">It does not mean infants are passive, that caregivers must prevent distress, or that a difficult regulatory episode proves relational failure.</w:t>
      </w:r>
    </w:p>
    <w:p>
      <w:pPr>
        <w:spacing w:line="360" w:before="315" w:after="105" w:lineRule="auto"/>
        <w:ind w:left="-30"/>
        <w:jc w:val="left"/>
      </w:pPr>
      <w:bookmarkStart w:id="13" w:name="what_action_is_reasonably_justified"/>
      <w:r>
        <w:rPr>
          <w:rFonts w:eastAsia="source serif 4" w:cs="source serif 4" w:ascii="source serif 4" w:hAnsi="source serif 4"/>
          <w:b/>
          <w:color w:val="000000"/>
          <w:sz w:val="24"/>
        </w:rPr>
        <w:t xml:space="preserve">What action is reasonably justified</w:t>
      </w:r>
      <w:bookmarkEnd w:id="13"/>
    </w:p>
    <w:p>
      <w:pPr>
        <w:spacing w:line="360" w:after="210" w:lineRule="auto"/>
      </w:pPr>
      <w:r>
        <w:rPr>
          <w:rFonts w:eastAsia="source serif 4" w:cs="source serif 4" w:ascii="source serif 4" w:hAnsi="source serif 4"/>
          <w:color w:val="000000"/>
        </w:rPr>
        <w:t xml:space="preserve">Support responsive, non-punitive, context-sensitive caregiving and adequate caregiver support. Do not prescribe constant emotional availability or perfection.</w:t>
      </w:r>
    </w:p>
    <w:p>
      <w:pPr>
        <w:spacing w:line="360" w:before="315" w:after="105" w:lineRule="auto"/>
        <w:ind w:left="-30"/>
        <w:jc w:val="left"/>
      </w:pPr>
      <w:bookmarkStart w:id="14" w:name="temperament"/>
      <w:r>
        <w:rPr>
          <w:rFonts w:eastAsia="source serif 4" w:cs="source serif 4" w:ascii="source serif 4" w:hAnsi="source serif 4"/>
          <w:b/>
          <w:color w:val="000000"/>
          <w:sz w:val="24"/>
        </w:rPr>
        <w:t xml:space="preserve">Temperament</w:t>
      </w:r>
      <w:bookmarkEnd w:id="14"/>
    </w:p>
    <w:p>
      <w:pPr>
        <w:spacing w:line="360" w:before="315" w:after="105" w:lineRule="auto"/>
        <w:ind w:left="-30"/>
        <w:jc w:val="left"/>
      </w:pPr>
      <w:bookmarkStart w:id="15" w:name="what_we_know_2"/>
      <w:r>
        <w:rPr>
          <w:rFonts w:eastAsia="source serif 4" w:cs="source serif 4" w:ascii="source serif 4" w:hAnsi="source serif 4"/>
          <w:b/>
          <w:color w:val="000000"/>
          <w:sz w:val="24"/>
        </w:rPr>
        <w:t xml:space="preserve">What We Know</w:t>
      </w:r>
      <w:bookmarkEnd w:id="15"/>
    </w:p>
    <w:p>
      <w:pPr>
        <w:spacing w:line="360" w:after="210" w:lineRule="auto"/>
      </w:pPr>
      <w:r>
        <w:rPr>
          <w:rFonts w:eastAsia="source serif 4" w:cs="source serif 4" w:ascii="source serif 4" w:hAnsi="source serif 4"/>
          <w:color w:val="000000"/>
        </w:rPr>
        <w:t xml:space="preserve">Temperament captures early-emerging, partly constitutional differences in emotional reactivity, activity, approach, withdrawal, and attentional control. Multi-informant work identifies dimensions including surgency/extraversion, negative affectivity, and effortful control from infancy into toddlerhood. Temperament shows moderate stability, with effortful control often more stable than positive or negative emotionality, but stability is not destiny.[</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p>
    <w:p>
      <w:pPr>
        <w:spacing w:line="360" w:before="315" w:after="105" w:lineRule="auto"/>
        <w:ind w:left="-30"/>
        <w:jc w:val="left"/>
      </w:pPr>
      <w:bookmarkStart w:id="16" w:name="how_confident_we_are_2"/>
      <w:r>
        <w:rPr>
          <w:rFonts w:eastAsia="source serif 4" w:cs="source serif 4" w:ascii="source serif 4" w:hAnsi="source serif 4"/>
          <w:b/>
          <w:color w:val="000000"/>
          <w:sz w:val="24"/>
        </w:rPr>
        <w:t xml:space="preserve">How Confident We Are</w:t>
      </w:r>
      <w:bookmarkEnd w:id="16"/>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existence of individual differences is robust; the strength, meaning, and persistence of specific dimensions depend on measurement, age, context, and informant.</w:t>
      </w:r>
    </w:p>
    <w:p>
      <w:pPr>
        <w:spacing w:line="360" w:before="315" w:after="105" w:lineRule="auto"/>
        <w:ind w:left="-30"/>
        <w:jc w:val="left"/>
      </w:pPr>
      <w:bookmarkStart w:id="17" w:name="evidence_and_causal_assessment_2"/>
      <w:r>
        <w:rPr>
          <w:rFonts w:eastAsia="source serif 4" w:cs="source serif 4" w:ascii="source serif 4" w:hAnsi="source serif 4"/>
          <w:b/>
          <w:color w:val="000000"/>
          <w:sz w:val="24"/>
        </w:rPr>
        <w:t xml:space="preserve">Evidence and causal assessment</w:t>
      </w:r>
      <w:bookmarkEnd w:id="17"/>
    </w:p>
    <w:p>
      <w:pPr>
        <w:spacing w:line="360" w:after="210" w:lineRule="auto"/>
      </w:pPr>
      <w:r>
        <w:rPr>
          <w:rFonts w:eastAsia="source serif 4" w:cs="source serif 4" w:ascii="source serif 4" w:hAnsi="source serif 4"/>
          <w:color w:val="000000"/>
        </w:rPr>
        <w:t xml:space="preserve">Longitudinal and genetically informed designs are useful for separating child characteristics from caregiver response and evocative transactions. Parent-report temperament can be partly contaminated by expectations and child behavior; laboratory measures are narrower but not automatically unbiased.</w:t>
      </w:r>
    </w:p>
    <w:p>
      <w:pPr>
        <w:spacing w:line="360" w:before="315" w:after="105" w:lineRule="auto"/>
        <w:ind w:left="-30"/>
        <w:jc w:val="left"/>
      </w:pPr>
      <w:bookmarkStart w:id="18" w:name="effect_size_and_persistence_2"/>
      <w:r>
        <w:rPr>
          <w:rFonts w:eastAsia="source serif 4" w:cs="source serif 4" w:ascii="source serif 4" w:hAnsi="source serif 4"/>
          <w:b/>
          <w:color w:val="000000"/>
          <w:sz w:val="24"/>
        </w:rPr>
        <w:t xml:space="preserve">Effect size and persistence</w:t>
      </w:r>
      <w:bookmarkEnd w:id="18"/>
    </w:p>
    <w:p>
      <w:pPr>
        <w:spacing w:line="360" w:after="210" w:lineRule="auto"/>
      </w:pPr>
      <w:r>
        <w:rPr>
          <w:rFonts w:eastAsia="source serif 4" w:cs="source serif 4" w:ascii="source serif 4" w:hAnsi="source serif 4"/>
          <w:color w:val="000000"/>
        </w:rPr>
        <w:t xml:space="preserve">Use dimensional language and report moderate stability rather than categorical prediction. A temperament difference may forecast risk in one context and adaptation in another.</w:t>
      </w:r>
    </w:p>
    <w:p>
      <w:pPr>
        <w:spacing w:line="360" w:before="315" w:after="105" w:lineRule="auto"/>
        <w:ind w:left="-30"/>
        <w:jc w:val="left"/>
      </w:pPr>
      <w:bookmarkStart w:id="19" w:name="bias_and_heterogeneity_2"/>
      <w:r>
        <w:rPr>
          <w:rFonts w:eastAsia="source serif 4" w:cs="source serif 4" w:ascii="source serif 4" w:hAnsi="source serif 4"/>
          <w:b/>
          <w:color w:val="000000"/>
          <w:sz w:val="24"/>
        </w:rPr>
        <w:t xml:space="preserve">Bias and heterogeneity</w:t>
      </w:r>
      <w:bookmarkEnd w:id="19"/>
    </w:p>
    <w:p>
      <w:pPr>
        <w:spacing w:line="360" w:after="210" w:lineRule="auto"/>
      </w:pPr>
      <w:r>
        <w:rPr>
          <w:rFonts w:eastAsia="source serif 4" w:cs="source serif 4" w:ascii="source serif 4" w:hAnsi="source serif 4"/>
          <w:color w:val="000000"/>
        </w:rPr>
        <w:t xml:space="preserve">Goodness-of-fit, differential susceptibility, socioeconomic conditions, cultural display rules, and institutional expectations may alter outcomes. High reactivity is not intrinsically maladaptive.</w:t>
      </w:r>
    </w:p>
    <w:p>
      <w:pPr>
        <w:spacing w:line="360" w:before="315" w:after="105" w:lineRule="auto"/>
        <w:ind w:left="-30"/>
        <w:jc w:val="left"/>
      </w:pPr>
      <w:bookmarkStart w:id="20" w:name="what_this_does_not_mean_2"/>
      <w:r>
        <w:rPr>
          <w:rFonts w:eastAsia="source serif 4" w:cs="source serif 4" w:ascii="source serif 4" w:hAnsi="source serif 4"/>
          <w:b/>
          <w:color w:val="000000"/>
          <w:sz w:val="24"/>
        </w:rPr>
        <w:t xml:space="preserve">What this does not mean</w:t>
      </w:r>
      <w:bookmarkEnd w:id="20"/>
    </w:p>
    <w:p>
      <w:pPr>
        <w:spacing w:line="360" w:after="210" w:lineRule="auto"/>
      </w:pPr>
      <w:r>
        <w:rPr>
          <w:rFonts w:eastAsia="source serif 4" w:cs="source serif 4" w:ascii="source serif 4" w:hAnsi="source serif 4"/>
          <w:color w:val="000000"/>
        </w:rPr>
        <w:t xml:space="preserve">Difficult temperament does not equal poor parenting or poor outcome.</w:t>
      </w:r>
    </w:p>
    <w:p>
      <w:pPr>
        <w:spacing w:line="360" w:before="315" w:after="105" w:lineRule="auto"/>
        <w:ind w:left="-30"/>
        <w:jc w:val="left"/>
      </w:pPr>
      <w:bookmarkStart w:id="21" w:name="what_action_is_reasonably_justified_2"/>
      <w:r>
        <w:rPr>
          <w:rFonts w:eastAsia="source serif 4" w:cs="source serif 4" w:ascii="source serif 4" w:hAnsi="source serif 4"/>
          <w:b/>
          <w:color w:val="000000"/>
          <w:sz w:val="24"/>
        </w:rPr>
        <w:t xml:space="preserve">What action is reasonably justified</w:t>
      </w:r>
      <w:bookmarkEnd w:id="21"/>
    </w:p>
    <w:p>
      <w:pPr>
        <w:spacing w:line="360" w:after="210" w:lineRule="auto"/>
      </w:pPr>
      <w:r>
        <w:rPr>
          <w:rFonts w:eastAsia="source serif 4" w:cs="source serif 4" w:ascii="source serif 4" w:hAnsi="source serif 4"/>
          <w:color w:val="000000"/>
        </w:rPr>
        <w:t xml:space="preserve">Match demands and support to the child while preserving opportunities for participation and gradual mastery; avoid temperament labeling as a fixed identity.</w:t>
      </w:r>
    </w:p>
    <w:p>
      <w:pPr>
        <w:spacing w:line="360" w:before="315" w:after="105" w:lineRule="auto"/>
        <w:ind w:left="-30"/>
        <w:jc w:val="left"/>
      </w:pPr>
      <w:bookmarkStart w:id="22" w:name="frustration_and_anger"/>
      <w:r>
        <w:rPr>
          <w:rFonts w:eastAsia="source serif 4" w:cs="source serif 4" w:ascii="source serif 4" w:hAnsi="source serif 4"/>
          <w:b/>
          <w:color w:val="000000"/>
          <w:sz w:val="24"/>
        </w:rPr>
        <w:t xml:space="preserve">Frustration and anger</w:t>
      </w:r>
      <w:bookmarkEnd w:id="22"/>
    </w:p>
    <w:p>
      <w:pPr>
        <w:spacing w:line="360" w:before="315" w:after="105" w:lineRule="auto"/>
        <w:ind w:left="-30"/>
        <w:jc w:val="left"/>
      </w:pPr>
      <w:bookmarkStart w:id="23" w:name="what_we_know_3"/>
      <w:r>
        <w:rPr>
          <w:rFonts w:eastAsia="source serif 4" w:cs="source serif 4" w:ascii="source serif 4" w:hAnsi="source serif 4"/>
          <w:b/>
          <w:color w:val="000000"/>
          <w:sz w:val="24"/>
        </w:rPr>
        <w:t xml:space="preserve">What We Know</w:t>
      </w:r>
      <w:bookmarkEnd w:id="23"/>
    </w:p>
    <w:p>
      <w:pPr>
        <w:spacing w:line="360" w:after="210" w:lineRule="auto"/>
      </w:pPr>
      <w:r>
        <w:rPr>
          <w:rFonts w:eastAsia="source serif 4" w:cs="source serif 4" w:ascii="source serif 4" w:hAnsi="source serif 4"/>
          <w:color w:val="000000"/>
        </w:rPr>
        <w:t xml:space="preserve">Frustration commonly follows blocked goals, delay, fatigue, conflict, or loss of control. Anger can communicate goal obstruction and mobilize action; its developmental significance depends on intensity, duration, flexibility, recovery, and social consequences. Toddlers use different regulatory strategies for fear and anger, and strategy effectiveness increases with age even while internal monitoring remains limited.[^5]</w:t>
      </w:r>
    </w:p>
    <w:p>
      <w:pPr>
        <w:spacing w:line="360" w:before="315" w:after="105" w:lineRule="auto"/>
        <w:ind w:left="-30"/>
        <w:jc w:val="left"/>
      </w:pPr>
      <w:bookmarkStart w:id="24" w:name="how_confident_we_are_3"/>
      <w:r>
        <w:rPr>
          <w:rFonts w:eastAsia="source serif 4" w:cs="source serif 4" w:ascii="source serif 4" w:hAnsi="source serif 4"/>
          <w:b/>
          <w:color w:val="000000"/>
          <w:sz w:val="24"/>
        </w:rPr>
        <w:t xml:space="preserve">How Confident We Are</w:t>
      </w:r>
      <w:bookmarkEnd w:id="24"/>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frustration as a normal developmental process;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claims about a specific adaptive function in individual children.</w:t>
      </w:r>
    </w:p>
    <w:p>
      <w:pPr>
        <w:spacing w:line="360" w:before="315" w:after="105" w:lineRule="auto"/>
        <w:ind w:left="-30"/>
        <w:jc w:val="left"/>
      </w:pPr>
      <w:bookmarkStart w:id="25" w:name="evidence_and_causal_assessment_3"/>
      <w:r>
        <w:rPr>
          <w:rFonts w:eastAsia="source serif 4" w:cs="source serif 4" w:ascii="source serif 4" w:hAnsi="source serif 4"/>
          <w:b/>
          <w:color w:val="000000"/>
          <w:sz w:val="24"/>
        </w:rPr>
        <w:t xml:space="preserve">Evidence and causal assessment</w:t>
      </w:r>
      <w:bookmarkEnd w:id="25"/>
    </w:p>
    <w:p>
      <w:pPr>
        <w:spacing w:line="360" w:after="210" w:lineRule="auto"/>
      </w:pPr>
      <w:r>
        <w:rPr>
          <w:rFonts w:eastAsia="source serif 4" w:cs="source serif 4" w:ascii="source serif 4" w:hAnsi="source serif 4"/>
          <w:color w:val="000000"/>
        </w:rPr>
        <w:t xml:space="preserve">Observational paradigms that manipulate blocked goals are more informative than parent descriptions alone. Longitudinal designs should examine whether frustration predicts persistence, aggression, language, or later adjustment after accounting for temperament and context.</w:t>
      </w:r>
    </w:p>
    <w:p>
      <w:pPr>
        <w:spacing w:line="360" w:before="315" w:after="105" w:lineRule="auto"/>
        <w:ind w:left="-30"/>
        <w:jc w:val="left"/>
      </w:pPr>
      <w:bookmarkStart w:id="26" w:name="effect_size_and_persistence_3"/>
      <w:r>
        <w:rPr>
          <w:rFonts w:eastAsia="source serif 4" w:cs="source serif 4" w:ascii="source serif 4" w:hAnsi="source serif 4"/>
          <w:b/>
          <w:color w:val="000000"/>
          <w:sz w:val="24"/>
        </w:rPr>
        <w:t xml:space="preserve">Effect size and persistence</w:t>
      </w:r>
      <w:bookmarkEnd w:id="26"/>
    </w:p>
    <w:p>
      <w:pPr>
        <w:spacing w:line="360" w:after="210" w:lineRule="auto"/>
      </w:pPr>
      <w:r>
        <w:rPr>
          <w:rFonts w:eastAsia="source serif 4" w:cs="source serif 4" w:ascii="source serif 4" w:hAnsi="source serif 4"/>
          <w:color w:val="000000"/>
        </w:rPr>
        <w:t xml:space="preserve">Tantrums and temper loss are dimensional. In a large developmental study, milder behaviors were associated with expectable frustration, whereas unpredictable, prolonged, or destructive episodes were more concerning. Persistence should not be inferred from toddlerhood alone.[^9]</w:t>
      </w:r>
    </w:p>
    <w:p>
      <w:pPr>
        <w:spacing w:line="360" w:before="315" w:after="105" w:lineRule="auto"/>
        <w:ind w:left="-30"/>
        <w:jc w:val="left"/>
      </w:pPr>
      <w:bookmarkStart w:id="27" w:name="what_this_does_not_mean_3"/>
      <w:r>
        <w:rPr>
          <w:rFonts w:eastAsia="source serif 4" w:cs="source serif 4" w:ascii="source serif 4" w:hAnsi="source serif 4"/>
          <w:b/>
          <w:color w:val="000000"/>
          <w:sz w:val="24"/>
        </w:rPr>
        <w:t xml:space="preserve">What this does not mean</w:t>
      </w:r>
      <w:bookmarkEnd w:id="27"/>
    </w:p>
    <w:p>
      <w:pPr>
        <w:spacing w:line="360" w:after="210" w:lineRule="auto"/>
      </w:pPr>
      <w:r>
        <w:rPr>
          <w:rFonts w:eastAsia="source serif 4" w:cs="source serif 4" w:ascii="source serif 4" w:hAnsi="source serif 4"/>
          <w:color w:val="000000"/>
        </w:rPr>
        <w:t xml:space="preserve">Anger is not moral failure, and validating an emotion does not require permitting harmful behavior.</w:t>
      </w:r>
    </w:p>
    <w:p>
      <w:pPr>
        <w:spacing w:line="360" w:before="315" w:after="105" w:lineRule="auto"/>
        <w:ind w:left="-30"/>
        <w:jc w:val="left"/>
      </w:pPr>
      <w:bookmarkStart w:id="28" w:name="what_action_is_reasonably_justified_3"/>
      <w:r>
        <w:rPr>
          <w:rFonts w:eastAsia="source serif 4" w:cs="source serif 4" w:ascii="source serif 4" w:hAnsi="source serif 4"/>
          <w:b/>
          <w:color w:val="000000"/>
          <w:sz w:val="24"/>
        </w:rPr>
        <w:t xml:space="preserve">What action is reasonably justified</w:t>
      </w:r>
      <w:bookmarkEnd w:id="28"/>
    </w:p>
    <w:p>
      <w:pPr>
        <w:spacing w:line="360" w:after="210" w:lineRule="auto"/>
      </w:pPr>
      <w:r>
        <w:rPr>
          <w:rFonts w:eastAsia="source serif 4" w:cs="source serif 4" w:ascii="source serif 4" w:hAnsi="source serif 4"/>
          <w:color w:val="000000"/>
        </w:rPr>
        <w:t xml:space="preserve">Study and describe antecedents, expression, recovery, and relational response separately. Emphasize safety and repair rather than emotional absence.</w:t>
      </w:r>
    </w:p>
    <w:p>
      <w:pPr>
        <w:spacing w:line="360" w:before="315" w:after="105" w:lineRule="auto"/>
        <w:ind w:left="-30"/>
        <w:jc w:val="left"/>
      </w:pPr>
      <w:bookmarkStart w:id="29" w:name="fear_inhibition_and_anxiety"/>
      <w:r>
        <w:rPr>
          <w:rFonts w:eastAsia="source serif 4" w:cs="source serif 4" w:ascii="source serif 4" w:hAnsi="source serif 4"/>
          <w:b/>
          <w:color w:val="000000"/>
          <w:sz w:val="24"/>
        </w:rPr>
        <w:t xml:space="preserve">Fear, inhibition, and anxiety</w:t>
      </w:r>
      <w:bookmarkEnd w:id="29"/>
    </w:p>
    <w:p>
      <w:pPr>
        <w:spacing w:line="360" w:before="315" w:after="105" w:lineRule="auto"/>
        <w:ind w:left="-30"/>
        <w:jc w:val="left"/>
      </w:pPr>
      <w:bookmarkStart w:id="30" w:name="what_we_know_4"/>
      <w:r>
        <w:rPr>
          <w:rFonts w:eastAsia="source serif 4" w:cs="source serif 4" w:ascii="source serif 4" w:hAnsi="source serif 4"/>
          <w:b/>
          <w:color w:val="000000"/>
          <w:sz w:val="24"/>
        </w:rPr>
        <w:t xml:space="preserve">What We Know</w:t>
      </w:r>
      <w:bookmarkEnd w:id="30"/>
    </w:p>
    <w:p>
      <w:pPr>
        <w:spacing w:line="360" w:after="210" w:lineRule="auto"/>
      </w:pPr>
      <w:r>
        <w:rPr>
          <w:rFonts w:eastAsia="source serif 4" w:cs="source serif 4" w:ascii="source serif 4" w:hAnsi="source serif 4"/>
          <w:color w:val="000000"/>
        </w:rPr>
        <w:t xml:space="preserve">Fear and caution change with development and experience. Behavioral inhibition is a temperament risk factor for later anxiety, but it is neither necessary nor sufficient: a meta-analysis of 27 studies found elevated odds of later anxiety, with particularly strong association for social anxiety, while effects varied across anxiety disorders.[^10]</w:t>
      </w:r>
    </w:p>
    <w:p>
      <w:pPr>
        <w:spacing w:line="360" w:before="315" w:after="105" w:lineRule="auto"/>
        <w:ind w:left="-30"/>
        <w:jc w:val="left"/>
      </w:pPr>
      <w:bookmarkStart w:id="31" w:name="how_confident_we_are_4"/>
      <w:r>
        <w:rPr>
          <w:rFonts w:eastAsia="source serif 4" w:cs="source serif 4" w:ascii="source serif 4" w:hAnsi="source serif 4"/>
          <w:b/>
          <w:color w:val="000000"/>
          <w:sz w:val="24"/>
        </w:rPr>
        <w:t xml:space="preserve">How Confident We Are</w:t>
      </w:r>
      <w:bookmarkEnd w:id="31"/>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behavioral inhibition as a probabilistic risk marker;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individual prediction before school age.</w:t>
      </w:r>
    </w:p>
    <w:p>
      <w:pPr>
        <w:spacing w:line="360" w:before="315" w:after="105" w:lineRule="auto"/>
        <w:ind w:left="-30"/>
        <w:jc w:val="left"/>
      </w:pPr>
      <w:bookmarkStart w:id="32" w:name="evidence_and_causal_assessment_4"/>
      <w:r>
        <w:rPr>
          <w:rFonts w:eastAsia="source serif 4" w:cs="source serif 4" w:ascii="source serif 4" w:hAnsi="source serif 4"/>
          <w:b/>
          <w:color w:val="000000"/>
          <w:sz w:val="24"/>
        </w:rPr>
        <w:t xml:space="preserve">Evidence and causal assessment</w:t>
      </w:r>
      <w:bookmarkEnd w:id="32"/>
    </w:p>
    <w:p>
      <w:pPr>
        <w:spacing w:line="360" w:after="210" w:lineRule="auto"/>
      </w:pPr>
      <w:r>
        <w:rPr>
          <w:rFonts w:eastAsia="source serif 4" w:cs="source serif 4" w:ascii="source serif 4" w:hAnsi="source serif 4"/>
          <w:color w:val="000000"/>
        </w:rPr>
        <w:t xml:space="preserve">Use repeated behavioral observations, caregiver reports, anxiety assessments, and longitudinal follow-up. Risk estimates can be inflated by selective samples, shared informants, and differential exposure to social opportunities. Intervention evidence suggests anxiety risk can be reduced in inhibited preschoolers, while observer-rated inhibition itself may be less changeable.[^11]</w:t>
      </w:r>
    </w:p>
    <w:p>
      <w:pPr>
        <w:spacing w:line="360" w:before="315" w:after="105" w:lineRule="auto"/>
        <w:ind w:left="-30"/>
        <w:jc w:val="left"/>
      </w:pPr>
      <w:bookmarkStart w:id="33" w:name="what_this_does_not_mean_4"/>
      <w:r>
        <w:rPr>
          <w:rFonts w:eastAsia="source serif 4" w:cs="source serif 4" w:ascii="source serif 4" w:hAnsi="source serif 4"/>
          <w:b/>
          <w:color w:val="000000"/>
          <w:sz w:val="24"/>
        </w:rPr>
        <w:t xml:space="preserve">What this does not mean</w:t>
      </w:r>
      <w:bookmarkEnd w:id="33"/>
    </w:p>
    <w:p>
      <w:pPr>
        <w:spacing w:line="360" w:after="210" w:lineRule="auto"/>
      </w:pPr>
      <w:r>
        <w:rPr>
          <w:rFonts w:eastAsia="source serif 4" w:cs="source serif 4" w:ascii="source serif 4" w:hAnsi="source serif 4"/>
          <w:color w:val="000000"/>
        </w:rPr>
        <w:t xml:space="preserve">Normative stranger anxiety, separation distress, or caution is not equivalent to clinical anxiety. Early inhibition does not fix a child’s future.</w:t>
      </w:r>
    </w:p>
    <w:p>
      <w:pPr>
        <w:spacing w:line="360" w:before="315" w:after="105" w:lineRule="auto"/>
        <w:ind w:left="-30"/>
        <w:jc w:val="left"/>
      </w:pPr>
      <w:bookmarkStart w:id="34" w:name="what_action_is_reasonably_justified_4"/>
      <w:r>
        <w:rPr>
          <w:rFonts w:eastAsia="source serif 4" w:cs="source serif 4" w:ascii="source serif 4" w:hAnsi="source serif 4"/>
          <w:b/>
          <w:color w:val="000000"/>
          <w:sz w:val="24"/>
        </w:rPr>
        <w:t xml:space="preserve">What action is reasonably justified</w:t>
      </w:r>
      <w:bookmarkEnd w:id="34"/>
    </w:p>
    <w:p>
      <w:pPr>
        <w:spacing w:line="360" w:after="210" w:lineRule="auto"/>
      </w:pPr>
      <w:r>
        <w:rPr>
          <w:rFonts w:eastAsia="source serif 4" w:cs="source serif 4" w:ascii="source serif 4" w:hAnsi="source serif 4"/>
          <w:color w:val="000000"/>
        </w:rPr>
        <w:t xml:space="preserve">Distinguish developmentally expected fear from persistent impairment, severe avoidance, or distress across settings; seek proportionate assessment when functioning is affected.</w:t>
      </w:r>
    </w:p>
    <w:p>
      <w:pPr>
        <w:spacing w:line="360" w:before="315" w:after="105" w:lineRule="auto"/>
        <w:ind w:left="-30"/>
        <w:jc w:val="left"/>
      </w:pPr>
      <w:bookmarkStart w:id="35" w:name="positive_emotion_joy_and_social_reward"/>
      <w:r>
        <w:rPr>
          <w:rFonts w:eastAsia="source serif 4" w:cs="source serif 4" w:ascii="source serif 4" w:hAnsi="source serif 4"/>
          <w:b/>
          <w:color w:val="000000"/>
          <w:sz w:val="24"/>
        </w:rPr>
        <w:t xml:space="preserve">Positive emotion, joy, and social reward</w:t>
      </w:r>
      <w:bookmarkEnd w:id="35"/>
    </w:p>
    <w:p>
      <w:pPr>
        <w:spacing w:line="360" w:before="315" w:after="105" w:lineRule="auto"/>
        <w:ind w:left="-30"/>
        <w:jc w:val="left"/>
      </w:pPr>
      <w:bookmarkStart w:id="36" w:name="what_we_know_5"/>
      <w:r>
        <w:rPr>
          <w:rFonts w:eastAsia="source serif 4" w:cs="source serif 4" w:ascii="source serif 4" w:hAnsi="source serif 4"/>
          <w:b/>
          <w:color w:val="000000"/>
          <w:sz w:val="24"/>
        </w:rPr>
        <w:t xml:space="preserve">What We Know</w:t>
      </w:r>
      <w:bookmarkEnd w:id="36"/>
    </w:p>
    <w:p>
      <w:pPr>
        <w:spacing w:line="360" w:after="210" w:lineRule="auto"/>
      </w:pPr>
      <w:r>
        <w:rPr>
          <w:rFonts w:eastAsia="source serif 4" w:cs="source serif 4" w:ascii="source serif 4" w:hAnsi="source serif 4"/>
          <w:color w:val="000000"/>
        </w:rPr>
        <w:t xml:space="preserve">Positive affect supports approach, engagement, play, social connection, and opportunities for learning, but it should not be treated as universally superior to negative affect. Emotion development includes both activation and recovery, and positive affect also varies by context and culture.[</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p>
    <w:p>
      <w:pPr>
        <w:spacing w:line="360" w:before="315" w:after="105" w:lineRule="auto"/>
        <w:ind w:left="-30"/>
        <w:jc w:val="left"/>
      </w:pPr>
      <w:bookmarkStart w:id="37" w:name="how_confident_we_are_5"/>
      <w:r>
        <w:rPr>
          <w:rFonts w:eastAsia="source serif 4" w:cs="source serif 4" w:ascii="source serif 4" w:hAnsi="source serif 4"/>
          <w:b/>
          <w:color w:val="000000"/>
          <w:sz w:val="24"/>
        </w:rPr>
        <w:t xml:space="preserve">How Confident We Are</w:t>
      </w:r>
      <w:bookmarkEnd w:id="37"/>
    </w:p>
    <w:p>
      <w:pPr>
        <w:spacing w:line="360" w:after="210" w:lineRule="auto"/>
      </w:pP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broad developmental functions; specific causal pathways from joy to later competence remain less established than popular accounts suggest.</w:t>
      </w:r>
    </w:p>
    <w:p>
      <w:pPr>
        <w:spacing w:line="360" w:before="315" w:after="105" w:lineRule="auto"/>
        <w:ind w:left="-30"/>
        <w:jc w:val="left"/>
      </w:pPr>
      <w:bookmarkStart w:id="38" w:name="what_this_does_not_mean_5"/>
      <w:r>
        <w:rPr>
          <w:rFonts w:eastAsia="source serif 4" w:cs="source serif 4" w:ascii="source serif 4" w:hAnsi="source serif 4"/>
          <w:b/>
          <w:color w:val="000000"/>
          <w:sz w:val="24"/>
        </w:rPr>
        <w:t xml:space="preserve">What this does not mean</w:t>
      </w:r>
      <w:bookmarkEnd w:id="38"/>
    </w:p>
    <w:p>
      <w:pPr>
        <w:spacing w:line="360" w:after="210" w:lineRule="auto"/>
      </w:pPr>
      <w:r>
        <w:rPr>
          <w:rFonts w:eastAsia="source serif 4" w:cs="source serif 4" w:ascii="source serif 4" w:hAnsi="source serif 4"/>
          <w:color w:val="000000"/>
        </w:rPr>
        <w:t xml:space="preserve">The goal is not a continuously happy child. Distress, fear, and anger carry information and can be developmentally productive when the child can recover and remain supported.</w:t>
      </w:r>
    </w:p>
    <w:p>
      <w:pPr>
        <w:spacing w:line="360" w:before="315" w:after="105" w:lineRule="auto"/>
        <w:ind w:left="-30"/>
        <w:jc w:val="left"/>
      </w:pPr>
      <w:bookmarkStart w:id="39" w:name="emotion_understanding_and_language"/>
      <w:r>
        <w:rPr>
          <w:rFonts w:eastAsia="source serif 4" w:cs="source serif 4" w:ascii="source serif 4" w:hAnsi="source serif 4"/>
          <w:b/>
          <w:color w:val="000000"/>
          <w:sz w:val="24"/>
        </w:rPr>
        <w:t xml:space="preserve">Emotion understanding and language</w:t>
      </w:r>
      <w:bookmarkEnd w:id="39"/>
    </w:p>
    <w:p>
      <w:pPr>
        <w:spacing w:line="360" w:before="315" w:after="105" w:lineRule="auto"/>
        <w:ind w:left="-30"/>
        <w:jc w:val="left"/>
      </w:pPr>
      <w:bookmarkStart w:id="40" w:name="what_we_know_6"/>
      <w:r>
        <w:rPr>
          <w:rFonts w:eastAsia="source serif 4" w:cs="source serif 4" w:ascii="source serif 4" w:hAnsi="source serif 4"/>
          <w:b/>
          <w:color w:val="000000"/>
          <w:sz w:val="24"/>
        </w:rPr>
        <w:t xml:space="preserve">What We Know</w:t>
      </w:r>
      <w:bookmarkEnd w:id="40"/>
    </w:p>
    <w:p>
      <w:pPr>
        <w:spacing w:line="360" w:after="210" w:lineRule="auto"/>
      </w:pPr>
      <w:r>
        <w:rPr>
          <w:rFonts w:eastAsia="source serif 4" w:cs="source serif 4" w:ascii="source serif 4" w:hAnsi="source serif 4"/>
          <w:color w:val="000000"/>
        </w:rPr>
        <w:t xml:space="preserve">Emotion understanding, emotion vocabulary, family emotion talk, and broader language development are related to regulation, but the direction is likely bidirectional and measures are heterogeneous. A recent meta-analysis reported a small positive association between emotion-specific language and regulation, approximately r = .13, while noting stronger effects for higher-order emotion understanding and important measurement differences.[</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4][^15]</w:t>
      </w:r>
    </w:p>
    <w:p>
      <w:pPr>
        <w:spacing w:line="360" w:before="315" w:after="105" w:lineRule="auto"/>
        <w:ind w:left="-30"/>
        <w:jc w:val="left"/>
      </w:pPr>
      <w:bookmarkStart w:id="41" w:name="how_confident_we_are_6"/>
      <w:r>
        <w:rPr>
          <w:rFonts w:eastAsia="source serif 4" w:cs="source serif 4" w:ascii="source serif 4" w:hAnsi="source serif 4"/>
          <w:b/>
          <w:color w:val="000000"/>
          <w:sz w:val="24"/>
        </w:rPr>
        <w:t xml:space="preserve">How Confident We Are</w:t>
      </w:r>
      <w:bookmarkEnd w:id="41"/>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association;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language as a direct causal mechanism in children aged 0–3.</w:t>
      </w:r>
    </w:p>
    <w:p>
      <w:pPr>
        <w:spacing w:line="360" w:before="315" w:after="105" w:lineRule="auto"/>
        <w:ind w:left="-30"/>
        <w:jc w:val="left"/>
      </w:pPr>
      <w:bookmarkStart w:id="42" w:name="evidence_and_causal_assessment_5"/>
      <w:r>
        <w:rPr>
          <w:rFonts w:eastAsia="source serif 4" w:cs="source serif 4" w:ascii="source serif 4" w:hAnsi="source serif 4"/>
          <w:b/>
          <w:color w:val="000000"/>
          <w:sz w:val="24"/>
        </w:rPr>
        <w:t xml:space="preserve">Evidence and causal assessment</w:t>
      </w:r>
      <w:bookmarkEnd w:id="42"/>
    </w:p>
    <w:p>
      <w:pPr>
        <w:spacing w:line="360" w:after="210" w:lineRule="auto"/>
      </w:pPr>
      <w:r>
        <w:rPr>
          <w:rFonts w:eastAsia="source serif 4" w:cs="source serif 4" w:ascii="source serif 4" w:hAnsi="source serif 4"/>
          <w:color w:val="000000"/>
        </w:rPr>
        <w:t xml:space="preserve">Randomized preschool studies show that structured emotion-state talk can improve emotion comprehension and, in some studies, prosocial orientation. These findings do not establish that labeling alone regulates physiological distress in toddlers, nor that every child benefits equally. Language may be a scaffold that works together with adult co-regulation, attention, memory, and social understanding.[</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before="315" w:after="105" w:lineRule="auto"/>
        <w:ind w:left="-30"/>
        <w:jc w:val="left"/>
      </w:pPr>
      <w:bookmarkStart w:id="43" w:name="what_this_does_not_mean_6"/>
      <w:r>
        <w:rPr>
          <w:rFonts w:eastAsia="source serif 4" w:cs="source serif 4" w:ascii="source serif 4" w:hAnsi="source serif 4"/>
          <w:b/>
          <w:color w:val="000000"/>
          <w:sz w:val="24"/>
        </w:rPr>
        <w:t xml:space="preserve">What this does not mean</w:t>
      </w:r>
      <w:bookmarkEnd w:id="43"/>
    </w:p>
    <w:p>
      <w:pPr>
        <w:spacing w:line="360" w:after="210" w:lineRule="auto"/>
      </w:pPr>
      <w:r>
        <w:rPr>
          <w:rFonts w:eastAsia="source serif 4" w:cs="source serif 4" w:ascii="source serif 4" w:hAnsi="source serif 4"/>
          <w:color w:val="000000"/>
        </w:rPr>
        <w:t xml:space="preserve">Naming an emotion does not automatically calm a child, and limited language does not imply limited emotional life.</w:t>
      </w:r>
    </w:p>
    <w:p>
      <w:pPr>
        <w:spacing w:line="360" w:before="315" w:after="105" w:lineRule="auto"/>
        <w:ind w:left="-30"/>
        <w:jc w:val="left"/>
      </w:pPr>
      <w:bookmarkStart w:id="44" w:name="what_action_is_reasonably_justified_5"/>
      <w:r>
        <w:rPr>
          <w:rFonts w:eastAsia="source serif 4" w:cs="source serif 4" w:ascii="source serif 4" w:hAnsi="source serif 4"/>
          <w:b/>
          <w:color w:val="000000"/>
          <w:sz w:val="24"/>
        </w:rPr>
        <w:t xml:space="preserve">What action is reasonably justified</w:t>
      </w:r>
      <w:bookmarkEnd w:id="44"/>
    </w:p>
    <w:p>
      <w:pPr>
        <w:spacing w:line="360" w:after="210" w:lineRule="auto"/>
      </w:pPr>
      <w:r>
        <w:rPr>
          <w:rFonts w:eastAsia="source serif 4" w:cs="source serif 4" w:ascii="source serif 4" w:hAnsi="source serif 4"/>
          <w:color w:val="000000"/>
        </w:rPr>
        <w:t xml:space="preserve">Use accessible emotion language in context, connect labels to causes and bodily cues, and allow nonverbal communication and cultural variation.</w:t>
      </w:r>
    </w:p>
    <w:p>
      <w:pPr>
        <w:spacing w:line="360" w:before="315" w:after="105" w:lineRule="auto"/>
        <w:ind w:left="-30"/>
        <w:jc w:val="left"/>
      </w:pPr>
      <w:bookmarkStart w:id="45" w:name="recovery_after_distress"/>
      <w:r>
        <w:rPr>
          <w:rFonts w:eastAsia="source serif 4" w:cs="source serif 4" w:ascii="source serif 4" w:hAnsi="source serif 4"/>
          <w:b/>
          <w:color w:val="000000"/>
          <w:sz w:val="24"/>
        </w:rPr>
        <w:t xml:space="preserve">Recovery after distress</w:t>
      </w:r>
      <w:bookmarkEnd w:id="45"/>
    </w:p>
    <w:p>
      <w:pPr>
        <w:spacing w:line="360" w:before="315" w:after="105" w:lineRule="auto"/>
        <w:ind w:left="-30"/>
        <w:jc w:val="left"/>
      </w:pPr>
      <w:bookmarkStart w:id="46" w:name="what_we_know_7"/>
      <w:r>
        <w:rPr>
          <w:rFonts w:eastAsia="source serif 4" w:cs="source serif 4" w:ascii="source serif 4" w:hAnsi="source serif 4"/>
          <w:b/>
          <w:color w:val="000000"/>
          <w:sz w:val="24"/>
        </w:rPr>
        <w:t xml:space="preserve">What We Know</w:t>
      </w:r>
      <w:bookmarkEnd w:id="46"/>
    </w:p>
    <w:p>
      <w:pPr>
        <w:spacing w:line="360" w:after="210" w:lineRule="auto"/>
      </w:pPr>
      <w:r>
        <w:rPr>
          <w:rFonts w:eastAsia="source serif 4" w:cs="source serif 4" w:ascii="source serif 4" w:hAnsi="source serif 4"/>
          <w:color w:val="000000"/>
        </w:rPr>
        <w:t xml:space="preserve">Recovery is a meaningful outcome distinct from the absence of distress. Regulation should therefore be assessed through onset, peak intensity, duration, behavioral organization, physiological recovery where available, and return to engagement—not just whether a child became upset.</w:t>
      </w:r>
    </w:p>
    <w:p>
      <w:pPr>
        <w:spacing w:line="360" w:before="315" w:after="105" w:lineRule="auto"/>
        <w:ind w:left="-30"/>
        <w:jc w:val="left"/>
      </w:pPr>
      <w:bookmarkStart w:id="47" w:name="how_confident_we_are_7"/>
      <w:r>
        <w:rPr>
          <w:rFonts w:eastAsia="source serif 4" w:cs="source serif 4" w:ascii="source serif 4" w:hAnsi="source serif 4"/>
          <w:b/>
          <w:color w:val="000000"/>
          <w:sz w:val="24"/>
        </w:rPr>
        <w:t xml:space="preserve">How Confident We Are</w:t>
      </w:r>
      <w:bookmarkEnd w:id="47"/>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conceptual importance of recovery;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standardized developmental benchmarks and long-term prediction.</w:t>
      </w:r>
    </w:p>
    <w:p>
      <w:pPr>
        <w:spacing w:line="360" w:before="315" w:after="105" w:lineRule="auto"/>
        <w:ind w:left="-30"/>
        <w:jc w:val="left"/>
      </w:pPr>
      <w:bookmarkStart w:id="48" w:name="evidence_and_causal_assessment_6"/>
      <w:r>
        <w:rPr>
          <w:rFonts w:eastAsia="source serif 4" w:cs="source serif 4" w:ascii="source serif 4" w:hAnsi="source serif 4"/>
          <w:b/>
          <w:color w:val="000000"/>
          <w:sz w:val="24"/>
        </w:rPr>
        <w:t xml:space="preserve">Evidence and causal assessment</w:t>
      </w:r>
      <w:bookmarkEnd w:id="48"/>
    </w:p>
    <w:p>
      <w:pPr>
        <w:spacing w:line="360" w:after="210" w:lineRule="auto"/>
      </w:pPr>
      <w:r>
        <w:rPr>
          <w:rFonts w:eastAsia="source serif 4" w:cs="source serif 4" w:ascii="source serif 4" w:hAnsi="source serif 4"/>
          <w:color w:val="000000"/>
        </w:rPr>
        <w:t xml:space="preserve">Repeated within-child designs and time-series measures are particularly useful. Cross-sectional “regulated child” ratings cannot distinguish recovery from low reactivity, social masking, or adult withdrawal of demands.</w:t>
      </w:r>
    </w:p>
    <w:p>
      <w:pPr>
        <w:spacing w:line="360" w:before="315" w:after="105" w:lineRule="auto"/>
        <w:ind w:left="-30"/>
        <w:jc w:val="left"/>
      </w:pPr>
      <w:bookmarkStart w:id="49" w:name="what_this_does_not_mean_7"/>
      <w:r>
        <w:rPr>
          <w:rFonts w:eastAsia="source serif 4" w:cs="source serif 4" w:ascii="source serif 4" w:hAnsi="source serif 4"/>
          <w:b/>
          <w:color w:val="000000"/>
          <w:sz w:val="24"/>
        </w:rPr>
        <w:t xml:space="preserve">What this does not mean</w:t>
      </w:r>
      <w:bookmarkEnd w:id="49"/>
    </w:p>
    <w:p>
      <w:pPr>
        <w:spacing w:line="360" w:after="210" w:lineRule="auto"/>
      </w:pPr>
      <w:r>
        <w:rPr>
          <w:rFonts w:eastAsia="source serif 4" w:cs="source serif 4" w:ascii="source serif 4" w:hAnsi="source serif 4"/>
          <w:color w:val="000000"/>
        </w:rPr>
        <w:t xml:space="preserve">Recovery is not instant calm, and repeated distress does not by itself indicate harm.</w:t>
      </w:r>
    </w:p>
    <w:p>
      <w:pPr>
        <w:spacing w:line="360" w:before="315" w:after="105" w:lineRule="auto"/>
        <w:ind w:left="-30"/>
        <w:jc w:val="left"/>
      </w:pPr>
      <w:bookmarkStart w:id="50" w:name="what_action_is_reasonably_justified_6"/>
      <w:r>
        <w:rPr>
          <w:rFonts w:eastAsia="source serif 4" w:cs="source serif 4" w:ascii="source serif 4" w:hAnsi="source serif 4"/>
          <w:b/>
          <w:color w:val="000000"/>
          <w:sz w:val="24"/>
        </w:rPr>
        <w:t xml:space="preserve">What action is reasonably justified</w:t>
      </w:r>
      <w:bookmarkEnd w:id="50"/>
    </w:p>
    <w:p>
      <w:pPr>
        <w:spacing w:line="360" w:after="210" w:lineRule="auto"/>
      </w:pPr>
      <w:r>
        <w:rPr>
          <w:rFonts w:eastAsia="source serif 4" w:cs="source serif 4" w:ascii="source serif 4" w:hAnsi="source serif 4"/>
          <w:color w:val="000000"/>
        </w:rPr>
        <w:t xml:space="preserve">Make repair, reconnection, and renewed participation central outcomes. Do not organize the chapter around prevention of every difficult emotion.</w:t>
      </w:r>
    </w:p>
    <w:p>
      <w:pPr>
        <w:spacing w:line="360" w:before="315" w:after="105" w:lineRule="auto"/>
        <w:ind w:left="-30"/>
        <w:jc w:val="left"/>
      </w:pPr>
      <w:bookmarkStart w:id="51" w:name="resilience"/>
      <w:r>
        <w:rPr>
          <w:rFonts w:eastAsia="source serif 4" w:cs="source serif 4" w:ascii="source serif 4" w:hAnsi="source serif 4"/>
          <w:b/>
          <w:color w:val="000000"/>
          <w:sz w:val="24"/>
        </w:rPr>
        <w:t xml:space="preserve">Resilience</w:t>
      </w:r>
      <w:bookmarkEnd w:id="51"/>
    </w:p>
    <w:p>
      <w:pPr>
        <w:spacing w:line="360" w:before="315" w:after="105" w:lineRule="auto"/>
        <w:ind w:left="-30"/>
        <w:jc w:val="left"/>
      </w:pPr>
      <w:bookmarkStart w:id="52" w:name="what_we_know_8"/>
      <w:r>
        <w:rPr>
          <w:rFonts w:eastAsia="source serif 4" w:cs="source serif 4" w:ascii="source serif 4" w:hAnsi="source serif 4"/>
          <w:b/>
          <w:color w:val="000000"/>
          <w:sz w:val="24"/>
        </w:rPr>
        <w:t xml:space="preserve">What We Know</w:t>
      </w:r>
      <w:bookmarkEnd w:id="52"/>
    </w:p>
    <w:p>
      <w:pPr>
        <w:spacing w:line="360" w:after="210" w:lineRule="auto"/>
      </w:pPr>
      <w:r>
        <w:rPr>
          <w:rFonts w:eastAsia="source serif 4" w:cs="source serif 4" w:ascii="source serif 4" w:hAnsi="source serif 4"/>
          <w:color w:val="000000"/>
        </w:rPr>
        <w:t xml:space="preserve">Resilience is best defined as a dynamic capacity of a system to adapt successfully to challenges threatening development, not as a fixed child trait or invulnerability. Protective processes can include sensitive caregiving, close relationships, social support, self-regulation, and institutional resources; longitudinal evidence gives stronger weight to family, teacher, and peer support than to isolated child characteristics.[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p>
    <w:p>
      <w:pPr>
        <w:spacing w:line="360" w:before="315" w:after="105" w:lineRule="auto"/>
        <w:ind w:left="-30"/>
        <w:jc w:val="left"/>
      </w:pPr>
      <w:bookmarkStart w:id="53" w:name="how_confident_we_are_8"/>
      <w:r>
        <w:rPr>
          <w:rFonts w:eastAsia="source serif 4" w:cs="source serif 4" w:ascii="source serif 4" w:hAnsi="source serif 4"/>
          <w:b/>
          <w:color w:val="000000"/>
          <w:sz w:val="24"/>
        </w:rPr>
        <w:t xml:space="preserve">How Confident We Are</w:t>
      </w:r>
      <w:bookmarkEnd w:id="53"/>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resilience as a multisystem process;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any single protective factor as a universal mechanism.</w:t>
      </w:r>
    </w:p>
    <w:p>
      <w:pPr>
        <w:spacing w:line="360" w:before="315" w:after="105" w:lineRule="auto"/>
        <w:ind w:left="-30"/>
        <w:jc w:val="left"/>
      </w:pPr>
      <w:bookmarkStart w:id="54" w:name="evidence_and_causal_assessment_7"/>
      <w:r>
        <w:rPr>
          <w:rFonts w:eastAsia="source serif 4" w:cs="source serif 4" w:ascii="source serif 4" w:hAnsi="source serif 4"/>
          <w:b/>
          <w:color w:val="000000"/>
          <w:sz w:val="24"/>
        </w:rPr>
        <w:t xml:space="preserve">Evidence and causal assessment</w:t>
      </w:r>
      <w:bookmarkEnd w:id="54"/>
    </w:p>
    <w:p>
      <w:pPr>
        <w:spacing w:line="360" w:after="210" w:lineRule="auto"/>
      </w:pPr>
      <w:r>
        <w:rPr>
          <w:rFonts w:eastAsia="source serif 4" w:cs="source serif 4" w:ascii="source serif 4" w:hAnsi="source serif 4"/>
          <w:color w:val="000000"/>
        </w:rPr>
        <w:t xml:space="preserve">Resilience research is vulnerable to variable definitions, survivor bias, retrospective reporting, and outcome-specific conclusions. Report adaptation relative to the adversity and domain being studied; a child can show competence in one domain while struggling in another.</w:t>
      </w:r>
    </w:p>
    <w:p>
      <w:pPr>
        <w:spacing w:line="360" w:before="315" w:after="105" w:lineRule="auto"/>
        <w:ind w:left="-30"/>
        <w:jc w:val="left"/>
      </w:pPr>
      <w:bookmarkStart w:id="55" w:name="what_this_does_not_mean_8"/>
      <w:r>
        <w:rPr>
          <w:rFonts w:eastAsia="source serif 4" w:cs="source serif 4" w:ascii="source serif 4" w:hAnsi="source serif 4"/>
          <w:b/>
          <w:color w:val="000000"/>
          <w:sz w:val="24"/>
        </w:rPr>
        <w:t xml:space="preserve">What this does not mean</w:t>
      </w:r>
      <w:bookmarkEnd w:id="55"/>
    </w:p>
    <w:p>
      <w:pPr>
        <w:spacing w:line="360" w:after="210" w:lineRule="auto"/>
      </w:pPr>
      <w:r>
        <w:rPr>
          <w:rFonts w:eastAsia="source serif 4" w:cs="source serif 4" w:ascii="source serif 4" w:hAnsi="source serif 4"/>
          <w:color w:val="000000"/>
        </w:rPr>
        <w:t xml:space="preserve">Resilience does not justify exposing children to adversity, minimizing suffering, or shifting responsibility from institutions to families.</w:t>
      </w:r>
    </w:p>
    <w:p>
      <w:pPr>
        <w:spacing w:line="360" w:before="315" w:after="105" w:lineRule="auto"/>
        <w:ind w:left="-30"/>
        <w:jc w:val="left"/>
      </w:pPr>
      <w:bookmarkStart w:id="56" w:name="what_action_is_reasonably_justified_7"/>
      <w:r>
        <w:rPr>
          <w:rFonts w:eastAsia="source serif 4" w:cs="source serif 4" w:ascii="source serif 4" w:hAnsi="source serif 4"/>
          <w:b/>
          <w:color w:val="000000"/>
          <w:sz w:val="24"/>
        </w:rPr>
        <w:t xml:space="preserve">What action is reasonably justified</w:t>
      </w:r>
      <w:bookmarkEnd w:id="56"/>
    </w:p>
    <w:p>
      <w:pPr>
        <w:spacing w:line="360" w:after="210" w:lineRule="auto"/>
      </w:pPr>
      <w:r>
        <w:rPr>
          <w:rFonts w:eastAsia="source serif 4" w:cs="source serif 4" w:ascii="source serif 4" w:hAnsi="source serif 4"/>
          <w:color w:val="000000"/>
        </w:rPr>
        <w:t xml:space="preserve">Strengthen ordinary protective systems: stable relationships, material security, accessible services, responsive education, and opportunities for agency.</w:t>
      </w:r>
    </w:p>
    <w:p>
      <w:pPr>
        <w:spacing w:line="360" w:before="315" w:after="105" w:lineRule="auto"/>
        <w:ind w:left="-30"/>
        <w:jc w:val="left"/>
      </w:pPr>
      <w:bookmarkStart w:id="57" w:name="tantrums"/>
      <w:r>
        <w:rPr>
          <w:rFonts w:eastAsia="source serif 4" w:cs="source serif 4" w:ascii="source serif 4" w:hAnsi="source serif 4"/>
          <w:b/>
          <w:color w:val="000000"/>
          <w:sz w:val="24"/>
        </w:rPr>
        <w:t xml:space="preserve">Tantrums</w:t>
      </w:r>
      <w:bookmarkEnd w:id="57"/>
    </w:p>
    <w:p>
      <w:pPr>
        <w:spacing w:line="360" w:before="315" w:after="105" w:lineRule="auto"/>
        <w:ind w:left="-30"/>
        <w:jc w:val="left"/>
      </w:pPr>
      <w:bookmarkStart w:id="58" w:name="what_we_know_9"/>
      <w:r>
        <w:rPr>
          <w:rFonts w:eastAsia="source serif 4" w:cs="source serif 4" w:ascii="source serif 4" w:hAnsi="source serif 4"/>
          <w:b/>
          <w:color w:val="000000"/>
          <w:sz w:val="24"/>
        </w:rPr>
        <w:t xml:space="preserve">What We Know</w:t>
      </w:r>
      <w:bookmarkEnd w:id="58"/>
    </w:p>
    <w:p>
      <w:pPr>
        <w:spacing w:line="360" w:after="210" w:lineRule="auto"/>
      </w:pPr>
      <w:r>
        <w:rPr>
          <w:rFonts w:eastAsia="source serif 4" w:cs="source serif 4" w:ascii="source serif 4" w:hAnsi="source serif 4"/>
          <w:color w:val="000000"/>
        </w:rPr>
        <w:t xml:space="preserve">Tantrums are common expressions of high arousal, blocked goals, limited language, immature inhibitory control, and dependence on adults for regulation. Their developmental meaning depends on frequency, duration, predictability, destructiveness, recovery, and impairment rather than on the mere presence of temper loss.[^9]</w:t>
      </w:r>
    </w:p>
    <w:p>
      <w:pPr>
        <w:spacing w:line="360" w:before="315" w:after="105" w:lineRule="auto"/>
        <w:ind w:left="-30"/>
        <w:jc w:val="left"/>
      </w:pPr>
      <w:bookmarkStart w:id="59" w:name="how_confident_we_are_9"/>
      <w:r>
        <w:rPr>
          <w:rFonts w:eastAsia="source serif 4" w:cs="source serif 4" w:ascii="source serif 4" w:hAnsi="source serif 4"/>
          <w:b/>
          <w:color w:val="000000"/>
          <w:sz w:val="24"/>
        </w:rPr>
        <w:t xml:space="preserve">How Confident We Are</w:t>
      </w:r>
      <w:bookmarkEnd w:id="59"/>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normative tantrums;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clinical thresholds across cultures and measurement methods.</w:t>
      </w:r>
    </w:p>
    <w:p>
      <w:pPr>
        <w:spacing w:line="360" w:before="315" w:after="105" w:lineRule="auto"/>
        <w:ind w:left="-30"/>
        <w:jc w:val="left"/>
      </w:pPr>
      <w:bookmarkStart w:id="60" w:name="evidence_and_causal_assessment_8"/>
      <w:r>
        <w:rPr>
          <w:rFonts w:eastAsia="source serif 4" w:cs="source serif 4" w:ascii="source serif 4" w:hAnsi="source serif 4"/>
          <w:b/>
          <w:color w:val="000000"/>
          <w:sz w:val="24"/>
        </w:rPr>
        <w:t xml:space="preserve">Evidence and causal assessment</w:t>
      </w:r>
      <w:bookmarkEnd w:id="60"/>
    </w:p>
    <w:p>
      <w:pPr>
        <w:spacing w:line="360" w:after="210" w:lineRule="auto"/>
      </w:pPr>
      <w:r>
        <w:rPr>
          <w:rFonts w:eastAsia="source serif 4" w:cs="source serif 4" w:ascii="source serif 4" w:hAnsi="source serif 4"/>
          <w:color w:val="000000"/>
        </w:rPr>
        <w:t xml:space="preserve">The chapter should avoid treating tantrums as a direct assay of parenting. Longitudinal studies should separate child reactivity, adult response, environmental demand, sleep and health, language, and socioeconomic stress.</w:t>
      </w:r>
    </w:p>
    <w:p>
      <w:pPr>
        <w:spacing w:line="360" w:before="315" w:after="105" w:lineRule="auto"/>
        <w:ind w:left="-30"/>
        <w:jc w:val="left"/>
      </w:pPr>
      <w:bookmarkStart w:id="61" w:name="what_this_does_not_mean_9"/>
      <w:r>
        <w:rPr>
          <w:rFonts w:eastAsia="source serif 4" w:cs="source serif 4" w:ascii="source serif 4" w:hAnsi="source serif 4"/>
          <w:b/>
          <w:color w:val="000000"/>
          <w:sz w:val="24"/>
        </w:rPr>
        <w:t xml:space="preserve">What this does not mean</w:t>
      </w:r>
      <w:bookmarkEnd w:id="61"/>
    </w:p>
    <w:p>
      <w:pPr>
        <w:spacing w:line="360" w:after="210" w:lineRule="auto"/>
      </w:pPr>
      <w:r>
        <w:rPr>
          <w:rFonts w:eastAsia="source serif 4" w:cs="source serif 4" w:ascii="source serif 4" w:hAnsi="source serif 4"/>
          <w:color w:val="000000"/>
        </w:rPr>
        <w:t xml:space="preserve">Tantrums do not prove poor parenting, manipulation, pathology, or a fixed personality.</w:t>
      </w:r>
    </w:p>
    <w:p>
      <w:pPr>
        <w:spacing w:line="360" w:before="315" w:after="105" w:lineRule="auto"/>
        <w:ind w:left="-30"/>
        <w:jc w:val="left"/>
      </w:pPr>
      <w:bookmarkStart w:id="62" w:name="what_action_is_reasonably_justified_8"/>
      <w:r>
        <w:rPr>
          <w:rFonts w:eastAsia="source serif 4" w:cs="source serif 4" w:ascii="source serif 4" w:hAnsi="source serif 4"/>
          <w:b/>
          <w:color w:val="000000"/>
          <w:sz w:val="24"/>
        </w:rPr>
        <w:t xml:space="preserve">What action is reasonably justified</w:t>
      </w:r>
      <w:bookmarkEnd w:id="62"/>
    </w:p>
    <w:p>
      <w:pPr>
        <w:spacing w:line="360" w:after="210" w:lineRule="auto"/>
      </w:pPr>
      <w:r>
        <w:rPr>
          <w:rFonts w:eastAsia="source serif 4" w:cs="source serif 4" w:ascii="source serif 4" w:hAnsi="source serif 4"/>
          <w:color w:val="000000"/>
        </w:rPr>
        <w:t xml:space="preserve">Use developmentally informed descriptions; prioritize safety, predictable support, communication, and assessment when episodes are extreme, persistent, destructive, or impairing.</w:t>
      </w:r>
    </w:p>
    <w:p>
      <w:pPr>
        <w:spacing w:line="360" w:before="315" w:after="105" w:lineRule="auto"/>
        <w:ind w:left="-30"/>
        <w:jc w:val="left"/>
      </w:pPr>
      <w:bookmarkStart w:id="63" w:name="claim_register_with_certainty"/>
      <w:r>
        <w:rPr>
          <w:rFonts w:eastAsia="source serif 4" w:cs="source serif 4" w:ascii="source serif 4" w:hAnsi="source serif 4"/>
          <w:b/>
          <w:color w:val="000000"/>
          <w:sz w:val="24"/>
        </w:rPr>
        <w:t xml:space="preserve">Claim register with certainty</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Narrowest defensible 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Identification strength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Overall 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Caregivers and infants dynamically regulate one another; adult support is an important context for infant regulation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Observational, physiological, longitudinal; causal attribution remains limited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Regulatory capacities become more child-organized with age, but remain context-dependent and relational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and experimental tasks; mechanisms are mixed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Temperament contributes to variation in reactivity and control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multi-informant, some genetically informed 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Emotional development reflects transactions among biology, relationships, cognition, language, and environment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conceptual convergence; causal partitioning is difficult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Frustration and anger often arise from blocked goals and can recruit action or communication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 elicitation and observation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Fear and inhibition show developmental patterns and probabilistically predict anxiety 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meta-analysis; heterogeneous prediction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 language and understanding are associated with regulation; causal effects are domain- and age-specific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Randomized preschool studies plus correlational synthesis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 to 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Recovery is a distinct and developmentally relevant regulatory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Repeated-measures rationale; inconsistent operationalization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Resilience reflects interacting protective systems rather than invulnerability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and ecological synthesis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Tantrums are common in toddlerhood and vary dimensionally in clinical significance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Developmental and dimensional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Children differ substantially in emotional reactivity, control, expression, and recovery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Replicated across methods, but informant and context effects are substantial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Culture shapes emotion expression, interpretation, socialization, and display rules while some affective regularities may recur across contexts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Cross-cultural comparison; universality remains contested and construct-dependent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bl>
    <w:p>
      <w:pPr>
        <w:spacing w:lineRule="auto"/>
      </w:pPr>
    </w:p>
    <w:p>
      <w:pPr>
        <w:spacing w:line="360" w:before="315" w:after="105" w:lineRule="auto"/>
        <w:ind w:left="-30"/>
        <w:jc w:val="left"/>
      </w:pPr>
      <w:bookmarkStart w:id="64" w:name="intervention_evidence_matrix"/>
      <w:r>
        <w:rPr>
          <w:rFonts w:eastAsia="source serif 4" w:cs="source serif 4" w:ascii="source serif 4" w:hAnsi="source serif 4"/>
          <w:b/>
          <w:color w:val="000000"/>
          <w:sz w:val="24"/>
        </w:rPr>
        <w:t xml:space="preserve">Intervention evidence matrix</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 target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Approximate effect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Emotion-socialization parenting programs, ages 18 months–6 years 11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Meta-analysis of randomized trials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 emotional competence g = 0.44; child behavioral adjustment g = 0.34; parenting effects varied by outcome[^20]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Promising efficacy; not proof that parenting alone drives development; durability and scalability require separate testing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Emotion-oriented parental interventions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of 15 trials / 26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 externalizing post-treatment approximately d = 0.31; follow-up approximately d = 0.42, with greater heterogeneity at follow-up[^21]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Small average effects; follow-up findings require careful interpretation and replication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Preschool social-emotional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Meta-analytic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Universal programs approximately g = 0.35 overall; targeted programs approximately g = 0.48[^22]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Supports structured educational opportunities, but effects depend on delivery, control condition, and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Emotion-language conversations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Randomized preschool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Improved emotion comprehension; some studies found prosocial gains[</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17]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Supports language as a scaffold, not as a standalone cure for dysregulation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Interventions for behaviorally inhibited preschoolers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Meta-analysis of randomized trials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Reduced parent- and teacher-rated inhibition and anxiety; observer-rated inhibition change was not clear; anxiety-disorder risk was lower in pooled analyses[^11]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Risk reduction is more defensible than temperament elimination</w:t>
            </w:r>
          </w:p>
        </w:tc>
      </w:tr>
    </w:tbl>
    <w:p>
      <w:pPr>
        <w:spacing w:lineRule="auto"/>
      </w:pPr>
    </w:p>
    <w:p>
      <w:pPr>
        <w:spacing w:line="360" w:after="210" w:lineRule="auto"/>
      </w:pPr>
      <w:r>
        <w:rPr>
          <w:rFonts w:eastAsia="source serif 4" w:cs="source serif 4" w:ascii="source serif 4" w:hAnsi="source serif 4"/>
          <w:color w:val="000000"/>
        </w:rPr>
        <w:t xml:space="preserve">Efficacy should not be confused with real-world effectiveness. The research plan should code intervention intensity, provider training, adherence, cultural adaptation, attrition, active ingredients, institutional support, and whether outcomes are independently assessed. The most plausible shared ingredients are responsive adult behavior, emotion coaching, predictable practice, attention and behavior scaffolding, and improved caregiver well-being—not an abstract construct called “good parenting.”</w:t>
      </w:r>
    </w:p>
    <w:p>
      <w:pPr>
        <w:spacing w:line="360" w:before="315" w:after="105" w:lineRule="auto"/>
        <w:ind w:left="-30"/>
        <w:jc w:val="left"/>
      </w:pPr>
      <w:bookmarkStart w:id="65" w:name="developmental_timeline_use_as_a_r_fd7440"/>
      <w:r>
        <w:rPr>
          <w:rFonts w:eastAsia="source serif 4" w:cs="source serif 4" w:ascii="source serif 4" w:hAnsi="source serif 4"/>
          <w:b/>
          <w:color w:val="000000"/>
          <w:sz w:val="24"/>
        </w:rPr>
        <w:t xml:space="preserve">Developmental timeline: use as a research scaffold</w:t>
      </w:r>
      <w:bookmarkEnd w:id="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Better-supported developmental emphasis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Qualification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Rapid changes in arousal and affect; caregiver-supported regulation; early orientation and disengagement behaviors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describe infants as wholly without self-regulatory activity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Increasing social referencing, selective approach/withdrawal, separation and stranger-related distress in many contexts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Timing and expression vary across children and cultures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More goal-directed action, frustration, anger, mobility-based regulation, and reliance on adults during high arousal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Regulation is still heavily situational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18–24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Expanding emotion communication, emerging emotion labels, imitation and simple self-directed strategies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Language effects should not be overstated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Greater emotion understanding, attention shifting, inhibition, recovery, and use of simple strategies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Capacities remain fragile, uneven, and dependent on context</w:t>
            </w:r>
          </w:p>
        </w:tc>
      </w:tr>
    </w:tbl>
    <w:p>
      <w:pPr>
        <w:spacing w:lineRule="auto"/>
      </w:pPr>
    </w:p>
    <w:p>
      <w:pPr>
        <w:spacing w:line="360" w:after="210" w:lineRule="auto"/>
      </w:pPr>
      <w:r>
        <w:rPr>
          <w:rFonts w:eastAsia="source serif 4" w:cs="source serif 4" w:ascii="source serif 4" w:hAnsi="source serif 4"/>
          <w:color w:val="000000"/>
        </w:rPr>
        <w:t xml:space="preserve">These are broad research windows, not milestones or diagnostic cutoffs. Developmental trajectories are nonlinear, and the same behavior can have different meanings depending on arousal, relationship, demand, language, sleep, health, and cultural context.</w:t>
      </w:r>
    </w:p>
    <w:p>
      <w:pPr>
        <w:spacing w:line="360" w:before="315" w:after="105" w:lineRule="auto"/>
        <w:ind w:left="-30"/>
        <w:jc w:val="left"/>
      </w:pPr>
      <w:bookmarkStart w:id="66" w:name="cultural_and_measurement_audit"/>
      <w:r>
        <w:rPr>
          <w:rFonts w:eastAsia="source serif 4" w:cs="source serif 4" w:ascii="source serif 4" w:hAnsi="source serif 4"/>
          <w:b/>
          <w:color w:val="000000"/>
          <w:sz w:val="24"/>
        </w:rPr>
        <w:t xml:space="preserve">Cultural and measurement audit</w:t>
      </w:r>
      <w:bookmarkEnd w:id="66"/>
    </w:p>
    <w:p>
      <w:pPr>
        <w:spacing w:line="360" w:after="210" w:lineRule="auto"/>
      </w:pPr>
      <w:r>
        <w:rPr>
          <w:rFonts w:eastAsia="source serif 4" w:cs="source serif 4" w:ascii="source serif 4" w:hAnsi="source serif 4"/>
          <w:color w:val="000000"/>
        </w:rPr>
        <w:t xml:space="preserve">The chapter should make culture a design feature rather than a final subsection. Cross-cultural work finds both recurring affective patterns and meaningful differences in caregiver–infant affect, regulation strategy, emotional display, and interpretation. Research on facial-expression universality is especially sensitive to whether expressions are spontaneous or posed and whether emotion concepts are supplied by the task; some evidence supports broad regularities, while other evidence shows substantial conceptual and cultural variation.[</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12]</w:t>
      </w:r>
    </w:p>
    <w:p>
      <w:pPr>
        <w:spacing w:line="360" w:after="210" w:lineRule="auto"/>
      </w:pPr>
      <w:r>
        <w:rPr>
          <w:rFonts w:eastAsia="source serif 4" w:cs="source serif 4" w:ascii="source serif 4" w:hAnsi="source serif 4"/>
          <w:color w:val="000000"/>
        </w:rPr>
        <w:t xml:space="preserve">Every empirical claim should record:</w:t>
      </w:r>
    </w:p>
    <w:p>
      <w:pPr>
        <w:numPr>
          <w:ilvl w:val="0"/>
          <w:numId w:val="1"/>
        </w:numPr>
        <w:spacing w:line="360" w:before="105" w:after="105" w:lineRule="auto"/>
      </w:pPr>
      <w:r>
        <w:rPr>
          <w:rFonts w:eastAsia="source serif 4" w:cs="source serif 4" w:ascii="source serif 4" w:hAnsi="source serif 4"/>
          <w:color w:val="000000"/>
          <w:sz w:val="21"/>
        </w:rPr>
        <w:t xml:space="preserve">age, setting, culture, language, and socioeconomic context;</w:t>
      </w:r>
    </w:p>
    <w:p>
      <w:pPr>
        <w:numPr>
          <w:ilvl w:val="0"/>
          <w:numId w:val="1"/>
        </w:numPr>
        <w:spacing w:line="360" w:before="105" w:after="105" w:lineRule="auto"/>
      </w:pPr>
      <w:r>
        <w:rPr>
          <w:rFonts w:eastAsia="source serif 4" w:cs="source serif 4" w:ascii="source serif 4" w:hAnsi="source serif 4"/>
          <w:color w:val="000000"/>
          <w:sz w:val="21"/>
        </w:rPr>
        <w:t xml:space="preserve">parent report, teacher report, laboratory observation, physiological measure, device or time-series measure;</w:t>
      </w:r>
    </w:p>
    <w:p>
      <w:pPr>
        <w:numPr>
          <w:ilvl w:val="0"/>
          <w:numId w:val="1"/>
        </w:numPr>
        <w:spacing w:line="360" w:before="105" w:after="105" w:lineRule="auto"/>
      </w:pPr>
      <w:r>
        <w:rPr>
          <w:rFonts w:eastAsia="source serif 4" w:cs="source serif 4" w:ascii="source serif 4" w:hAnsi="source serif 4"/>
          <w:color w:val="000000"/>
          <w:sz w:val="21"/>
        </w:rPr>
        <w:t xml:space="preserve">whether the outcome is expression, internal state, behavior, social interpretation, or recovery;</w:t>
      </w:r>
    </w:p>
    <w:p>
      <w:pPr>
        <w:numPr>
          <w:ilvl w:val="0"/>
          <w:numId w:val="1"/>
        </w:numPr>
        <w:spacing w:line="360" w:before="105" w:after="105" w:lineRule="auto"/>
      </w:pPr>
      <w:r>
        <w:rPr>
          <w:rFonts w:eastAsia="source serif 4" w:cs="source serif 4" w:ascii="source serif 4" w:hAnsi="source serif 4"/>
          <w:color w:val="000000"/>
          <w:sz w:val="21"/>
        </w:rPr>
        <w:t xml:space="preserve">whether the design is cross-sectional, longitudinal, experimental, genetically informed, or intervention-based;</w:t>
      </w:r>
    </w:p>
    <w:p>
      <w:pPr>
        <w:numPr>
          <w:ilvl w:val="0"/>
          <w:numId w:val="1"/>
        </w:numPr>
        <w:spacing w:line="360" w:before="105" w:after="105" w:lineRule="auto"/>
      </w:pPr>
      <w:r>
        <w:rPr>
          <w:rFonts w:eastAsia="source serif 4" w:cs="source serif 4" w:ascii="source serif 4" w:hAnsi="source serif 4"/>
          <w:color w:val="000000"/>
          <w:sz w:val="21"/>
        </w:rPr>
        <w:t xml:space="preserve">who initiated the interaction and whether child-to-parent effects were modeled;</w:t>
      </w:r>
    </w:p>
    <w:p>
      <w:pPr>
        <w:numPr>
          <w:ilvl w:val="0"/>
          <w:numId w:val="1"/>
        </w:numPr>
        <w:spacing w:line="360" w:before="105" w:after="105" w:lineRule="auto"/>
      </w:pPr>
      <w:r>
        <w:rPr>
          <w:rFonts w:eastAsia="source serif 4" w:cs="source serif 4" w:ascii="source serif 4" w:hAnsi="source serif 4"/>
          <w:color w:val="000000"/>
          <w:sz w:val="21"/>
        </w:rPr>
        <w:t xml:space="preserve">attrition, selective recruitment, clinical oversampling, and missing data;</w:t>
      </w:r>
    </w:p>
    <w:p>
      <w:pPr>
        <w:numPr>
          <w:ilvl w:val="0"/>
          <w:numId w:val="1"/>
        </w:numPr>
        <w:spacing w:line="360" w:before="105" w:after="105" w:lineRule="auto"/>
      </w:pPr>
      <w:r>
        <w:rPr>
          <w:rFonts w:eastAsia="source serif 4" w:cs="source serif 4" w:ascii="source serif 4" w:hAnsi="source serif 4"/>
          <w:color w:val="000000"/>
          <w:sz w:val="21"/>
        </w:rPr>
        <w:t xml:space="preserve">whether the finding concerns association, prediction, contribution, prevention, or causation.</w:t>
      </w:r>
    </w:p>
    <w:p>
      <w:pPr>
        <w:spacing w:line="360" w:before="315" w:after="105" w:lineRule="auto"/>
        <w:ind w:left="-30"/>
        <w:jc w:val="left"/>
      </w:pPr>
      <w:bookmarkStart w:id="67" w:name="causal_maps_to_retain"/>
      <w:r>
        <w:rPr>
          <w:rFonts w:eastAsia="source serif 4" w:cs="source serif 4" w:ascii="source serif 4" w:hAnsi="source serif 4"/>
          <w:b/>
          <w:color w:val="000000"/>
          <w:sz w:val="24"/>
        </w:rPr>
        <w:t xml:space="preserve">Causal maps to retain</w:t>
      </w:r>
      <w:bookmarkEnd w:id="67"/>
    </w:p>
    <w:p>
      <w:pPr>
        <w:spacing w:line="360" w:before="315" w:after="105" w:lineRule="auto"/>
        <w:ind w:left="-30"/>
        <w:jc w:val="left"/>
      </w:pPr>
      <w:bookmarkStart w:id="68" w:name="map_a_emotional_development"/>
      <w:r>
        <w:rPr>
          <w:rFonts w:eastAsia="source serif 4" w:cs="source serif 4" w:ascii="source serif 4" w:hAnsi="source serif 4"/>
          <w:b/>
          <w:color w:val="000000"/>
          <w:sz w:val="24"/>
        </w:rPr>
        <w:t xml:space="preserve">Map A: Emotional development</w:t>
      </w:r>
      <w:bookmarkEnd w:id="68"/>
    </w:p>
    <w:p>
      <w:pPr>
        <w:spacing w:line="360" w:after="210" w:lineRule="auto"/>
      </w:pPr>
      <w:r>
        <w:rPr>
          <w:rFonts w:eastAsia="source serif 4" w:cs="source serif 4" w:ascii="source serif 4" w:hAnsi="source serif 4"/>
          <w:color w:val="000000"/>
        </w:rPr>
        <w:t xml:space="preserve">Biological reactivity and temperament ↔ caregiver and social responses ↔ attention, language, cognition, and learning ↔ cultural and material environment → changing emotional trajectories.</w:t>
      </w:r>
    </w:p>
    <w:p>
      <w:pPr>
        <w:spacing w:line="360" w:before="315" w:after="105" w:lineRule="auto"/>
        <w:ind w:left="-30"/>
        <w:jc w:val="left"/>
      </w:pPr>
      <w:bookmarkStart w:id="69" w:name="map_b_co_regulation"/>
      <w:r>
        <w:rPr>
          <w:rFonts w:eastAsia="source serif 4" w:cs="source serif 4" w:ascii="source serif 4" w:hAnsi="source serif 4"/>
          <w:b/>
          <w:color w:val="000000"/>
          <w:sz w:val="24"/>
        </w:rPr>
        <w:t xml:space="preserve">Map B: Co-regulation</w:t>
      </w:r>
      <w:bookmarkEnd w:id="69"/>
    </w:p>
    <w:p>
      <w:pPr>
        <w:spacing w:line="360" w:after="210" w:lineRule="auto"/>
      </w:pPr>
      <w:r>
        <w:rPr>
          <w:rFonts w:eastAsia="source serif 4" w:cs="source serif 4" w:ascii="source serif 4" w:hAnsi="source serif 4"/>
          <w:color w:val="000000"/>
        </w:rPr>
        <w:t xml:space="preserve">Child signal/state ↔ caregiver response → altered arousal and meaning → repeated opportunities for participation and strategy use → increasing but incomplete child-organized regulation.</w:t>
      </w:r>
    </w:p>
    <w:p>
      <w:pPr>
        <w:spacing w:line="360" w:before="315" w:after="105" w:lineRule="auto"/>
        <w:ind w:left="-30"/>
        <w:jc w:val="left"/>
      </w:pPr>
      <w:bookmarkStart w:id="70" w:name="map_c_language_and_emotion"/>
      <w:r>
        <w:rPr>
          <w:rFonts w:eastAsia="source serif 4" w:cs="source serif 4" w:ascii="source serif 4" w:hAnsi="source serif 4"/>
          <w:b/>
          <w:color w:val="000000"/>
          <w:sz w:val="24"/>
        </w:rPr>
        <w:t xml:space="preserve">Map C: Language and emotion</w:t>
      </w:r>
      <w:bookmarkEnd w:id="70"/>
    </w:p>
    <w:p>
      <w:pPr>
        <w:spacing w:line="360" w:after="210" w:lineRule="auto"/>
      </w:pPr>
      <w:r>
        <w:rPr>
          <w:rFonts w:eastAsia="source serif 4" w:cs="source serif 4" w:ascii="source serif 4" w:hAnsi="source serif 4"/>
          <w:color w:val="000000"/>
        </w:rPr>
        <w:t xml:space="preserve">Affective event → adult/child attention and labeling → shared explanation and memory → possible improved discrimination, communication, and strategy selection. The pathway is bidirectional: language development can support regulation, while regulation can support participation in language interaction.</w:t>
      </w:r>
    </w:p>
    <w:p>
      <w:pPr>
        <w:spacing w:line="360" w:before="315" w:after="105" w:lineRule="auto"/>
        <w:ind w:left="-30"/>
        <w:jc w:val="left"/>
      </w:pPr>
      <w:bookmarkStart w:id="71" w:name="map_d_resilience"/>
      <w:r>
        <w:rPr>
          <w:rFonts w:eastAsia="source serif 4" w:cs="source serif 4" w:ascii="source serif 4" w:hAnsi="source serif 4"/>
          <w:b/>
          <w:color w:val="000000"/>
          <w:sz w:val="24"/>
        </w:rPr>
        <w:t xml:space="preserve">Map D: Resilience</w:t>
      </w:r>
      <w:bookmarkEnd w:id="71"/>
    </w:p>
    <w:p>
      <w:pPr>
        <w:spacing w:line="360" w:after="210" w:lineRule="auto"/>
      </w:pPr>
      <w:r>
        <w:rPr>
          <w:rFonts w:eastAsia="source serif 4" w:cs="source serif 4" w:ascii="source serif 4" w:hAnsi="source serif 4"/>
          <w:color w:val="000000"/>
        </w:rPr>
        <w:t xml:space="preserve">Adversity × child characteristics × relationships × material and institutional resources → domain-specific adaptation or difficulty over time.</w:t>
      </w:r>
    </w:p>
    <w:p>
      <w:pPr>
        <w:spacing w:line="360" w:before="315" w:after="105" w:lineRule="auto"/>
        <w:ind w:left="-30"/>
        <w:jc w:val="left"/>
      </w:pPr>
      <w:bookmarkStart w:id="72" w:name="map_e_temperament"/>
      <w:r>
        <w:rPr>
          <w:rFonts w:eastAsia="source serif 4" w:cs="source serif 4" w:ascii="source serif 4" w:hAnsi="source serif 4"/>
          <w:b/>
          <w:color w:val="000000"/>
          <w:sz w:val="24"/>
        </w:rPr>
        <w:t xml:space="preserve">Map E: Temperament</w:t>
      </w:r>
      <w:bookmarkEnd w:id="72"/>
    </w:p>
    <w:p>
      <w:pPr>
        <w:spacing w:line="360" w:after="210" w:lineRule="auto"/>
      </w:pPr>
      <w:r>
        <w:rPr>
          <w:rFonts w:eastAsia="source serif 4" w:cs="source serif 4" w:ascii="source serif 4" w:hAnsi="source serif 4"/>
          <w:color w:val="000000"/>
        </w:rPr>
        <w:t xml:space="preserve">Temperamental reactivity/control × goodness of fit, socialization, opportunity, and stress exposure → probabilistic pathways, not fixed outcomes.</w:t>
      </w:r>
    </w:p>
    <w:p>
      <w:pPr>
        <w:spacing w:line="360" w:before="315" w:after="105" w:lineRule="auto"/>
        <w:ind w:left="-30"/>
        <w:jc w:val="left"/>
      </w:pPr>
      <w:bookmarkStart w:id="73" w:name="replication_and_controversy_register"/>
      <w:r>
        <w:rPr>
          <w:rFonts w:eastAsia="source serif 4" w:cs="source serif 4" w:ascii="source serif 4" w:hAnsi="source serif 4"/>
          <w:b/>
          <w:color w:val="000000"/>
          <w:sz w:val="24"/>
        </w:rPr>
        <w:t xml:space="preserve">Replication and controversy register</w:t>
      </w:r>
      <w:bookmarkEnd w:id="73"/>
    </w:p>
    <w:p>
      <w:pPr>
        <w:numPr>
          <w:ilvl w:val="0"/>
          <w:numId w:val="2"/>
        </w:numPr>
        <w:spacing w:line="360" w:before="105" w:after="105" w:lineRule="auto"/>
      </w:pPr>
      <w:r>
        <w:rPr>
          <w:rFonts w:eastAsia="source serif 4" w:cs="source serif 4" w:ascii="source serif 4" w:hAnsi="source serif 4"/>
          <w:b/>
          <w:color w:val="000000"/>
          <w:sz w:val="21"/>
        </w:rPr>
        <w:t xml:space="preserve">Emotion universality:</w:t>
      </w:r>
      <w:r>
        <w:rPr>
          <w:rFonts w:eastAsia="source serif 4" w:cs="source serif 4" w:ascii="source serif 4" w:hAnsi="source serif 4"/>
          <w:color w:val="000000"/>
          <w:sz w:val="21"/>
        </w:rPr>
        <w:t xml:space="preserve"> distinguish spontaneous expression, posed expression, recognition, interpretation, and regulation. Do not let evidence in one domain settle the others.</w:t>
      </w:r>
    </w:p>
    <w:p>
      <w:pPr>
        <w:numPr>
          <w:ilvl w:val="0"/>
          <w:numId w:val="2"/>
        </w:numPr>
        <w:spacing w:line="360" w:before="105" w:after="105" w:lineRule="auto"/>
      </w:pPr>
      <w:r>
        <w:rPr>
          <w:rFonts w:eastAsia="source serif 4" w:cs="source serif 4" w:ascii="source serif 4" w:hAnsi="source serif 4"/>
          <w:b/>
          <w:color w:val="000000"/>
          <w:sz w:val="21"/>
        </w:rPr>
        <w:t xml:space="preserve">Temperament stability:</w:t>
      </w:r>
      <w:r>
        <w:rPr>
          <w:rFonts w:eastAsia="source serif 4" w:cs="source serif 4" w:ascii="source serif 4" w:hAnsi="source serif 4"/>
          <w:color w:val="000000"/>
          <w:sz w:val="21"/>
        </w:rPr>
        <w:t xml:space="preserve"> report rank-order stability separately from mean-level change and avoid treating moderate stability as immutability.</w:t>
      </w:r>
    </w:p>
    <w:p>
      <w:pPr>
        <w:numPr>
          <w:ilvl w:val="0"/>
          <w:numId w:val="2"/>
        </w:numPr>
        <w:spacing w:line="360" w:before="105" w:after="105" w:lineRule="auto"/>
      </w:pPr>
      <w:r>
        <w:rPr>
          <w:rFonts w:eastAsia="source serif 4" w:cs="source serif 4" w:ascii="source serif 4" w:hAnsi="source serif 4"/>
          <w:b/>
          <w:color w:val="000000"/>
          <w:sz w:val="21"/>
        </w:rPr>
        <w:t xml:space="preserve">Internalization:</w:t>
      </w:r>
      <w:r>
        <w:rPr>
          <w:rFonts w:eastAsia="source serif 4" w:cs="source serif 4" w:ascii="source serif 4" w:hAnsi="source serif 4"/>
          <w:color w:val="000000"/>
          <w:sz w:val="21"/>
        </w:rPr>
        <w:t xml:space="preserve"> treat it as a mechanistic hypothesis requiring longitudinal and intervention evidence, not as a directly observed fact.</w:t>
      </w:r>
    </w:p>
    <w:p>
      <w:pPr>
        <w:numPr>
          <w:ilvl w:val="0"/>
          <w:numId w:val="2"/>
        </w:numPr>
        <w:spacing w:line="360" w:before="105" w:after="105" w:lineRule="auto"/>
      </w:pPr>
      <w:r>
        <w:rPr>
          <w:rFonts w:eastAsia="source serif 4" w:cs="source serif 4" w:ascii="source serif 4" w:hAnsi="source serif 4"/>
          <w:b/>
          <w:color w:val="000000"/>
          <w:sz w:val="21"/>
        </w:rPr>
        <w:t xml:space="preserve">Self-regulation measurement:</w:t>
      </w:r>
      <w:r>
        <w:rPr>
          <w:rFonts w:eastAsia="source serif 4" w:cs="source serif 4" w:ascii="source serif 4" w:hAnsi="source serif 4"/>
          <w:color w:val="000000"/>
          <w:sz w:val="21"/>
        </w:rPr>
        <w:t xml:space="preserve"> separate child capacity from adult ratings, compliance, emotional suppression, and context-specific performance.</w:t>
      </w:r>
    </w:p>
    <w:p>
      <w:pPr>
        <w:numPr>
          <w:ilvl w:val="0"/>
          <w:numId w:val="2"/>
        </w:numPr>
        <w:spacing w:line="360" w:before="105" w:after="105" w:lineRule="auto"/>
      </w:pPr>
      <w:r>
        <w:rPr>
          <w:rFonts w:eastAsia="source serif 4" w:cs="source serif 4" w:ascii="source serif 4" w:hAnsi="source serif 4"/>
          <w:b/>
          <w:color w:val="000000"/>
          <w:sz w:val="21"/>
        </w:rPr>
        <w:t xml:space="preserve">Emotion coaching:</w:t>
      </w:r>
      <w:r>
        <w:rPr>
          <w:rFonts w:eastAsia="source serif 4" w:cs="source serif 4" w:ascii="source serif 4" w:hAnsi="source serif 4"/>
          <w:color w:val="000000"/>
          <w:sz w:val="21"/>
        </w:rPr>
        <w:t xml:space="preserve"> test active ingredients and independent outcomes; parent-report gains may partly reflect expectancy.</w:t>
      </w:r>
    </w:p>
    <w:p>
      <w:pPr>
        <w:numPr>
          <w:ilvl w:val="0"/>
          <w:numId w:val="2"/>
        </w:numPr>
        <w:spacing w:line="360" w:before="105" w:after="105" w:lineRule="auto"/>
      </w:pPr>
      <w:r>
        <w:rPr>
          <w:rFonts w:eastAsia="source serif 4" w:cs="source serif 4" w:ascii="source serif 4" w:hAnsi="source serif 4"/>
          <w:b/>
          <w:color w:val="000000"/>
          <w:sz w:val="21"/>
        </w:rPr>
        <w:t xml:space="preserve">Resilience:</w:t>
      </w:r>
      <w:r>
        <w:rPr>
          <w:rFonts w:eastAsia="source serif 4" w:cs="source serif 4" w:ascii="source serif 4" w:hAnsi="source serif 4"/>
          <w:color w:val="000000"/>
          <w:sz w:val="21"/>
        </w:rPr>
        <w:t xml:space="preserve"> define the adversity, developmental domain, comparison group, and time horizon before claiming resilience.</w:t>
      </w:r>
    </w:p>
    <w:p>
      <w:pPr>
        <w:numPr>
          <w:ilvl w:val="0"/>
          <w:numId w:val="2"/>
        </w:numPr>
        <w:spacing w:line="360" w:before="105" w:after="105" w:lineRule="auto"/>
      </w:pPr>
      <w:r>
        <w:rPr>
          <w:rFonts w:eastAsia="source serif 4" w:cs="source serif 4" w:ascii="source serif 4" w:hAnsi="source serif 4"/>
          <w:b/>
          <w:color w:val="000000"/>
          <w:sz w:val="21"/>
        </w:rPr>
        <w:t xml:space="preserve">Tantrums:</w:t>
      </w:r>
      <w:r>
        <w:rPr>
          <w:rFonts w:eastAsia="source serif 4" w:cs="source serif 4" w:ascii="source serif 4" w:hAnsi="source serif 4"/>
          <w:color w:val="000000"/>
          <w:sz w:val="21"/>
        </w:rPr>
        <w:t xml:space="preserve"> use dimensional and culturally sensitive thresholds; investigate persistence and impairment rather than count alone.</w:t>
      </w:r>
    </w:p>
    <w:p>
      <w:pPr>
        <w:numPr>
          <w:ilvl w:val="0"/>
          <w:numId w:val="2"/>
        </w:numPr>
        <w:spacing w:line="360" w:before="105" w:after="105" w:lineRule="auto"/>
      </w:pPr>
      <w:r>
        <w:rPr>
          <w:rFonts w:eastAsia="source serif 4" w:cs="source serif 4" w:ascii="source serif 4" w:hAnsi="source serif 4"/>
          <w:b/>
          <w:color w:val="000000"/>
          <w:sz w:val="21"/>
        </w:rPr>
        <w:t xml:space="preserve">Neurohype:</w:t>
      </w:r>
      <w:r>
        <w:rPr>
          <w:rFonts w:eastAsia="source serif 4" w:cs="source serif 4" w:ascii="source serif 4" w:hAnsi="source serif 4"/>
          <w:color w:val="000000"/>
          <w:sz w:val="21"/>
        </w:rPr>
        <w:t xml:space="preserve"> physiological synchrony or neural correlates are not direct measures of emotional meaning, attachment quality, or parenting success.</w:t>
      </w:r>
    </w:p>
    <w:p>
      <w:pPr>
        <w:numPr>
          <w:ilvl w:val="0"/>
          <w:numId w:val="2"/>
        </w:numPr>
        <w:spacing w:line="360" w:before="105" w:after="105" w:lineRule="auto"/>
      </w:pPr>
      <w:r>
        <w:rPr>
          <w:rFonts w:eastAsia="source serif 4" w:cs="source serif 4" w:ascii="source serif 4" w:hAnsi="source serif 4"/>
          <w:b/>
          <w:color w:val="000000"/>
          <w:sz w:val="21"/>
        </w:rPr>
        <w:t xml:space="preserve">Translation bias:</w:t>
      </w:r>
      <w:r>
        <w:rPr>
          <w:rFonts w:eastAsia="source serif 4" w:cs="source serif 4" w:ascii="source serif 4" w:hAnsi="source serif 4"/>
          <w:color w:val="000000"/>
          <w:sz w:val="21"/>
        </w:rPr>
        <w:t xml:space="preserve"> do not turn small average group effects into universal family prescriptions.</w:t>
      </w:r>
    </w:p>
    <w:p>
      <w:pPr>
        <w:spacing w:line="360" w:before="315" w:after="105" w:lineRule="auto"/>
        <w:ind w:left="-30"/>
        <w:jc w:val="left"/>
      </w:pPr>
      <w:bookmarkStart w:id="74" w:name="what_chapter_9_must_not_infer"/>
      <w:r>
        <w:rPr>
          <w:rFonts w:eastAsia="source serif 4" w:cs="source serif 4" w:ascii="source serif 4" w:hAnsi="source serif 4"/>
          <w:b/>
          <w:color w:val="000000"/>
          <w:sz w:val="24"/>
        </w:rPr>
        <w:t xml:space="preserve">What Chapter 9 must not infer</w:t>
      </w:r>
      <w:bookmarkEnd w:id="74"/>
    </w:p>
    <w:p>
      <w:pPr>
        <w:spacing w:line="360" w:after="210" w:lineRule="auto"/>
      </w:pPr>
      <w:r>
        <w:rPr>
          <w:rFonts w:eastAsia="source serif 4" w:cs="source serif 4" w:ascii="source serif 4" w:hAnsi="source serif 4"/>
          <w:color w:val="000000"/>
        </w:rPr>
        <w:t xml:space="preserve">The chapter should explicitly reject the following inferences:</w:t>
      </w:r>
    </w:p>
    <w:p>
      <w:pPr>
        <w:numPr>
          <w:ilvl w:val="0"/>
          <w:numId w:val="3"/>
        </w:numPr>
        <w:spacing w:line="360" w:before="105" w:after="105" w:lineRule="auto"/>
      </w:pPr>
      <w:r>
        <w:rPr>
          <w:rFonts w:eastAsia="source serif 4" w:cs="source serif 4" w:ascii="source serif 4" w:hAnsi="source serif 4"/>
          <w:color w:val="000000"/>
          <w:sz w:val="21"/>
        </w:rPr>
        <w:t xml:space="preserve">Emotional expression is weakness or dysregulation.</w:t>
      </w:r>
    </w:p>
    <w:p>
      <w:pPr>
        <w:numPr>
          <w:ilvl w:val="0"/>
          <w:numId w:val="3"/>
        </w:numPr>
        <w:spacing w:line="360" w:before="105" w:after="105" w:lineRule="auto"/>
      </w:pPr>
      <w:r>
        <w:rPr>
          <w:rFonts w:eastAsia="source serif 4" w:cs="source serif 4" w:ascii="source serif 4" w:hAnsi="source serif 4"/>
          <w:color w:val="000000"/>
          <w:sz w:val="21"/>
        </w:rPr>
        <w:t xml:space="preserve">Regulation means suppression, obedience, or constant calm.</w:t>
      </w:r>
    </w:p>
    <w:p>
      <w:pPr>
        <w:numPr>
          <w:ilvl w:val="0"/>
          <w:numId w:val="3"/>
        </w:numPr>
        <w:spacing w:line="360" w:before="105" w:after="105" w:lineRule="auto"/>
      </w:pPr>
      <w:r>
        <w:rPr>
          <w:rFonts w:eastAsia="source serif 4" w:cs="source serif 4" w:ascii="source serif 4" w:hAnsi="source serif 4"/>
          <w:color w:val="000000"/>
          <w:sz w:val="21"/>
        </w:rPr>
        <w:t xml:space="preserve">A difficult temperament equals poor parenting or poor outcome.</w:t>
      </w:r>
    </w:p>
    <w:p>
      <w:pPr>
        <w:numPr>
          <w:ilvl w:val="0"/>
          <w:numId w:val="3"/>
        </w:numPr>
        <w:spacing w:line="360" w:before="105" w:after="105" w:lineRule="auto"/>
      </w:pPr>
      <w:r>
        <w:rPr>
          <w:rFonts w:eastAsia="source serif 4" w:cs="source serif 4" w:ascii="source serif 4" w:hAnsi="source serif 4"/>
          <w:color w:val="000000"/>
          <w:sz w:val="21"/>
        </w:rPr>
        <w:t xml:space="preserve">Tantrums indicate manipulation or relational failure.</w:t>
      </w:r>
    </w:p>
    <w:p>
      <w:pPr>
        <w:numPr>
          <w:ilvl w:val="0"/>
          <w:numId w:val="3"/>
        </w:numPr>
        <w:spacing w:line="360" w:before="105" w:after="105" w:lineRule="auto"/>
      </w:pPr>
      <w:r>
        <w:rPr>
          <w:rFonts w:eastAsia="source serif 4" w:cs="source serif 4" w:ascii="source serif 4" w:hAnsi="source serif 4"/>
          <w:color w:val="000000"/>
          <w:sz w:val="21"/>
        </w:rPr>
        <w:t xml:space="preserve">Anxiety risk markers are diagnoses or fixed futures.</w:t>
      </w:r>
    </w:p>
    <w:p>
      <w:pPr>
        <w:numPr>
          <w:ilvl w:val="0"/>
          <w:numId w:val="3"/>
        </w:numPr>
        <w:spacing w:line="360" w:before="105" w:after="105" w:lineRule="auto"/>
      </w:pPr>
      <w:r>
        <w:rPr>
          <w:rFonts w:eastAsia="source serif 4" w:cs="source serif 4" w:ascii="source serif 4" w:hAnsi="source serif 4"/>
          <w:color w:val="000000"/>
          <w:sz w:val="21"/>
        </w:rPr>
        <w:t xml:space="preserve">Resilience means invulnerability or absence of cost.</w:t>
      </w:r>
    </w:p>
    <w:p>
      <w:pPr>
        <w:numPr>
          <w:ilvl w:val="0"/>
          <w:numId w:val="3"/>
        </w:numPr>
        <w:spacing w:line="360" w:before="105" w:after="105" w:lineRule="auto"/>
      </w:pPr>
      <w:r>
        <w:rPr>
          <w:rFonts w:eastAsia="source serif 4" w:cs="source serif 4" w:ascii="source serif 4" w:hAnsi="source serif 4"/>
          <w:color w:val="000000"/>
          <w:sz w:val="21"/>
        </w:rPr>
        <w:t xml:space="preserve">Positive emotion is developmentally superior in every context.</w:t>
      </w:r>
    </w:p>
    <w:p>
      <w:pPr>
        <w:numPr>
          <w:ilvl w:val="0"/>
          <w:numId w:val="3"/>
        </w:numPr>
        <w:spacing w:line="360" w:before="105" w:after="105" w:lineRule="auto"/>
      </w:pPr>
      <w:r>
        <w:rPr>
          <w:rFonts w:eastAsia="source serif 4" w:cs="source serif 4" w:ascii="source serif 4" w:hAnsi="source serif 4"/>
          <w:color w:val="000000"/>
          <w:sz w:val="21"/>
        </w:rPr>
        <w:t xml:space="preserve">Self-regulation eliminates dependence on others.</w:t>
      </w:r>
    </w:p>
    <w:p>
      <w:pPr>
        <w:numPr>
          <w:ilvl w:val="0"/>
          <w:numId w:val="3"/>
        </w:numPr>
        <w:spacing w:line="360" w:before="105" w:after="105" w:lineRule="auto"/>
      </w:pPr>
      <w:r>
        <w:rPr>
          <w:rFonts w:eastAsia="source serif 4" w:cs="source serif 4" w:ascii="source serif 4" w:hAnsi="source serif 4"/>
          <w:color w:val="000000"/>
          <w:sz w:val="21"/>
        </w:rPr>
        <w:t xml:space="preserve">Parenting quality alone explains emotional development.</w:t>
      </w:r>
    </w:p>
    <w:p>
      <w:pPr>
        <w:numPr>
          <w:ilvl w:val="0"/>
          <w:numId w:val="3"/>
        </w:numPr>
        <w:spacing w:line="360" w:before="105" w:after="105" w:lineRule="auto"/>
      </w:pPr>
      <w:r>
        <w:rPr>
          <w:rFonts w:eastAsia="source serif 4" w:cs="source serif 4" w:ascii="source serif 4" w:hAnsi="source serif 4"/>
          <w:color w:val="000000"/>
          <w:sz w:val="21"/>
        </w:rPr>
        <w:t xml:space="preserve">Emotional milestones predict a fixed life course.</w:t>
      </w:r>
    </w:p>
    <w:p>
      <w:pPr>
        <w:numPr>
          <w:ilvl w:val="0"/>
          <w:numId w:val="3"/>
        </w:numPr>
        <w:spacing w:line="360" w:before="105" w:after="105" w:lineRule="auto"/>
      </w:pPr>
      <w:r>
        <w:rPr>
          <w:rFonts w:eastAsia="source serif 4" w:cs="source serif 4" w:ascii="source serif 4" w:hAnsi="source serif 4"/>
          <w:color w:val="000000"/>
          <w:sz w:val="21"/>
        </w:rPr>
        <w:t xml:space="preserve">A statistically significant intervention effect guarantees meaningful change for every child.</w:t>
      </w:r>
    </w:p>
    <w:p>
      <w:pPr>
        <w:numPr>
          <w:ilvl w:val="0"/>
          <w:numId w:val="3"/>
        </w:numPr>
        <w:spacing w:line="360" w:before="105" w:after="105" w:lineRule="auto"/>
      </w:pPr>
      <w:r>
        <w:rPr>
          <w:rFonts w:eastAsia="source serif 4" w:cs="source serif 4" w:ascii="source serif 4" w:hAnsi="source serif 4"/>
          <w:color w:val="000000"/>
          <w:sz w:val="21"/>
        </w:rPr>
        <w:t xml:space="preserve">Evidence from preschoolers can be transferred unchanged to infants or toddlers.</w:t>
      </w:r>
    </w:p>
    <w:p>
      <w:pPr>
        <w:spacing w:line="360" w:before="315" w:after="105" w:lineRule="auto"/>
        <w:ind w:left="-30"/>
        <w:jc w:val="left"/>
      </w:pPr>
      <w:bookmarkStart w:id="75" w:name="parent_facing_translation_matrix"/>
      <w:r>
        <w:rPr>
          <w:rFonts w:eastAsia="source serif 4" w:cs="source serif 4" w:ascii="source serif 4" w:hAnsi="source serif 4"/>
          <w:b/>
          <w:color w:val="000000"/>
          <w:sz w:val="24"/>
        </w:rPr>
        <w:t xml:space="preserve">Parent-facing translation matrix</w:t>
      </w:r>
      <w:bookmarkEnd w:id="7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conclusion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Proportionate translation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Children rely on adults during high arousal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 and reconnection are developmental resources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calm parent guarantees a calm child”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Regulation grows gradually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Expect uneven capacity and practice over 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regulated child should be able to control feelings”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Temperament matters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Adjust demands and support without labeling destiny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“This is just who the child 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can scaffold emotion understanding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 explain, and listen when useful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“Naming always stops the feeling”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Recovery matters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Value repair and return to connection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distress is the goal”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Tantrums are dimensional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 at intensity, duration, safety, impairment, and recovery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“Tantrums prove bad parenting”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Resilience is multisystemic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relationships, resources, and opportunities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“Children should become stronger through adversity”</w:t>
            </w:r>
          </w:p>
        </w:tc>
      </w:tr>
    </w:tbl>
    <w:p>
      <w:pPr>
        <w:spacing w:lineRule="auto"/>
      </w:pPr>
    </w:p>
    <w:p>
      <w:pPr>
        <w:spacing w:line="360" w:before="315" w:after="105" w:lineRule="auto"/>
        <w:ind w:left="-30"/>
        <w:jc w:val="left"/>
      </w:pPr>
      <w:bookmarkStart w:id="76" w:name="drafting_endpoint"/>
      <w:r>
        <w:rPr>
          <w:rFonts w:eastAsia="source serif 4" w:cs="source serif 4" w:ascii="source serif 4" w:hAnsi="source serif 4"/>
          <w:b/>
          <w:color w:val="000000"/>
          <w:sz w:val="24"/>
        </w:rPr>
        <w:t xml:space="preserve">Drafting endpoint</w:t>
      </w:r>
      <w:bookmarkEnd w:id="76"/>
    </w:p>
    <w:p>
      <w:pPr>
        <w:spacing w:line="360" w:after="210" w:lineRule="auto"/>
      </w:pPr>
      <w:r>
        <w:rPr>
          <w:rFonts w:eastAsia="source serif 4" w:cs="source serif 4" w:ascii="source serif 4" w:hAnsi="source serif 4"/>
          <w:color w:val="000000"/>
        </w:rPr>
        <w:t xml:space="preserve">A defensible synthesis is:</w:t>
      </w:r>
    </w:p>
    <w:p>
      <w:pPr>
        <w:spacing w:line="360" w:after="210" w:lineRule="auto"/>
        <w:ind w:left="630"/>
      </w:pPr>
      <w:r>
        <w:rPr>
          <w:rFonts w:eastAsia="source serif 4" w:cs="source serif 4" w:ascii="source serif 4" w:hAnsi="source serif 4"/>
          <w:color w:val="000000"/>
        </w:rPr>
        <w:t xml:space="preserve">Human emotional life begins as a relational and bodily process, not as a fully independent skill. Infants contribute active regulatory behaviors, but caregivers and other social partners help organize arousal, attention, safety, and meaning. Across the first three years, children increasingly recognize emotional states, communicate needs, shift attention, use simple strategies, inhibit some actions, and recover with less direct assistance in some contexts. These changes reflect transactions among temperament, maturation, language, cognition, relationships, culture, and material conditions. Self-regulation is therefore not the replacement of co-regulation or dependence with independence; it is an expanding capacity that develops within relationships and remains supported by them.</w:t>
      </w:r>
    </w:p>
    <w:p>
      <w:pPr>
        <w:spacing w:line="360" w:after="210" w:lineRule="auto"/>
      </w:pPr>
      <w:r>
        <w:rPr>
          <w:rFonts w:eastAsia="source serif 4" w:cs="source serif 4" w:ascii="source serif 4" w:hAnsi="source serif 4"/>
          <w:color w:val="000000"/>
        </w:rPr>
        <w:t xml:space="preserve">This endpoint is scientifically safer than saying that children simply internalize caregiver calm. The latter may be retained as interpretive language in the Art section, provided the text clearly marks it as a metaphor grounded in, but not identical to, the empirical evidence.</w:t>
      </w:r>
    </w:p>
    <w:p>
      <w:pPr>
        <w:spacing w:line="360" w:before="315" w:after="105" w:lineRule="auto"/>
        <w:ind w:left="-30"/>
        <w:jc w:val="left"/>
      </w:pPr>
      <w:bookmarkStart w:id="77" w:name="research_priorities_before_drafting"/>
      <w:r>
        <w:rPr>
          <w:rFonts w:eastAsia="source serif 4" w:cs="source serif 4" w:ascii="source serif 4" w:hAnsi="source serif 4"/>
          <w:b/>
          <w:color w:val="000000"/>
          <w:sz w:val="24"/>
        </w:rPr>
        <w:t xml:space="preserve">Research priorities before drafting</w:t>
      </w:r>
      <w:bookmarkEnd w:id="77"/>
    </w:p>
    <w:p>
      <w:pPr>
        <w:numPr>
          <w:ilvl w:val="0"/>
          <w:numId w:val="4"/>
        </w:numPr>
        <w:spacing w:line="360" w:before="105" w:after="105" w:lineRule="auto"/>
      </w:pPr>
      <w:r>
        <w:rPr>
          <w:rFonts w:eastAsia="source serif 4" w:cs="source serif 4" w:ascii="source serif 4" w:hAnsi="source serif 4"/>
          <w:color w:val="000000"/>
          <w:sz w:val="21"/>
        </w:rPr>
        <w:t xml:space="preserve">Build a source table separating theory, observational evidence, longitudinal prediction, causal intervention, and implementation evidence.</w:t>
      </w:r>
    </w:p>
    <w:p>
      <w:pPr>
        <w:numPr>
          <w:ilvl w:val="0"/>
          <w:numId w:val="4"/>
        </w:numPr>
        <w:spacing w:line="360" w:before="105" w:after="105" w:lineRule="auto"/>
      </w:pPr>
      <w:r>
        <w:rPr>
          <w:rFonts w:eastAsia="source serif 4" w:cs="source serif 4" w:ascii="source serif 4" w:hAnsi="source serif 4"/>
          <w:color w:val="000000"/>
          <w:sz w:val="21"/>
        </w:rPr>
        <w:t xml:space="preserve">Retrieve primary studies for caregiver–infant physiological and behavioral co-regulation, especially diverse cultural samples.</w:t>
      </w:r>
    </w:p>
    <w:p>
      <w:pPr>
        <w:numPr>
          <w:ilvl w:val="0"/>
          <w:numId w:val="4"/>
        </w:numPr>
        <w:spacing w:line="360" w:before="105" w:after="105" w:lineRule="auto"/>
      </w:pPr>
      <w:r>
        <w:rPr>
          <w:rFonts w:eastAsia="source serif 4" w:cs="source serif 4" w:ascii="source serif 4" w:hAnsi="source serif 4"/>
          <w:color w:val="000000"/>
          <w:sz w:val="21"/>
        </w:rPr>
        <w:t xml:space="preserve">Conduct a focused review of temperament stability from infancy to age three, separating rank-order stability, mean-level change, and informant agreement.</w:t>
      </w:r>
    </w:p>
    <w:p>
      <w:pPr>
        <w:numPr>
          <w:ilvl w:val="0"/>
          <w:numId w:val="4"/>
        </w:numPr>
        <w:spacing w:line="360" w:before="105" w:after="105" w:lineRule="auto"/>
      </w:pPr>
      <w:r>
        <w:rPr>
          <w:rFonts w:eastAsia="source serif 4" w:cs="source serif 4" w:ascii="source serif 4" w:hAnsi="source serif 4"/>
          <w:color w:val="000000"/>
          <w:sz w:val="21"/>
        </w:rPr>
        <w:t xml:space="preserve">Map emotion-specific development of fear, anger, positive affect, and recovery using repeated-measures studies.</w:t>
      </w:r>
    </w:p>
    <w:p>
      <w:pPr>
        <w:numPr>
          <w:ilvl w:val="0"/>
          <w:numId w:val="4"/>
        </w:numPr>
        <w:spacing w:line="360" w:before="105" w:after="105" w:lineRule="auto"/>
      </w:pPr>
      <w:r>
        <w:rPr>
          <w:rFonts w:eastAsia="source serif 4" w:cs="source serif 4" w:ascii="source serif 4" w:hAnsi="source serif 4"/>
          <w:color w:val="000000"/>
          <w:sz w:val="21"/>
        </w:rPr>
        <w:t xml:space="preserve">Review language–emotion evidence restricted to ages 0–3, distinguishing emotion comprehension, labeling, communication, and regulation.</w:t>
      </w:r>
    </w:p>
    <w:p>
      <w:pPr>
        <w:numPr>
          <w:ilvl w:val="0"/>
          <w:numId w:val="4"/>
        </w:numPr>
        <w:spacing w:line="360" w:before="105" w:after="105" w:lineRule="auto"/>
      </w:pPr>
      <w:r>
        <w:rPr>
          <w:rFonts w:eastAsia="source serif 4" w:cs="source serif 4" w:ascii="source serif 4" w:hAnsi="source serif 4"/>
          <w:color w:val="000000"/>
          <w:sz w:val="21"/>
        </w:rPr>
        <w:t xml:space="preserve">Create a tantrum evidence table with frequency, duration, destructiveness, impairment, and longitudinal outcomes.</w:t>
      </w:r>
    </w:p>
    <w:p>
      <w:pPr>
        <w:numPr>
          <w:ilvl w:val="0"/>
          <w:numId w:val="4"/>
        </w:numPr>
        <w:spacing w:line="360" w:before="105" w:after="105" w:lineRule="auto"/>
      </w:pPr>
      <w:r>
        <w:rPr>
          <w:rFonts w:eastAsia="source serif 4" w:cs="source serif 4" w:ascii="source serif 4" w:hAnsi="source serif 4"/>
          <w:color w:val="000000"/>
          <w:sz w:val="21"/>
        </w:rPr>
        <w:t xml:space="preserve">Code interventions by efficacy, effectiveness, scalability, cultural adaptation, institutional dependence, and active ingredients.</w:t>
      </w:r>
    </w:p>
    <w:p>
      <w:pPr>
        <w:numPr>
          <w:ilvl w:val="0"/>
          <w:numId w:val="4"/>
        </w:numPr>
        <w:spacing w:line="360" w:before="105" w:after="105" w:lineRule="auto"/>
      </w:pPr>
      <w:r>
        <w:rPr>
          <w:rFonts w:eastAsia="source serif 4" w:cs="source serif 4" w:ascii="source serif 4" w:hAnsi="source serif 4"/>
          <w:color w:val="000000"/>
          <w:sz w:val="21"/>
        </w:rPr>
        <w:t xml:space="preserve">Add genetically informed and sibling/adoption evidence where claims about prenatal stress, temperament, or parent-to-child transmission are introduced.</w:t>
      </w:r>
    </w:p>
    <w:p>
      <w:pPr>
        <w:numPr>
          <w:ilvl w:val="0"/>
          <w:numId w:val="4"/>
        </w:numPr>
        <w:spacing w:line="360" w:before="105" w:after="105" w:lineRule="auto"/>
      </w:pPr>
      <w:r>
        <w:rPr>
          <w:rFonts w:eastAsia="source serif 4" w:cs="source serif 4" w:ascii="source serif 4" w:hAnsi="source serif 4"/>
          <w:color w:val="000000"/>
          <w:sz w:val="21"/>
        </w:rPr>
        <w:t xml:space="preserve">Require every claim to specify whether it concerns association, prediction, contribution, causation, or prevention.</w:t>
      </w:r>
    </w:p>
    <w:p>
      <w:pPr>
        <w:numPr>
          <w:ilvl w:val="0"/>
          <w:numId w:val="4"/>
        </w:numPr>
        <w:spacing w:line="360" w:before="105" w:after="105" w:lineRule="auto"/>
      </w:pPr>
      <w:r>
        <w:rPr>
          <w:rFonts w:eastAsia="source serif 4" w:cs="source serif 4" w:ascii="source serif 4" w:hAnsi="source serif 4"/>
          <w:color w:val="000000"/>
          <w:sz w:val="21"/>
        </w:rPr>
        <w:t xml:space="preserve">Draft the chapter only after the “what this does not mean” register has been integrated into each major section.</w:t>
      </w:r>
    </w:p>
    <w:p>
      <w:pPr>
        <w:spacing w:line="360" w:before="315" w:after="105" w:lineRule="auto"/>
        <w:ind w:left="-30"/>
        <w:jc w:val="left"/>
      </w:pPr>
      <w:bookmarkStart w:id="78" w:name="final_assessment"/>
      <w:r>
        <w:rPr>
          <w:rFonts w:eastAsia="source serif 4" w:cs="source serif 4" w:ascii="source serif 4" w:hAnsi="source serif 4"/>
          <w:b/>
          <w:color w:val="000000"/>
          <w:sz w:val="24"/>
        </w:rPr>
        <w:t xml:space="preserve">Final assessment</w:t>
      </w:r>
      <w:bookmarkEnd w:id="78"/>
    </w:p>
    <w:p>
      <w:pPr>
        <w:spacing w:line="360" w:after="210" w:lineRule="auto"/>
      </w:pPr>
      <w:r>
        <w:rPr>
          <w:rFonts w:eastAsia="source serif 4" w:cs="source serif 4" w:ascii="source serif 4" w:hAnsi="source serif 4"/>
          <w:color w:val="000000"/>
        </w:rPr>
        <w:t xml:space="preserve">Chapter 9 can support a strong, non-deterministic account of emotional development if it presents co-regulation as a relational developmental framework, not as a mechanically proven pipeline. The highest-confidence content concerns the emergence of individual differences, developmental change in regulatory behavior, the importance of caregiver and social context, and the existence of small-to-moderate intervention effects. The chapter should remain cautious about universal sequences, exact age thresholds, claims of long-term persistence, and parent-only explanations.</w:t>
      </w:r>
    </w:p>
    <w:p>
      <w:pPr>
        <w:spacing w:line="360" w:after="210" w:lineRule="auto"/>
      </w:pPr>
      <w:r>
        <w:rPr>
          <w:rFonts w:eastAsia="source serif 4" w:cs="source serif 4" w:ascii="source serif 4" w:hAnsi="source serif 4"/>
          <w:color w:val="000000"/>
        </w:rPr>
        <w:t xml:space="preserve">The most productive scientific–interpretive distinction is therefore:</w:t>
      </w:r>
    </w:p>
    <w:p>
      <w:pPr>
        <w:numPr>
          <w:ilvl w:val="0"/>
          <w:numId w:val="5"/>
        </w:numPr>
        <w:spacing w:line="360" w:before="105" w:after="105" w:lineRule="auto"/>
      </w:pPr>
      <w:r>
        <w:rPr>
          <w:rFonts w:eastAsia="source serif 4" w:cs="source serif 4" w:ascii="source serif 4" w:hAnsi="source serif 4"/>
          <w:b/>
          <w:color w:val="000000"/>
          <w:sz w:val="21"/>
        </w:rPr>
        <w:t xml:space="preserve">Science:</w:t>
      </w:r>
      <w:r>
        <w:rPr>
          <w:rFonts w:eastAsia="source serif 4" w:cs="source serif 4" w:ascii="source serif 4" w:hAnsi="source serif 4"/>
          <w:color w:val="000000"/>
          <w:sz w:val="21"/>
        </w:rPr>
        <w:t xml:space="preserve"> regulation changes through development and is shaped by interacting biological, relational, cognitive, linguistic, cultural, and material processes.</w:t>
      </w:r>
    </w:p>
    <w:p>
      <w:pPr>
        <w:numPr>
          <w:ilvl w:val="0"/>
          <w:numId w:val="5"/>
        </w:numPr>
        <w:spacing w:line="360" w:before="105" w:after="105" w:lineRule="auto"/>
      </w:pPr>
      <w:r>
        <w:rPr>
          <w:rFonts w:eastAsia="source serif 4" w:cs="source serif 4" w:ascii="source serif 4" w:hAnsi="source serif 4"/>
          <w:b/>
          <w:color w:val="000000"/>
          <w:sz w:val="21"/>
        </w:rPr>
        <w:t xml:space="preserve">Interpretation:</w:t>
      </w:r>
      <w:r>
        <w:rPr>
          <w:rFonts w:eastAsia="source serif 4" w:cs="source serif 4" w:ascii="source serif 4" w:hAnsi="source serif 4"/>
          <w:color w:val="000000"/>
          <w:sz w:val="21"/>
        </w:rPr>
        <w:t xml:space="preserve"> capacities first supported in relationships may become increasingly available to the child across contexts.</w:t>
      </w:r>
    </w:p>
    <w:p>
      <w:pPr>
        <w:numPr>
          <w:ilvl w:val="0"/>
          <w:numId w:val="5"/>
        </w:numPr>
        <w:spacing w:line="360" w:before="105" w:after="105" w:lineRule="auto"/>
      </w:pPr>
      <w:r>
        <w:rPr>
          <w:rFonts w:eastAsia="source serif 4" w:cs="source serif 4" w:ascii="source serif 4" w:hAnsi="source serif 4"/>
          <w:b/>
          <w:color w:val="000000"/>
          <w:sz w:val="21"/>
        </w:rPr>
        <w:t xml:space="preserve">Art:</w:t>
      </w:r>
      <w:r>
        <w:rPr>
          <w:rFonts w:eastAsia="source serif 4" w:cs="source serif 4" w:ascii="source serif 4" w:hAnsi="source serif 4"/>
          <w:color w:val="000000"/>
          <w:sz w:val="21"/>
        </w:rPr>
        <w:t xml:space="preserve"> another person’s repeated presence can become part of the child’s expectations, memory, and way of returning from distress—but this is a meaning-making formulation, not a directly measurable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references"/>
      <w:r>
        <w:rPr>
          <w:rFonts w:eastAsia="source serif 4" w:cs="source serif 4" w:ascii="source serif 4" w:hAnsi="source serif 4"/>
          <w:b/>
          <w:color w:val="000000"/>
          <w:sz w:val="24"/>
        </w:rPr>
        <w:t xml:space="preserve">References</w:t>
      </w:r>
      <w:bookmarkEnd w:id="79"/>
    </w:p>
    <w:p>
      <w:pPr>
        <w:numPr>
          <w:ilvl w:val="0"/>
          <w:numId w:val="6"/>
        </w:numPr>
        <w:spacing w:line="360" w:after="210" w:lineRule="auto"/>
      </w:pPr>
      <w:hyperlink r:id="rId5">
        <w:r>
          <w:rPr>
            <w:rFonts w:eastAsia="source sans 3" w:cs="source sans 3" w:ascii="source sans 3" w:hAnsi="source sans 3"/>
            <w:color w:val="#000"/>
            <w:sz w:val="21"/>
            <w:u w:val="single"/>
          </w:rPr>
          <w:t xml:space="preserve">Self-Regulation and Toxic Stress Report 1: Foundations for Understanding Self-Regulation from an Applied Perspective</w:t>
        </w:r>
      </w:hyperlink>
    </w:p>
    <w:p>
      <w:pPr>
        <w:numPr>
          <w:ilvl w:val="0"/>
          <w:numId w:val="6"/>
        </w:numPr>
        <w:spacing w:line="360" w:after="210" w:lineRule="auto"/>
      </w:pPr>
      <w:hyperlink r:id="rId6">
        <w:r>
          <w:rPr>
            <w:rFonts w:eastAsia="source sans 3" w:cs="source sans 3" w:ascii="source sans 3" w:hAnsi="source sans 3"/>
            <w:color w:val="#000"/>
            <w:sz w:val="21"/>
            <w:u w:val="single"/>
          </w:rPr>
          <w:t xml:space="preserve">Studying caregiver-infant co-regulation in dynamic, diverse cultural ...</w:t>
        </w:r>
      </w:hyperlink>
      <w:r>
        <w:rPr>
          <w:rFonts w:eastAsia="source serif 4" w:cs="source serif 4" w:ascii="source serif 4" w:hAnsi="source serif 4"/>
          <w:color w:val="000000"/>
          <w:sz w:val="21"/>
        </w:rPr>
        <w:t xml:space="preserve"> - Caregivers and infants co-regulate their physiology, emotions, and behavior in a way that is dynamic...</w:t>
      </w:r>
    </w:p>
    <w:p>
      <w:pPr>
        <w:numPr>
          <w:ilvl w:val="0"/>
          <w:numId w:val="6"/>
        </w:numPr>
        <w:spacing w:line="360" w:after="210" w:lineRule="auto"/>
      </w:pPr>
      <w:hyperlink r:id="rId7">
        <w:r>
          <w:rPr>
            <w:rFonts w:eastAsia="source sans 3" w:cs="source sans 3" w:ascii="source sans 3" w:hAnsi="source sans 3"/>
            <w:color w:val="#000"/>
            <w:sz w:val="21"/>
            <w:u w:val="single"/>
          </w:rPr>
          <w:t xml:space="preserve">Enhancing Emotion Regulation...</w:t>
        </w:r>
      </w:hyperlink>
      <w:r>
        <w:rPr>
          <w:rFonts w:eastAsia="source serif 4" w:cs="source serif 4" w:ascii="source serif 4" w:hAnsi="source serif 4"/>
          <w:color w:val="000000"/>
          <w:sz w:val="21"/>
        </w:rPr>
        <w:t xml:space="preserve"> - The ability to regulate one’s emotions is foundational for healthy development and functioning in a ...</w:t>
      </w:r>
    </w:p>
    <w:p>
      <w:pPr>
        <w:numPr>
          <w:ilvl w:val="0"/>
          <w:numId w:val="6"/>
        </w:numPr>
        <w:spacing w:line="360" w:after="210" w:lineRule="auto"/>
      </w:pPr>
      <w:hyperlink r:id="rId8">
        <w:r>
          <w:rPr>
            <w:rFonts w:eastAsia="source sans 3" w:cs="source sans 3" w:ascii="source sans 3" w:hAnsi="source sans 3"/>
            <w:color w:val="#000"/>
            <w:sz w:val="21"/>
            <w:u w:val="single"/>
          </w:rPr>
          <w:t xml:space="preserve">The bidirectional relationship between emotion regulation and social communication in childhood: A systematic review</w:t>
        </w:r>
      </w:hyperlink>
      <w:r>
        <w:rPr>
          <w:rFonts w:eastAsia="source serif 4" w:cs="source serif 4" w:ascii="source serif 4" w:hAnsi="source serif 4"/>
          <w:color w:val="000000"/>
          <w:sz w:val="21"/>
        </w:rPr>
        <w:t xml:space="preserve"> - ## Abstract</w:t>
      </w:r>
    </w:p>
    <w:p>
      <w:pPr>
        <w:spacing w:line="360" w:after="210" w:lineRule="auto"/>
      </w:pPr>
      <w:r>
        <w:rPr>
          <w:rFonts w:eastAsia="source serif 4" w:cs="source serif 4" w:ascii="source serif 4" w:hAnsi="source serif 4"/>
          <w:color w:val="000000"/>
        </w:rPr>
        <w:t xml:space="preserve">Emotion regulation (ER) refers to the ability to regulate emotional reactions in respon...</w:t>
      </w:r>
    </w:p>
    <w:p>
      <w:pPr>
        <w:numPr>
          <w:ilvl w:val="0"/>
          <w:numId w:val="7"/>
        </w:numPr>
        <w:spacing w:line="360" w:after="210" w:lineRule="auto"/>
      </w:pPr>
      <w:hyperlink r:id="rId9">
        <w:r>
          <w:rPr>
            <w:rFonts w:eastAsia="source sans 3" w:cs="source sans 3" w:ascii="source sans 3" w:hAnsi="source sans 3"/>
            <w:color w:val="#000"/>
            <w:sz w:val="21"/>
            <w:u w:val="single"/>
          </w:rPr>
          <w:t xml:space="preserve">Emotion Regulation in Toddlerhood: Regulatory Strategies in ...</w:t>
        </w:r>
      </w:hyperlink>
      <w:r>
        <w:rPr>
          <w:rFonts w:eastAsia="source serif 4" w:cs="source serif 4" w:ascii="source serif 4" w:hAnsi="source serif 4"/>
          <w:color w:val="000000"/>
          <w:sz w:val="21"/>
        </w:rPr>
        <w:t xml:space="preserve"> - The study investigated the emergence of toddlers’ regulatory strategies in aversive contexts. Forty-...</w:t>
      </w:r>
    </w:p>
    <w:p>
      <w:pPr>
        <w:numPr>
          <w:ilvl w:val="0"/>
          <w:numId w:val="7"/>
        </w:numPr>
        <w:spacing w:line="360" w:after="210" w:lineRule="auto"/>
      </w:pPr>
      <w:hyperlink r:id="rId10">
        <w:r>
          <w:rPr>
            <w:rFonts w:eastAsia="source sans 3" w:cs="source sans 3" w:ascii="source sans 3" w:hAnsi="source sans 3"/>
            <w:color w:val="#000"/>
            <w:sz w:val="21"/>
            <w:u w:val="single"/>
          </w:rPr>
          <w:t xml:space="preserve">Fear and Anger Regulation in Infancy: Effects on the Temporal Dynamics of Affective Expression</w:t>
        </w:r>
      </w:hyperlink>
      <w:r>
        <w:rPr>
          <w:rFonts w:eastAsia="source serif 4" w:cs="source serif 4" w:ascii="source serif 4" w:hAnsi="source serif 4"/>
          <w:color w:val="000000"/>
          <w:sz w:val="21"/>
        </w:rPr>
        <w:t xml:space="preserve"> - Abstract. Emotion regulation has been conceptualized as the extrinsic and intrinsic processes respon...</w:t>
      </w:r>
    </w:p>
    <w:p>
      <w:pPr>
        <w:numPr>
          <w:ilvl w:val="0"/>
          <w:numId w:val="7"/>
        </w:numPr>
        <w:spacing w:line="360" w:after="210" w:lineRule="auto"/>
      </w:pPr>
      <w:hyperlink r:id="rId11">
        <w:r>
          <w:rPr>
            <w:rFonts w:eastAsia="source sans 3" w:cs="source sans 3" w:ascii="source sans 3" w:hAnsi="source sans 3"/>
            <w:color w:val="#000"/>
            <w:sz w:val="21"/>
            <w:u w:val="single"/>
          </w:rPr>
          <w:t xml:space="preserve">The stability of temperament from early childhood to early adolescence</w:t>
        </w:r>
      </w:hyperlink>
      <w:r>
        <w:rPr>
          <w:rFonts w:eastAsia="source serif 4" w:cs="source serif 4" w:ascii="source serif 4" w:hAnsi="source serif 4"/>
          <w:color w:val="000000"/>
          <w:sz w:val="21"/>
        </w:rPr>
        <w:t xml:space="preserve"> - Temperament is a core aspect of children’s psychological functioning and is assumed to be at least s...</w:t>
      </w:r>
    </w:p>
    <w:p>
      <w:pPr>
        <w:numPr>
          <w:ilvl w:val="0"/>
          <w:numId w:val="7"/>
        </w:numPr>
        <w:spacing w:line="360" w:after="210" w:lineRule="auto"/>
      </w:pPr>
      <w:hyperlink r:id="rId12">
        <w:r>
          <w:rPr>
            <w:rFonts w:eastAsia="source sans 3" w:cs="source sans 3" w:ascii="source sans 3" w:hAnsi="source sans 3"/>
            <w:color w:val="#000"/>
            <w:sz w:val="21"/>
            <w:u w:val="single"/>
          </w:rPr>
          <w:t xml:space="preserve">The structure and stability of temperament from infancy to toddlerhood: a one-year prospective study - PubMed</w:t>
        </w:r>
      </w:hyperlink>
      <w:r>
        <w:rPr>
          <w:rFonts w:eastAsia="source serif 4" w:cs="source serif 4" w:ascii="source serif 4" w:hAnsi="source serif 4"/>
          <w:color w:val="000000"/>
          <w:sz w:val="21"/>
        </w:rPr>
        <w:t xml:space="preserve"> - This study investigated the factor structure and longitudinal stability of temperament in a multi-in...</w:t>
      </w:r>
    </w:p>
    <w:p>
      <w:pPr>
        <w:numPr>
          <w:ilvl w:val="0"/>
          <w:numId w:val="7"/>
        </w:numPr>
        <w:spacing w:line="360" w:after="210" w:lineRule="auto"/>
      </w:pPr>
      <w:hyperlink r:id="rId13">
        <w:r>
          <w:rPr>
            <w:rFonts w:eastAsia="source sans 3" w:cs="source sans 3" w:ascii="source sans 3" w:hAnsi="source sans 3"/>
            <w:color w:val="#000"/>
            <w:sz w:val="21"/>
            <w:u w:val="single"/>
          </w:rPr>
          <w:t xml:space="preserve">Defining the developmental parameters of temper loss in ...</w:t>
        </w:r>
      </w:hyperlink>
      <w:r>
        <w:rPr>
          <w:rFonts w:eastAsia="source serif 4" w:cs="source serif 4" w:ascii="source serif 4" w:hAnsi="source serif 4"/>
          <w:color w:val="000000"/>
          <w:sz w:val="21"/>
        </w:rPr>
        <w:t xml:space="preserve"> - Parent reports on a developmentally informed questionnaire, administered to a large and diverse samp...</w:t>
      </w:r>
    </w:p>
    <w:p>
      <w:pPr>
        <w:numPr>
          <w:ilvl w:val="0"/>
          <w:numId w:val="7"/>
        </w:numPr>
        <w:spacing w:line="360" w:after="210" w:lineRule="auto"/>
      </w:pPr>
      <w:hyperlink r:id="rId14">
        <w:r>
          <w:rPr>
            <w:rFonts w:eastAsia="source sans 3" w:cs="source sans 3" w:ascii="source sans 3" w:hAnsi="source sans 3"/>
            <w:color w:val="#000"/>
            <w:sz w:val="21"/>
            <w:u w:val="single"/>
          </w:rPr>
          <w:t xml:space="preserve">Prospective Association between Childhood Behavioral Inhibition ...</w:t>
        </w:r>
      </w:hyperlink>
      <w:r>
        <w:rPr>
          <w:rFonts w:eastAsia="source serif 4" w:cs="source serif 4" w:ascii="source serif 4" w:hAnsi="source serif 4"/>
          <w:color w:val="000000"/>
          <w:sz w:val="21"/>
        </w:rPr>
        <w:t xml:space="preserve"> - Behavioral inhibition (BI) is a risk factor for anxiety. However, the estimates of the strength of t...</w:t>
      </w:r>
    </w:p>
    <w:p>
      <w:pPr>
        <w:numPr>
          <w:ilvl w:val="0"/>
          <w:numId w:val="7"/>
        </w:numPr>
        <w:spacing w:line="360" w:after="210" w:lineRule="auto"/>
      </w:pPr>
      <w:hyperlink r:id="rId15">
        <w:r>
          <w:rPr>
            <w:rFonts w:eastAsia="source sans 3" w:cs="source sans 3" w:ascii="source sans 3" w:hAnsi="source sans 3"/>
            <w:color w:val="#000"/>
            <w:sz w:val="21"/>
            <w:u w:val="single"/>
          </w:rPr>
          <w:t xml:space="preserve">The efficacy of interventions for behaviourally inhibited preschool-aged children: A meta-analysis</w:t>
        </w:r>
      </w:hyperlink>
      <w:r>
        <w:rPr>
          <w:rFonts w:eastAsia="source serif 4" w:cs="source serif 4" w:ascii="source serif 4" w:hAnsi="source serif 4"/>
          <w:color w:val="000000"/>
          <w:sz w:val="21"/>
        </w:rPr>
        <w:t xml:space="preserve"> - The current systematic review and meta-analyses examined the efficacy of psychological interventions...</w:t>
      </w:r>
    </w:p>
    <w:p>
      <w:pPr>
        <w:numPr>
          <w:ilvl w:val="0"/>
          <w:numId w:val="7"/>
        </w:numPr>
        <w:spacing w:line="360" w:after="210" w:lineRule="auto"/>
      </w:pPr>
      <w:hyperlink r:id="rId16">
        <w:r>
          <w:rPr>
            <w:rFonts w:eastAsia="source sans 3" w:cs="source sans 3" w:ascii="source sans 3" w:hAnsi="source sans 3"/>
            <w:color w:val="#000"/>
            <w:sz w:val="21"/>
            <w:u w:val="single"/>
          </w:rPr>
          <w:t xml:space="preserve">Evidence for cultural differences in affect during mother–infant interactions - Scientific Reports</w:t>
        </w:r>
      </w:hyperlink>
      <w:r>
        <w:rPr>
          <w:rFonts w:eastAsia="source serif 4" w:cs="source serif 4" w:ascii="source serif 4" w:hAnsi="source serif 4"/>
          <w:color w:val="000000"/>
          <w:sz w:val="21"/>
        </w:rPr>
        <w:t xml:space="preserve"> - Maternal care is considered a universal and even cross-species set of typical behaviors, which are n...</w:t>
      </w:r>
    </w:p>
    <w:p>
      <w:pPr>
        <w:numPr>
          <w:ilvl w:val="0"/>
          <w:numId w:val="7"/>
        </w:numPr>
        <w:spacing w:line="360" w:after="210" w:lineRule="auto"/>
      </w:pPr>
      <w:hyperlink r:id="rId17">
        <w:r>
          <w:rPr>
            <w:rFonts w:eastAsia="source sans 3" w:cs="source sans 3" w:ascii="source sans 3" w:hAnsi="source sans 3"/>
            <w:color w:val="#000"/>
            <w:sz w:val="21"/>
            <w:u w:val="single"/>
          </w:rPr>
          <w:t xml:space="preserve">Positive Affectivity and Fear Trajectories in Infancy: Contributions of Mother–Child Interaction Factors</w:t>
        </w:r>
      </w:hyperlink>
      <w:r>
        <w:rPr>
          <w:rFonts w:eastAsia="source serif 4" w:cs="source serif 4" w:ascii="source serif 4" w:hAnsi="source serif 4"/>
          <w:color w:val="000000"/>
          <w:sz w:val="21"/>
        </w:rPr>
        <w:t xml:space="preserve"> - Abstract. Fear and positive emotionality were considered in a growth modeling context. Mothers, prim...</w:t>
      </w:r>
    </w:p>
    <w:p>
      <w:pPr>
        <w:numPr>
          <w:ilvl w:val="0"/>
          <w:numId w:val="7"/>
        </w:numPr>
        <w:spacing w:line="360" w:after="210" w:lineRule="auto"/>
      </w:pPr>
      <w:hyperlink r:id="rId18">
        <w:r>
          <w:rPr>
            <w:rFonts w:eastAsia="source sans 3" w:cs="source sans 3" w:ascii="source sans 3" w:hAnsi="source sans 3"/>
            <w:color w:val="#000"/>
            <w:sz w:val="21"/>
            <w:u w:val="single"/>
          </w:rPr>
          <w:t xml:space="preserve">Child Emotion-Specific Language and Emotion Regulation: A Meta-Analytic Review | Sciety</w:t>
        </w:r>
      </w:hyperlink>
      <w:r>
        <w:rPr>
          <w:rFonts w:eastAsia="source serif 4" w:cs="source serif 4" w:ascii="source serif 4" w:hAnsi="source serif 4"/>
          <w:color w:val="000000"/>
          <w:sz w:val="21"/>
        </w:rPr>
        <w:t xml:space="preserve"> - Language provides cognitive scaffolding that is necessary for emotion regulation. From a domain-spec...</w:t>
      </w:r>
    </w:p>
    <w:p>
      <w:pPr>
        <w:numPr>
          <w:ilvl w:val="0"/>
          <w:numId w:val="7"/>
        </w:numPr>
        <w:spacing w:line="360" w:after="210" w:lineRule="auto"/>
      </w:pPr>
      <w:hyperlink r:id="rId19">
        <w:r>
          <w:rPr>
            <w:rFonts w:eastAsia="source sans 3" w:cs="source sans 3" w:ascii="source sans 3" w:hAnsi="source sans 3"/>
            <w:color w:val="#000"/>
            <w:sz w:val="21"/>
            <w:u w:val="single"/>
          </w:rPr>
          <w:t xml:space="preserve">Associations of emotion-related regulation with language skills, emotion knowledge, and academic outcomes - PubMed</w:t>
        </w:r>
      </w:hyperlink>
      <w:r>
        <w:rPr>
          <w:rFonts w:eastAsia="source serif 4" w:cs="source serif 4" w:ascii="source serif 4" w:hAnsi="source serif 4"/>
          <w:color w:val="000000"/>
          <w:sz w:val="21"/>
        </w:rPr>
        <w:t xml:space="preserve"> - Research suggests that the development of emotional regulation in early childhood is interrelated wi...</w:t>
      </w:r>
    </w:p>
    <w:p>
      <w:pPr>
        <w:numPr>
          <w:ilvl w:val="0"/>
          <w:numId w:val="7"/>
        </w:numPr>
        <w:spacing w:line="360" w:after="210" w:lineRule="auto"/>
      </w:pPr>
      <w:hyperlink r:id="rId20">
        <w:r>
          <w:rPr>
            <w:rFonts w:eastAsia="source sans 3" w:cs="source sans 3" w:ascii="source sans 3" w:hAnsi="source sans 3"/>
            <w:color w:val="#000"/>
            <w:sz w:val="21"/>
            <w:u w:val="single"/>
          </w:rPr>
          <w:t xml:space="preserve">‘Let's Talk about Emotions!’. The Effect of Conversational Training on Preschoolers' Emotion Comprehension and Prosocial Orientation</w:t>
        </w:r>
      </w:hyperlink>
      <w:r>
        <w:rPr>
          <w:rFonts w:eastAsia="source serif 4" w:cs="source serif 4" w:ascii="source serif 4" w:hAnsi="source serif 4"/>
          <w:color w:val="000000"/>
          <w:sz w:val="21"/>
        </w:rPr>
        <w:t xml:space="preserve"> - ## Abstract</w:t>
      </w:r>
    </w:p>
    <w:p>
      <w:pPr>
        <w:spacing w:line="360" w:after="210" w:lineRule="auto"/>
      </w:pPr>
      <w:r>
        <w:rPr>
          <w:rFonts w:eastAsia="source serif 4" w:cs="source serif 4" w:ascii="source serif 4" w:hAnsi="source serif 4"/>
          <w:color w:val="000000"/>
        </w:rPr>
        <w:t xml:space="preserve">We investigated whether conversational intervention focused on emotions could promote t...</w:t>
      </w:r>
    </w:p>
    <w:p>
      <w:pPr>
        <w:numPr>
          <w:ilvl w:val="0"/>
          <w:numId w:val="8"/>
        </w:numPr>
        <w:spacing w:line="360" w:after="210" w:lineRule="auto"/>
      </w:pPr>
      <w:hyperlink r:id="rId21">
        <w:r>
          <w:rPr>
            <w:rFonts w:eastAsia="source sans 3" w:cs="source sans 3" w:ascii="source sans 3" w:hAnsi="source sans 3"/>
            <w:color w:val="#000"/>
            <w:sz w:val="21"/>
            <w:u w:val="single"/>
          </w:rPr>
          <w:t xml:space="preserve">Emotional state talk and emotion understanding: a training ...</w:t>
        </w:r>
      </w:hyperlink>
      <w:r>
        <w:rPr>
          <w:rFonts w:eastAsia="source serif 4" w:cs="source serif 4" w:ascii="source serif 4" w:hAnsi="source serif 4"/>
          <w:color w:val="000000"/>
          <w:sz w:val="21"/>
        </w:rPr>
        <w:t xml:space="preserve"> - ABSTRACTThe present study investigates whether training preschool children in the active use of emot...</w:t>
      </w:r>
    </w:p>
    <w:p>
      <w:pPr>
        <w:numPr>
          <w:ilvl w:val="0"/>
          <w:numId w:val="8"/>
        </w:numPr>
        <w:spacing w:line="360" w:after="210" w:lineRule="auto"/>
      </w:pPr>
      <w:hyperlink r:id="rId22">
        <w:r>
          <w:rPr>
            <w:rFonts w:eastAsia="source sans 3" w:cs="source sans 3" w:ascii="source sans 3" w:hAnsi="source sans 3"/>
            <w:color w:val="#000"/>
            <w:sz w:val="21"/>
            <w:u w:val="single"/>
          </w:rPr>
          <w:t xml:space="preserve">Resilience in Children Exposed to Violence: A Meta-analysis of Protective Factors Across Ecological Contexts</w:t>
        </w:r>
      </w:hyperlink>
    </w:p>
    <w:p>
      <w:pPr>
        <w:numPr>
          <w:ilvl w:val="0"/>
          <w:numId w:val="8"/>
        </w:numPr>
        <w:spacing w:line="360" w:after="210" w:lineRule="auto"/>
      </w:pPr>
      <w:hyperlink r:id="rId23">
        <w:r>
          <w:rPr>
            <w:rFonts w:eastAsia="source sans 3" w:cs="source sans 3" w:ascii="source sans 3" w:hAnsi="source sans 3"/>
            <w:color w:val="#000"/>
            <w:sz w:val="21"/>
            <w:u w:val="single"/>
          </w:rPr>
          <w:t xml:space="preserve">Annual Review of Clinical Psychology</w:t>
        </w:r>
      </w:hyperlink>
    </w:p>
    <w:p>
      <w:pPr>
        <w:numPr>
          <w:ilvl w:val="0"/>
          <w:numId w:val="8"/>
        </w:numPr>
        <w:spacing w:line="360" w:after="210" w:lineRule="auto"/>
      </w:pPr>
      <w:hyperlink r:id="rId24">
        <w:r>
          <w:rPr>
            <w:rFonts w:eastAsia="source sans 3" w:cs="source sans 3" w:ascii="source sans 3" w:hAnsi="source sans 3"/>
            <w:color w:val="#000"/>
            <w:sz w:val="21"/>
            <w:u w:val="single"/>
          </w:rPr>
          <w:t xml:space="preserve">Emotion socialization parenting interventions targeting ... - PubMed</w:t>
        </w:r>
      </w:hyperlink>
      <w:r>
        <w:rPr>
          <w:rFonts w:eastAsia="source serif 4" w:cs="source serif 4" w:ascii="source serif 4" w:hAnsi="source serif 4"/>
          <w:color w:val="000000"/>
          <w:sz w:val="21"/>
        </w:rPr>
        <w:t xml:space="preserve"> - Emotion socialization parenting interventions are effective for improving emotion socialization pare...</w:t>
      </w:r>
    </w:p>
    <w:p>
      <w:pPr>
        <w:numPr>
          <w:ilvl w:val="0"/>
          <w:numId w:val="8"/>
        </w:numPr>
        <w:spacing w:line="360" w:after="210" w:lineRule="auto"/>
      </w:pPr>
      <w:hyperlink r:id="rId25">
        <w:r>
          <w:rPr>
            <w:rFonts w:eastAsia="source sans 3" w:cs="source sans 3" w:ascii="source sans 3" w:hAnsi="source sans 3"/>
            <w:color w:val="#000"/>
            <w:sz w:val="21"/>
            <w:u w:val="single"/>
          </w:rPr>
          <w:t xml:space="preserve">Effects of emotionally oriented parental interventions - PMC</w:t>
        </w:r>
      </w:hyperlink>
      <w:r>
        <w:rPr>
          <w:rFonts w:eastAsia="source serif 4" w:cs="source serif 4" w:ascii="source serif 4" w:hAnsi="source serif 4"/>
          <w:color w:val="000000"/>
          <w:sz w:val="21"/>
        </w:rPr>
        <w:t xml:space="preserve"> - by R Zahl-Olsen · 2023 · Cited by 43 — The results indicate the presence of a small to medium effect...</w:t>
      </w:r>
    </w:p>
    <w:p>
      <w:pPr>
        <w:numPr>
          <w:ilvl w:val="0"/>
          <w:numId w:val="8"/>
        </w:numPr>
        <w:spacing w:line="360" w:after="210" w:lineRule="auto"/>
      </w:pPr>
      <w:hyperlink r:id="rId26">
        <w:r>
          <w:rPr>
            <w:rFonts w:eastAsia="source sans 3" w:cs="source sans 3" w:ascii="source sans 3" w:hAnsi="source sans 3"/>
            <w:color w:val="#000"/>
            <w:sz w:val="21"/>
            <w:u w:val="single"/>
          </w:rPr>
          <w:t xml:space="preserve">A Meta-Analytic Review of Preschool Social and Emotional ...</w:t>
        </w:r>
      </w:hyperlink>
    </w:p>
    <w:p>
      <w:pPr>
        <w:numPr>
          <w:ilvl w:val="0"/>
          <w:numId w:val="8"/>
        </w:numPr>
        <w:spacing w:line="360" w:after="210" w:lineRule="auto"/>
      </w:pPr>
      <w:hyperlink r:id="rId27">
        <w:r>
          <w:rPr>
            <w:rFonts w:eastAsia="source sans 3" w:cs="source sans 3" w:ascii="source sans 3" w:hAnsi="source sans 3"/>
            <w:color w:val="#000"/>
            <w:sz w:val="21"/>
            <w:u w:val="single"/>
          </w:rPr>
          <w:t xml:space="preserve">Cultural differences in the production of emotional facial expressions</w:t>
        </w:r>
      </w:hyperlink>
      <w:r>
        <w:rPr>
          <w:rFonts w:eastAsia="source serif 4" w:cs="source serif 4" w:ascii="source serif 4" w:hAnsi="source serif 4"/>
          <w:color w:val="000000"/>
          <w:sz w:val="21"/>
        </w:rPr>
        <w:t xml:space="preserve"> - Whereas cross-cultural differences in recognition of emotional facial expressions are widely establi...</w:t>
      </w:r>
    </w:p>
    <w:p>
      <w:pPr>
        <w:numPr>
          <w:ilvl w:val="0"/>
          <w:numId w:val="8"/>
        </w:numPr>
        <w:spacing w:line="360" w:after="210" w:lineRule="auto"/>
      </w:pPr>
      <w:hyperlink r:id="rId28">
        <w:r>
          <w:rPr>
            <w:rFonts w:eastAsia="source sans 3" w:cs="source sans 3" w:ascii="source sans 3" w:hAnsi="source sans 3"/>
            <w:color w:val="#000"/>
            <w:sz w:val="21"/>
            <w:u w:val="single"/>
          </w:rPr>
          <w:t xml:space="preserve">Emotion expression and regulation in three cultures - PMC - NIH</w:t>
        </w:r>
      </w:hyperlink>
      <w:r>
        <w:rPr>
          <w:rFonts w:eastAsia="source serif 4" w:cs="source serif 4" w:ascii="source serif 4" w:hAnsi="source serif 4"/>
          <w:color w:val="000000"/>
          <w:sz w:val="21"/>
        </w:rPr>
        <w:t xml:space="preserve"> - There are strong cultural norms for how emotions are expressed, yet little is known about cultural v...</w:t>
      </w:r>
    </w:p>
    <w:p>
      <w:pPr>
        <w:numPr>
          <w:ilvl w:val="0"/>
          <w:numId w:val="8"/>
        </w:numPr>
        <w:spacing w:line="360" w:after="210" w:lineRule="auto"/>
      </w:pPr>
      <w:hyperlink r:id="rId29">
        <w:r>
          <w:rPr>
            <w:rFonts w:eastAsia="source sans 3" w:cs="source sans 3" w:ascii="source sans 3" w:hAnsi="source sans 3"/>
            <w:color w:val="#000"/>
            <w:sz w:val="21"/>
            <w:u w:val="single"/>
          </w:rPr>
          <w:t xml:space="preserve">Perceptions of Emotion from Facial Expressions are Not Culturally ...</w:t>
        </w:r>
      </w:hyperlink>
      <w:r>
        <w:rPr>
          <w:rFonts w:eastAsia="source serif 4" w:cs="source serif 4" w:ascii="source serif 4" w:hAnsi="source serif 4"/>
          <w:color w:val="000000"/>
          <w:sz w:val="21"/>
        </w:rPr>
        <w:t xml:space="preserve"> - It is widely believed that certain emotions are universally recognized in facial expressions. Recent...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5"/>
      <w:numFmt w:val="decimal"/>
      <w:lvlText w:val="%1."/>
      <w:lvlJc w:val="left"/>
      <w:pPr>
        <w:tabs>
          <w:tab w:val="num" w:pos="900"/>
        </w:tabs>
        <w:ind w:left="540" w:hanging="360"/>
      </w:pPr>
    </w:lvl>
  </w:abstractNum>
  <w:abstractNum w:abstractNumId="8">
    <w:multiLevelType w:val="hybridMultilevel"/>
    <w:lvl w:ilvl="0">
      <w:start w:val="17"/>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cf.gov/sites/default/files/documents/report_1_foundations_paper_final_012715_submitted_508_0.pdf" TargetMode="External"/><Relationship Id="rId6" Type="http://schemas.openxmlformats.org/officeDocument/2006/relationships/hyperlink" Target="https://pmc.ncbi.nlm.nih.gov/articles/PMC10314734/" TargetMode="External"/><Relationship Id="rId7" Type="http://schemas.openxmlformats.org/officeDocument/2006/relationships/hyperlink" Target="https://pmc.ncbi.nlm.nih.gov/articles/PMC8801237/" TargetMode="External"/><Relationship Id="rId8" Type="http://schemas.openxmlformats.org/officeDocument/2006/relationships/hyperlink" Target="https://onlinelibrary.wiley.com/doi/abs/10.1002/icd.2480" TargetMode="External"/><Relationship Id="rId9" Type="http://schemas.openxmlformats.org/officeDocument/2006/relationships/hyperlink" Target="https://pmc.ncbi.nlm.nih.gov/articles/PMC10216924/" TargetMode="External"/><Relationship Id="rId10" Type="http://schemas.openxmlformats.org/officeDocument/2006/relationships/hyperlink" Target="https://academic.oup.com/chidev/article/69/2/359/8284549" TargetMode="External"/><Relationship Id="rId11" Type="http://schemas.openxmlformats.org/officeDocument/2006/relationships/hyperlink" Target="https://pmc.ncbi.nlm.nih.gov/articles/PMC6407883/" TargetMode="External"/><Relationship Id="rId12" Type="http://schemas.openxmlformats.org/officeDocument/2006/relationships/hyperlink" Target="https://pubmed.ncbi.nlm.nih.gov/21962396/" TargetMode="External"/><Relationship Id="rId13" Type="http://schemas.openxmlformats.org/officeDocument/2006/relationships/hyperlink" Target="https://pubmed.ncbi.nlm.nih.gov/22928674/" TargetMode="External"/><Relationship Id="rId14" Type="http://schemas.openxmlformats.org/officeDocument/2006/relationships/hyperlink" Target="https://pubmed.ncbi.nlm.nih.gov/31642030/" TargetMode="External"/><Relationship Id="rId15" Type="http://schemas.openxmlformats.org/officeDocument/2006/relationships/hyperlink" Target="https://www.sciencedirect.com/science/article/pii/S0887618522000329" TargetMode="External"/><Relationship Id="rId16" Type="http://schemas.openxmlformats.org/officeDocument/2006/relationships/hyperlink" Target="https://www.nature.com/articles/s41598-023-31907-y" TargetMode="External"/><Relationship Id="rId17" Type="http://schemas.openxmlformats.org/officeDocument/2006/relationships/hyperlink" Target="https://academic.oup.com/chidev/article/89/5/1519/8260476" TargetMode="External"/><Relationship Id="rId18" Type="http://schemas.openxmlformats.org/officeDocument/2006/relationships/hyperlink" Target="https://sciety.org/articles/activity/10.31234/osf.io/m386a_v1" TargetMode="External"/><Relationship Id="rId19" Type="http://schemas.openxmlformats.org/officeDocument/2006/relationships/hyperlink" Target="https://pubmed.ncbi.nlm.nih.gov/16342899/" TargetMode="External"/><Relationship Id="rId20" Type="http://schemas.openxmlformats.org/officeDocument/2006/relationships/hyperlink" Target="https://onlinelibrary.wiley.com/doi/10.1111/sode.12091" TargetMode="External"/><Relationship Id="rId21" Type="http://schemas.openxmlformats.org/officeDocument/2006/relationships/hyperlink" Target="https://pubmed.ncbi.nlm.nih.gov/21426620/" TargetMode="External"/><Relationship Id="rId22" Type="http://schemas.openxmlformats.org/officeDocument/2006/relationships/hyperlink" Target="https://epublications.marquette.edu/cgi/viewcontent.cgi?article=1473&amp;context=psych_fac" TargetMode="External"/><Relationship Id="rId23" Type="http://schemas.openxmlformats.org/officeDocument/2006/relationships/hyperlink" Target="http://ereserve.library.utah.edu/Annual/PSY/6330/Crowell/masten2021.pdf" TargetMode="External"/><Relationship Id="rId24" Type="http://schemas.openxmlformats.org/officeDocument/2006/relationships/hyperlink" Target="https://pubmed.ncbi.nlm.nih.gov/36706555/" TargetMode="External"/><Relationship Id="rId25" Type="http://schemas.openxmlformats.org/officeDocument/2006/relationships/hyperlink" Target="https://pmc.ncbi.nlm.nih.gov/articles/PMC10374204/" TargetMode="External"/><Relationship Id="rId26" Type="http://schemas.openxmlformats.org/officeDocument/2006/relationships/hyperlink" Target="https://www.anastasiyalipnevich.com/wp-content/uploads/2020/04/Murano-et-al-2020-preschool-SEL-interventions-copy.pdf" TargetMode="External"/><Relationship Id="rId27" Type="http://schemas.openxmlformats.org/officeDocument/2006/relationships/hyperlink" Target="https://pmc.ncbi.nlm.nih.gov/articles/PMC12907163/" TargetMode="External"/><Relationship Id="rId28" Type="http://schemas.openxmlformats.org/officeDocument/2006/relationships/hyperlink" Target="https://pmc.ncbi.nlm.nih.gov/articles/PMC7583664/" TargetMode="External"/><Relationship Id="rId29" Type="http://schemas.openxmlformats.org/officeDocument/2006/relationships/hyperlink" Target="https://pmc.ncbi.nlm.nih.gov/articles/PMC475236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2026-09-06T14:20:37.517Z</dcterms:created>
  <dcterms:modified xsi:type="dcterms:W3CDTF">2026-09-06T14:20:37.517Z</dcterms:modified>
</cp:coreProperties>
</file>