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chapter_13_the_ecology_of_development"/>
      <w:r>
        <w:rPr>
          <w:rFonts w:eastAsia="source serif 4" w:cs="source serif 4" w:ascii="source serif 4" w:hAnsi="source serif 4"/>
          <w:b/>
          <w:color w:val="000000"/>
          <w:sz w:val="39"/>
        </w:rPr>
        <w:t xml:space="preserve">Chapter 13 — The Ecology of Development</w:t>
      </w:r>
      <w:bookmarkEnd w:id="0"/>
    </w:p>
    <w:p>
      <w:pPr>
        <w:spacing w:line="360" w:before="315" w:after="105" w:lineRule="auto"/>
        <w:ind w:left="-30"/>
        <w:jc w:val="left"/>
      </w:pPr>
      <w:bookmarkStart w:id="1" w:name="executive_assessment"/>
      <w:r>
        <w:rPr>
          <w:rFonts w:eastAsia="source serif 4" w:cs="source serif 4" w:ascii="source serif 4" w:hAnsi="source serif 4"/>
          <w:b/>
          <w:color w:val="000000"/>
          <w:sz w:val="24"/>
        </w:rPr>
        <w:t xml:space="preserve">Executive assessment</w:t>
      </w:r>
      <w:bookmarkEnd w:id="1"/>
    </w:p>
    <w:p>
      <w:pPr>
        <w:spacing w:line="360" w:after="210" w:lineRule="auto"/>
      </w:pPr>
      <w:r>
        <w:rPr>
          <w:rFonts w:eastAsia="source serif 4" w:cs="source serif 4" w:ascii="source serif 4" w:hAnsi="source serif 4"/>
          <w:color w:val="000000"/>
        </w:rPr>
        <w:t xml:space="preserve">The chapter’s central proposition is strongly defensible in a carefully qualified form: early development is produced through interactions among children, caregivers, material conditions, communities, institutions, and policy. The evidence does not support partitioning outcomes into a fixed percentage attributable to “parenting” versus “the world.” These influences are interdependent, measured with different levels of precision, and vary by outcome, developmental period, exposure intensity, and family context.</w:t>
      </w:r>
    </w:p>
    <w:p>
      <w:pPr>
        <w:spacing w:line="360" w:after="210" w:lineRule="auto"/>
      </w:pPr>
      <w:r>
        <w:rPr>
          <w:rFonts w:eastAsia="source serif 4" w:cs="source serif 4" w:ascii="source serif 4" w:hAnsi="source serif 4"/>
          <w:color w:val="000000"/>
        </w:rPr>
        <w:t xml:space="preserve">The most defensible causal conclusions are not uniformly distributed across the proposed modules. Evidence is strongest where ecological conditions are directly manipulated or where mechanisms are concrete: housing mobility, environmental hazards, food and material deprivation, access to health services, and some income-support policies. Evidence is weaker when broad constructs such as “neighborhood quality,” “culture,” “parental employment,” or “social inequality” are treated as single exposures. The chapter should therefore organize itself around mechanisms and causal designs rather than around a simple list of social determinants.</w:t>
      </w:r>
    </w:p>
    <w:p>
      <w:pPr>
        <w:spacing w:line="360" w:after="210" w:lineRule="auto"/>
      </w:pPr>
      <w:r>
        <w:rPr>
          <w:rFonts w:eastAsia="source serif 4" w:cs="source serif 4" w:ascii="source serif 4" w:hAnsi="source serif 4"/>
          <w:color w:val="000000"/>
        </w:rPr>
        <w:t xml:space="preserve">The recommended endpoint is narrower than the draft proposition: parents matter profoundly, but parenting is enabled and constrained by conditions that families do not individually control. Some ecological interventions improve children’s developmental opportunities; none justify replacing relational, developmental, or culturally situated analysis with structural determinism.</w:t>
      </w:r>
    </w:p>
    <w:p>
      <w:pPr>
        <w:spacing w:line="360" w:before="315" w:after="105" w:lineRule="auto"/>
        <w:ind w:left="-30"/>
        <w:jc w:val="left"/>
      </w:pPr>
      <w:bookmarkStart w:id="2" w:name="conceptual_foundation"/>
      <w:r>
        <w:rPr>
          <w:rFonts w:eastAsia="source serif 4" w:cs="source serif 4" w:ascii="source serif 4" w:hAnsi="source serif 4"/>
          <w:b/>
          <w:color w:val="000000"/>
          <w:sz w:val="24"/>
        </w:rPr>
        <w:t xml:space="preserve">Conceptual foundation</w:t>
      </w:r>
      <w:bookmarkEnd w:id="2"/>
    </w:p>
    <w:p>
      <w:pPr>
        <w:spacing w:line="360" w:after="210" w:lineRule="auto"/>
      </w:pPr>
      <w:r>
        <w:rPr>
          <w:rFonts w:eastAsia="source serif 4" w:cs="source serif 4" w:ascii="source serif 4" w:hAnsi="source serif 4"/>
          <w:color w:val="000000"/>
        </w:rPr>
        <w:t xml:space="preserve">Bronfenbrenner’s later bioecological model is most useful when treated as a theory of interacting processes rather than as a stack of environmental layers. The relevant analytic components are proximal processes, characteristics of the developing person, context, and time; later formulations are commonly summarized as the PPCT model.[^1]</w:t>
      </w:r>
    </w:p>
    <w:p>
      <w:pPr>
        <w:spacing w:line="360" w:after="210" w:lineRule="auto"/>
      </w:pPr>
      <w:r>
        <w:rPr>
          <w:rFonts w:eastAsia="source serif 4" w:cs="source serif 4" w:ascii="source serif 4" w:hAnsi="source serif 4"/>
          <w:color w:val="000000"/>
        </w:rPr>
        <w:t xml:space="preserve">For this chapter, “ecology” should mean the changing set of conditions that shape what children and caregivers can experience, not a claim that every outer-level variable has an independent effect. A policy may alter income, time, stress, housing, service access, or childcare; those changes may then alter caregiver behavior and child experience. This makes parenting both a mediator and an outcome of systems, rather than a stable competing explanation.</w:t>
      </w:r>
    </w:p>
    <w:p>
      <w:pPr>
        <w:spacing w:line="360" w:after="210" w:lineRule="auto"/>
      </w:pPr>
      <w:r>
        <w:rPr>
          <w:rFonts w:eastAsia="source serif 4" w:cs="source serif 4" w:ascii="source serif 4" w:hAnsi="source serif 4"/>
          <w:color w:val="000000"/>
        </w:rPr>
        <w:t xml:space="preserve">The WHO/UNICEF/World Bank nurturing-care framework offers a useful contemporary bridge between developmental science and public systems. It defines nurturing care through health, nutrition, security and safety, responsive caregiving, and opportunities for early learning, while emphasizing that policies, programs, and services must enable families and communities to provide it.[</w:t>
      </w:r>
      <w:r>
        <w:rPr>
          <w:rFonts w:eastAsia="source serif 4" w:cs="source serif 4" w:ascii="source serif 4" w:hAnsi="source serif 4"/>
          <w:color w:val="000000"/>
          <w:vertAlign w:val="superscript"/>
        </w:rPr>
        <w:t xml:space="preserve">2][</w:t>
      </w:r>
      <w:r>
        <w:rPr>
          <w:rFonts w:eastAsia="source serif 4" w:cs="source serif 4" w:ascii="source serif 4" w:hAnsi="source serif 4"/>
          <w:color w:val="000000"/>
        </w:rPr>
        <w:t xml:space="preserve">3]</w:t>
      </w:r>
    </w:p>
    <w:p>
      <w:pPr>
        <w:spacing w:line="360" w:before="315" w:after="105" w:lineRule="auto"/>
        <w:ind w:left="-30"/>
        <w:jc w:val="left"/>
      </w:pPr>
      <w:bookmarkStart w:id="3" w:name="recommended_causal_grammar"/>
      <w:r>
        <w:rPr>
          <w:rFonts w:eastAsia="source serif 4" w:cs="source serif 4" w:ascii="source serif 4" w:hAnsi="source serif 4"/>
          <w:b/>
          <w:color w:val="000000"/>
          <w:sz w:val="24"/>
        </w:rPr>
        <w:t xml:space="preserve">Recommended causal grammar</w:t>
      </w:r>
      <w:bookmarkEnd w:id="3"/>
    </w:p>
    <w:p>
      <w:pPr>
        <w:spacing w:line="360" w:after="210" w:lineRule="auto"/>
      </w:pPr>
      <w:r>
        <w:rPr>
          <w:rFonts w:eastAsia="source serif 4" w:cs="source serif 4" w:ascii="source serif 4" w:hAnsi="source serif 4"/>
          <w:color w:val="000000"/>
        </w:rPr>
        <w:t xml:space="preserve">Every section should distinguish among:</w:t>
      </w:r>
    </w:p>
    <w:p>
      <w:pPr>
        <w:numPr>
          <w:ilvl w:val="0"/>
          <w:numId w:val="1"/>
        </w:numPr>
        <w:spacing w:line="360" w:before="105" w:after="105" w:lineRule="auto"/>
      </w:pPr>
      <w:r>
        <w:rPr>
          <w:rFonts w:eastAsia="source serif 4" w:cs="source serif 4" w:ascii="source serif 4" w:hAnsi="source serif 4"/>
          <w:b/>
          <w:color w:val="000000"/>
          <w:sz w:val="21"/>
        </w:rPr>
        <w:t xml:space="preserve">Association:</w:t>
      </w:r>
      <w:r>
        <w:rPr>
          <w:rFonts w:eastAsia="source serif 4" w:cs="source serif 4" w:ascii="source serif 4" w:hAnsi="source serif 4"/>
          <w:color w:val="000000"/>
          <w:sz w:val="21"/>
        </w:rPr>
        <w:t xml:space="preserve"> families exposed to a condition differ in developmental outcomes.</w:t>
      </w:r>
    </w:p>
    <w:p>
      <w:pPr>
        <w:numPr>
          <w:ilvl w:val="0"/>
          <w:numId w:val="1"/>
        </w:numPr>
        <w:spacing w:line="360" w:before="105" w:after="105" w:lineRule="auto"/>
      </w:pPr>
      <w:r>
        <w:rPr>
          <w:rFonts w:eastAsia="source serif 4" w:cs="source serif 4" w:ascii="source serif 4" w:hAnsi="source serif 4"/>
          <w:b/>
          <w:color w:val="000000"/>
          <w:sz w:val="21"/>
        </w:rPr>
        <w:t xml:space="preserve">Prediction:</w:t>
      </w:r>
      <w:r>
        <w:rPr>
          <w:rFonts w:eastAsia="source serif 4" w:cs="source serif 4" w:ascii="source serif 4" w:hAnsi="source serif 4"/>
          <w:color w:val="000000"/>
          <w:sz w:val="21"/>
        </w:rPr>
        <w:t xml:space="preserve"> the condition improves statistical prediction, without establishing mechanism or intervention benefit.</w:t>
      </w:r>
    </w:p>
    <w:p>
      <w:pPr>
        <w:numPr>
          <w:ilvl w:val="0"/>
          <w:numId w:val="1"/>
        </w:numPr>
        <w:spacing w:line="360" w:before="105" w:after="105" w:lineRule="auto"/>
      </w:pPr>
      <w:r>
        <w:rPr>
          <w:rFonts w:eastAsia="source serif 4" w:cs="source serif 4" w:ascii="source serif 4" w:hAnsi="source serif 4"/>
          <w:b/>
          <w:color w:val="000000"/>
          <w:sz w:val="21"/>
        </w:rPr>
        <w:t xml:space="preserve">Contribution:</w:t>
      </w:r>
      <w:r>
        <w:rPr>
          <w:rFonts w:eastAsia="source serif 4" w:cs="source serif 4" w:ascii="source serif 4" w:hAnsi="source serif 4"/>
          <w:color w:val="000000"/>
          <w:sz w:val="21"/>
        </w:rPr>
        <w:t xml:space="preserve"> the condition plausibly participates in a causal system, often alongside correlated exposures.</w:t>
      </w:r>
    </w:p>
    <w:p>
      <w:pPr>
        <w:numPr>
          <w:ilvl w:val="0"/>
          <w:numId w:val="1"/>
        </w:numPr>
        <w:spacing w:line="360" w:before="105" w:after="105" w:lineRule="auto"/>
      </w:pPr>
      <w:r>
        <w:rPr>
          <w:rFonts w:eastAsia="source serif 4" w:cs="source serif 4" w:ascii="source serif 4" w:hAnsi="source serif 4"/>
          <w:b/>
          <w:color w:val="000000"/>
          <w:sz w:val="21"/>
        </w:rPr>
        <w:t xml:space="preserve">Causation:</w:t>
      </w:r>
      <w:r>
        <w:rPr>
          <w:rFonts w:eastAsia="source serif 4" w:cs="source serif 4" w:ascii="source serif 4" w:hAnsi="source serif 4"/>
          <w:color w:val="000000"/>
          <w:sz w:val="21"/>
        </w:rPr>
        <w:t xml:space="preserve"> a credible design estimates what would change under a defined intervention or exposure contrast.</w:t>
      </w:r>
    </w:p>
    <w:p>
      <w:pPr>
        <w:numPr>
          <w:ilvl w:val="0"/>
          <w:numId w:val="1"/>
        </w:numPr>
        <w:spacing w:line="360" w:before="105" w:after="105" w:lineRule="auto"/>
      </w:pPr>
      <w:r>
        <w:rPr>
          <w:rFonts w:eastAsia="source serif 4" w:cs="source serif 4" w:ascii="source serif 4" w:hAnsi="source serif 4"/>
          <w:b/>
          <w:color w:val="000000"/>
          <w:sz w:val="21"/>
        </w:rPr>
        <w:t xml:space="preserve">Prevention:</w:t>
      </w:r>
      <w:r>
        <w:rPr>
          <w:rFonts w:eastAsia="source serif 4" w:cs="source serif 4" w:ascii="source serif 4" w:hAnsi="source serif 4"/>
          <w:color w:val="000000"/>
          <w:sz w:val="21"/>
        </w:rPr>
        <w:t xml:space="preserve"> an intervention reduces an adverse outcome or improves a specified developmental process.</w:t>
      </w:r>
    </w:p>
    <w:p>
      <w:pPr>
        <w:numPr>
          <w:ilvl w:val="0"/>
          <w:numId w:val="1"/>
        </w:numPr>
        <w:spacing w:line="360" w:before="105" w:after="105" w:lineRule="auto"/>
      </w:pPr>
      <w:r>
        <w:rPr>
          <w:rFonts w:eastAsia="source serif 4" w:cs="source serif 4" w:ascii="source serif 4" w:hAnsi="source serif 4"/>
          <w:b/>
          <w:color w:val="000000"/>
          <w:sz w:val="21"/>
        </w:rPr>
        <w:t xml:space="preserve">Determinism:</w:t>
      </w:r>
      <w:r>
        <w:rPr>
          <w:rFonts w:eastAsia="source serif 4" w:cs="source serif 4" w:ascii="source serif 4" w:hAnsi="source serif 4"/>
          <w:color w:val="000000"/>
          <w:sz w:val="21"/>
        </w:rPr>
        <w:t xml:space="preserve"> an exposure fixes a child’s trajectory; this inference is generally not justified.</w:t>
      </w:r>
    </w:p>
    <w:p>
      <w:pPr>
        <w:spacing w:line="360" w:before="315" w:after="105" w:lineRule="auto"/>
        <w:ind w:left="-30"/>
        <w:jc w:val="left"/>
      </w:pPr>
      <w:bookmarkStart w:id="4" w:name="evidence_architecture"/>
      <w:r>
        <w:rPr>
          <w:rFonts w:eastAsia="source serif 4" w:cs="source serif 4" w:ascii="source serif 4" w:hAnsi="source serif 4"/>
          <w:b/>
          <w:color w:val="000000"/>
          <w:sz w:val="24"/>
        </w:rPr>
        <w:t xml:space="preserve">Evidence architecture</w:t>
      </w:r>
      <w:bookmarkEnd w:id="4"/>
    </w:p>
    <w:p>
      <w:pPr>
        <w:spacing w:line="360" w:after="210" w:lineRule="auto"/>
      </w:pPr>
      <w:r>
        <w:rPr>
          <w:rFonts w:eastAsia="source serif 4" w:cs="source serif 4" w:ascii="source serif 4" w:hAnsi="source serif 4"/>
          <w:color w:val="000000"/>
        </w:rPr>
        <w:t xml:space="preserve">A useful evidence hierarchy for this chapter is not a simple ranking of study types. It should ask whether the design identifies the specific ecological contrast under discussion, whether the outcome is measured reliably, whether the intervention is scalable, and whether effects replicate across settings.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tier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Main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Randomized policy or service intervention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Estimate effects of a defined change in resources, access, or exposure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Effects belong to the intervention package and context, not necessarily to the broad construct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 experiment or quasi-experiment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Estimate effects when policy assignment or timing creates a credible contrast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Identification depends on assumptions about trends, substitution, and affected populations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Genetically informed, sibling, adoption, or children-of-twins design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Test whether family-level associations may reflect confounding or transmission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not identify policy effects and can have limited generalizability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cohort with rich measurement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Examine timing, mediation, persistence, and heterogeneity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Residual confounding, selection, attrition, and measurement error remain substantial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Cross-sectional or ecological study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hypotheses about distribution and mechanisms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Weak basis for individual causal or policy claims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Mechanistic and biological evidence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Clarify plausible pathways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Plausibility does not establish developmental or intervention effects</w:t>
            </w:r>
          </w:p>
        </w:tc>
      </w:tr>
    </w:tbl>
    <w:p>
      <w:pPr>
        <w:spacing w:lineRule="auto"/>
      </w:pPr>
    </w:p>
    <w:p>
      <w:pPr>
        <w:spacing w:line="360" w:after="210" w:lineRule="auto"/>
      </w:pPr>
      <w:r>
        <w:rPr>
          <w:rFonts w:eastAsia="source serif 4" w:cs="source serif 4" w:ascii="source serif 4" w:hAnsi="source serif 4"/>
          <w:color w:val="000000"/>
        </w:rPr>
        <w:t xml:space="preserve">The dossier should require each major review to report the exposure’s timing, duration, intensity, measurement source, comparator, outcome, effect estimate, confidence interval, follow-up period, and treatment of confounding. Parent-reported household conditions should not be treated as equivalent to administrative records, geocoded environmental measures, direct observation, or randomized assignment.</w:t>
      </w:r>
    </w:p>
    <w:p>
      <w:pPr>
        <w:spacing w:line="360" w:before="315" w:after="105" w:lineRule="auto"/>
        <w:ind w:left="-30"/>
        <w:jc w:val="left"/>
      </w:pPr>
      <w:bookmarkStart w:id="5" w:name="evidence_cards"/>
      <w:r>
        <w:rPr>
          <w:rFonts w:eastAsia="source serif 4" w:cs="source serif 4" w:ascii="source serif 4" w:hAnsi="source serif 4"/>
          <w:b/>
          <w:color w:val="000000"/>
          <w:sz w:val="24"/>
        </w:rPr>
        <w:t xml:space="preserve">Evidence cards</w:t>
      </w:r>
      <w:bookmarkEnd w:id="5"/>
    </w:p>
    <w:p>
      <w:pPr>
        <w:spacing w:line="360" w:before="315" w:after="105" w:lineRule="auto"/>
        <w:ind w:left="-30"/>
        <w:jc w:val="left"/>
      </w:pPr>
      <w:bookmarkStart w:id="6" w:name="bm_1_ecological_systems_and_devel_f1e572"/>
      <w:r>
        <w:rPr>
          <w:rFonts w:eastAsia="source serif 4" w:cs="source serif 4" w:ascii="source serif 4" w:hAnsi="source serif 4"/>
          <w:b/>
          <w:color w:val="000000"/>
          <w:sz w:val="24"/>
        </w:rPr>
        <w:t xml:space="preserve">1. Ecological systems and developmental opportunity</w:t>
      </w:r>
      <w:bookmarkEnd w:id="6"/>
    </w:p>
    <w:p>
      <w:pPr>
        <w:spacing w:line="360" w:before="315" w:after="105" w:lineRule="auto"/>
        <w:ind w:left="-30"/>
        <w:jc w:val="left"/>
      </w:pPr>
      <w:bookmarkStart w:id="7" w:name="what_we_know"/>
      <w:r>
        <w:rPr>
          <w:rFonts w:eastAsia="source serif 4" w:cs="source serif 4" w:ascii="source serif 4" w:hAnsi="source serif 4"/>
          <w:b/>
          <w:color w:val="000000"/>
          <w:sz w:val="24"/>
        </w:rPr>
        <w:t xml:space="preserve">What We Know</w:t>
      </w:r>
      <w:bookmarkEnd w:id="7"/>
    </w:p>
    <w:p>
      <w:pPr>
        <w:spacing w:line="360" w:after="210" w:lineRule="auto"/>
      </w:pPr>
      <w:r>
        <w:rPr>
          <w:rFonts w:eastAsia="source serif 4" w:cs="source serif 4" w:ascii="source serif 4" w:hAnsi="source serif 4"/>
          <w:color w:val="000000"/>
        </w:rPr>
        <w:t xml:space="preserve">Development occurs through transactions between children and proximal relationships within broader social, material, institutional, and cultural contexts. Contemporary nurturing-care frameworks explicitly connect caregiver capacity to health, nutrition, safety, early learning, and enabling policies.[</w:t>
      </w:r>
      <w:r>
        <w:rPr>
          <w:rFonts w:eastAsia="source serif 4" w:cs="source serif 4" w:ascii="source serif 4" w:hAnsi="source serif 4"/>
          <w:color w:val="000000"/>
          <w:vertAlign w:val="superscript"/>
        </w:rPr>
        <w:t xml:space="preserve">4][</w:t>
      </w:r>
      <w:r>
        <w:rPr>
          <w:rFonts w:eastAsia="source serif 4" w:cs="source serif 4" w:ascii="source serif 4" w:hAnsi="source serif 4"/>
          <w:color w:val="000000"/>
        </w:rPr>
        <w:t xml:space="preserve">2]</w:t>
      </w:r>
    </w:p>
    <w:p>
      <w:pPr>
        <w:spacing w:line="360" w:before="315" w:after="105" w:lineRule="auto"/>
        <w:ind w:left="-30"/>
        <w:jc w:val="left"/>
      </w:pPr>
      <w:bookmarkStart w:id="8" w:name="how_confident_we_are"/>
      <w:r>
        <w:rPr>
          <w:rFonts w:eastAsia="source serif 4" w:cs="source serif 4" w:ascii="source serif 4" w:hAnsi="source serif 4"/>
          <w:b/>
          <w:color w:val="000000"/>
          <w:sz w:val="24"/>
        </w:rPr>
        <w:t xml:space="preserve">How Confident We Are</w:t>
      </w:r>
      <w:bookmarkEnd w:id="8"/>
    </w:p>
    <w:p>
      <w:pPr>
        <w:spacing w:line="360" w:after="210" w:lineRule="auto"/>
      </w:pPr>
      <w:r>
        <w:rPr>
          <w:rFonts w:eastAsia="source serif 4" w:cs="source serif 4" w:ascii="source serif 4" w:hAnsi="source serif 4"/>
          <w:b/>
          <w:color w:val="000000"/>
        </w:rPr>
        <w:t xml:space="preserve">Moderate to high</w:t>
      </w:r>
      <w:r>
        <w:rPr>
          <w:rFonts w:eastAsia="source serif 4" w:cs="source serif 4" w:ascii="source serif 4" w:hAnsi="source serif 4"/>
          <w:color w:val="000000"/>
        </w:rPr>
        <w:t xml:space="preserve"> for the framework-level proposition;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any claim that a particular outer-level factor independently causes a particular developmental outcome.</w:t>
      </w:r>
    </w:p>
    <w:p>
      <w:pPr>
        <w:spacing w:line="360" w:before="315" w:after="105" w:lineRule="auto"/>
        <w:ind w:left="-30"/>
        <w:jc w:val="left"/>
      </w:pPr>
      <w:bookmarkStart w:id="9" w:name="evidence_and_causal_assessment"/>
      <w:r>
        <w:rPr>
          <w:rFonts w:eastAsia="source serif 4" w:cs="source serif 4" w:ascii="source serif 4" w:hAnsi="source serif 4"/>
          <w:b/>
          <w:color w:val="000000"/>
          <w:sz w:val="24"/>
        </w:rPr>
        <w:t xml:space="preserve">Evidence and Causal Assessment</w:t>
      </w:r>
      <w:bookmarkEnd w:id="9"/>
    </w:p>
    <w:p>
      <w:pPr>
        <w:spacing w:line="360" w:after="210" w:lineRule="auto"/>
      </w:pPr>
      <w:r>
        <w:rPr>
          <w:rFonts w:eastAsia="source serif 4" w:cs="source serif 4" w:ascii="source serif 4" w:hAnsi="source serif 4"/>
          <w:color w:val="000000"/>
        </w:rPr>
        <w:t xml:space="preserve">The framework is conceptually strong and compatible with longitudinal, multilevel, and intervention research. It is not itself a causal estimate. The chapter should avoid converting ecological vocabulary into an assumption that every level has an additive or separable effect.</w:t>
      </w:r>
    </w:p>
    <w:p>
      <w:pPr>
        <w:spacing w:line="360" w:before="315" w:after="105" w:lineRule="auto"/>
        <w:ind w:left="-30"/>
        <w:jc w:val="left"/>
      </w:pPr>
      <w:bookmarkStart w:id="10" w:name="effect_size_and_persistence"/>
      <w:r>
        <w:rPr>
          <w:rFonts w:eastAsia="source serif 4" w:cs="source serif 4" w:ascii="source serif 4" w:hAnsi="source serif 4"/>
          <w:b/>
          <w:color w:val="000000"/>
          <w:sz w:val="24"/>
        </w:rPr>
        <w:t xml:space="preserve">Effect Size and Persistence</w:t>
      </w:r>
      <w:bookmarkEnd w:id="10"/>
    </w:p>
    <w:p>
      <w:pPr>
        <w:spacing w:line="360" w:after="210" w:lineRule="auto"/>
      </w:pPr>
      <w:r>
        <w:rPr>
          <w:rFonts w:eastAsia="source serif 4" w:cs="source serif 4" w:ascii="source serif 4" w:hAnsi="source serif 4"/>
          <w:color w:val="000000"/>
        </w:rPr>
        <w:t xml:space="preserve">No single effect size applies. Effects should be reported by exposure and outcome, with attention to timing, persistence, and developmental recovery.</w:t>
      </w:r>
    </w:p>
    <w:p>
      <w:pPr>
        <w:spacing w:line="360" w:before="315" w:after="105" w:lineRule="auto"/>
        <w:ind w:left="-30"/>
        <w:jc w:val="left"/>
      </w:pPr>
      <w:bookmarkStart w:id="11" w:name="bias_heterogeneity_and_confounding"/>
      <w:r>
        <w:rPr>
          <w:rFonts w:eastAsia="source serif 4" w:cs="source serif 4" w:ascii="source serif 4" w:hAnsi="source serif 4"/>
          <w:b/>
          <w:color w:val="000000"/>
          <w:sz w:val="24"/>
        </w:rPr>
        <w:t xml:space="preserve">Bias, Heterogeneity, and Confounding</w:t>
      </w:r>
      <w:bookmarkEnd w:id="11"/>
    </w:p>
    <w:p>
      <w:pPr>
        <w:spacing w:line="360" w:after="210" w:lineRule="auto"/>
      </w:pPr>
      <w:r>
        <w:rPr>
          <w:rFonts w:eastAsia="source serif 4" w:cs="source serif 4" w:ascii="source serif 4" w:hAnsi="source serif 4"/>
          <w:color w:val="000000"/>
        </w:rPr>
        <w:t xml:space="preserve">Ecological fallacy is a central risk: a neighborhood-level association does not establish that every child in that neighborhood experiences the same mechanism. Culture, institutions, and family processes are also mutually constitutive rather than independent variables.</w:t>
      </w:r>
    </w:p>
    <w:p>
      <w:pPr>
        <w:spacing w:line="360" w:before="315" w:after="105" w:lineRule="auto"/>
        <w:ind w:left="-30"/>
        <w:jc w:val="left"/>
      </w:pPr>
      <w:bookmarkStart w:id="12" w:name="what_this_does_not_mean"/>
      <w:r>
        <w:rPr>
          <w:rFonts w:eastAsia="source serif 4" w:cs="source serif 4" w:ascii="source serif 4" w:hAnsi="source serif 4"/>
          <w:b/>
          <w:color w:val="000000"/>
          <w:sz w:val="24"/>
        </w:rPr>
        <w:t xml:space="preserve">What This Does Not Mean</w:t>
      </w:r>
      <w:bookmarkEnd w:id="12"/>
    </w:p>
    <w:p>
      <w:pPr>
        <w:spacing w:line="360" w:after="210" w:lineRule="auto"/>
      </w:pPr>
      <w:r>
        <w:rPr>
          <w:rFonts w:eastAsia="source serif 4" w:cs="source serif 4" w:ascii="source serif 4" w:hAnsi="source serif 4"/>
          <w:color w:val="000000"/>
        </w:rPr>
        <w:t xml:space="preserve">It does not mean that parents are irrelevant, that all social gradients are causal, or that a model can apportion development into fixed percentages.</w:t>
      </w:r>
    </w:p>
    <w:p>
      <w:pPr>
        <w:spacing w:line="360" w:before="315" w:after="105" w:lineRule="auto"/>
        <w:ind w:left="-30"/>
        <w:jc w:val="left"/>
      </w:pPr>
      <w:bookmarkStart w:id="13" w:name="what_action_is_reasonably_justified"/>
      <w:r>
        <w:rPr>
          <w:rFonts w:eastAsia="source serif 4" w:cs="source serif 4" w:ascii="source serif 4" w:hAnsi="source serif 4"/>
          <w:b/>
          <w:color w:val="000000"/>
          <w:sz w:val="24"/>
        </w:rPr>
        <w:t xml:space="preserve">What Action Is Reasonably Justified</w:t>
      </w:r>
      <w:bookmarkEnd w:id="13"/>
    </w:p>
    <w:p>
      <w:pPr>
        <w:spacing w:line="360" w:after="210" w:lineRule="auto"/>
      </w:pPr>
      <w:r>
        <w:rPr>
          <w:rFonts w:eastAsia="source serif 4" w:cs="source serif 4" w:ascii="source serif 4" w:hAnsi="source serif 4"/>
          <w:color w:val="000000"/>
        </w:rPr>
        <w:t xml:space="preserve">Use the framework to widen the unit of analysis and to design multilevel interventions; do not use it as a substitute for evidence about a specific policy or service.</w:t>
      </w:r>
    </w:p>
    <w:p>
      <w:pPr>
        <w:spacing w:line="360" w:before="315" w:after="105" w:lineRule="auto"/>
        <w:ind w:left="-30"/>
        <w:jc w:val="left"/>
      </w:pPr>
      <w:bookmarkStart w:id="14" w:name="bm_2_income_and_development"/>
      <w:r>
        <w:rPr>
          <w:rFonts w:eastAsia="source serif 4" w:cs="source serif 4" w:ascii="source serif 4" w:hAnsi="source serif 4"/>
          <w:b/>
          <w:color w:val="000000"/>
          <w:sz w:val="24"/>
        </w:rPr>
        <w:t xml:space="preserve">2. Income and development</w:t>
      </w:r>
      <w:bookmarkEnd w:id="14"/>
    </w:p>
    <w:p>
      <w:pPr>
        <w:spacing w:line="360" w:before="315" w:after="105" w:lineRule="auto"/>
        <w:ind w:left="-30"/>
        <w:jc w:val="left"/>
      </w:pPr>
      <w:bookmarkStart w:id="15" w:name="what_we_know_2"/>
      <w:r>
        <w:rPr>
          <w:rFonts w:eastAsia="source serif 4" w:cs="source serif 4" w:ascii="source serif 4" w:hAnsi="source serif 4"/>
          <w:b/>
          <w:color w:val="000000"/>
          <w:sz w:val="24"/>
        </w:rPr>
        <w:t xml:space="preserve">What We Know</w:t>
      </w:r>
      <w:bookmarkEnd w:id="15"/>
    </w:p>
    <w:p>
      <w:pPr>
        <w:spacing w:line="360" w:after="210" w:lineRule="auto"/>
      </w:pPr>
      <w:r>
        <w:rPr>
          <w:rFonts w:eastAsia="source serif 4" w:cs="source serif 4" w:ascii="source serif 4" w:hAnsi="source serif 4"/>
          <w:color w:val="000000"/>
        </w:rPr>
        <w:t xml:space="preserve">Low income and poverty are consistently associated with developmental and health disadvantage, but the association combines material deprivation, stress, health, housing, nutrition, service access, neighborhood exposure, and selection. National Academies reviews conclude that poverty is linked to negative child outcomes, particularly when early or persistent, while also emphasizing policy trade-offs and multiple pathways.[</w:t>
      </w:r>
      <w:r>
        <w:rPr>
          <w:rFonts w:eastAsia="source serif 4" w:cs="source serif 4" w:ascii="source serif 4" w:hAnsi="source serif 4"/>
          <w:color w:val="000000"/>
          <w:vertAlign w:val="superscript"/>
        </w:rPr>
        <w:t xml:space="preserve">5][</w:t>
      </w:r>
      <w:r>
        <w:rPr>
          <w:rFonts w:eastAsia="source serif 4" w:cs="source serif 4" w:ascii="source serif 4" w:hAnsi="source serif 4"/>
          <w:color w:val="000000"/>
        </w:rPr>
        <w:t xml:space="preserve">6]</w:t>
      </w:r>
    </w:p>
    <w:p>
      <w:pPr>
        <w:spacing w:line="360" w:after="210" w:lineRule="auto"/>
      </w:pPr>
      <w:r>
        <w:rPr>
          <w:rFonts w:eastAsia="source serif 4" w:cs="source serif 4" w:ascii="source serif 4" w:hAnsi="source serif 4"/>
          <w:color w:val="000000"/>
        </w:rPr>
        <w:t xml:space="preserve">The strongest intervention evidence is mixed and outcome-specific. Baby’s First Years randomized mothers to receive either $333 or $20 per month. At age four, the study reported no statistically significant differences on preregistered language, executive-function, social-emotional, brain-activity, visual-processing, pre-literacy, or developmental-diagnosis outcomes. Earlier infant results found greater mid-to-high-frequency EEG power in the high-cash group, with standardized effects of approximately 0.17 to 0.26, but the developmental meaning and persistence of that neural difference remain uncertain.[</w:t>
      </w:r>
      <w:r>
        <w:rPr>
          <w:rFonts w:eastAsia="source serif 4" w:cs="source serif 4" w:ascii="source serif 4" w:hAnsi="source serif 4"/>
          <w:color w:val="000000"/>
          <w:vertAlign w:val="superscript"/>
        </w:rPr>
        <w:t xml:space="preserve">7][</w:t>
      </w:r>
      <w:r>
        <w:rPr>
          <w:rFonts w:eastAsia="source serif 4" w:cs="source serif 4" w:ascii="source serif 4" w:hAnsi="source serif 4"/>
          <w:color w:val="000000"/>
        </w:rPr>
        <w:t xml:space="preserve">8][^9]</w:t>
      </w:r>
    </w:p>
    <w:p>
      <w:pPr>
        <w:spacing w:line="360" w:before="315" w:after="105" w:lineRule="auto"/>
        <w:ind w:left="-30"/>
        <w:jc w:val="left"/>
      </w:pPr>
      <w:bookmarkStart w:id="16" w:name="how_confident_we_are_2"/>
      <w:r>
        <w:rPr>
          <w:rFonts w:eastAsia="source serif 4" w:cs="source serif 4" w:ascii="source serif 4" w:hAnsi="source serif 4"/>
          <w:b/>
          <w:color w:val="000000"/>
          <w:sz w:val="24"/>
        </w:rPr>
        <w:t xml:space="preserve">How Confident We Are</w:t>
      </w:r>
      <w:bookmarkEnd w:id="16"/>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 socioeconomic gradient and for income’s contribution to material opportunity;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 universal claim that unconditional cash alone improves early cognitive development.</w:t>
      </w:r>
    </w:p>
    <w:p>
      <w:pPr>
        <w:spacing w:line="360" w:before="315" w:after="105" w:lineRule="auto"/>
        <w:ind w:left="-30"/>
        <w:jc w:val="left"/>
      </w:pPr>
      <w:bookmarkStart w:id="17" w:name="evidence_and_causal_assessment_2"/>
      <w:r>
        <w:rPr>
          <w:rFonts w:eastAsia="source serif 4" w:cs="source serif 4" w:ascii="source serif 4" w:hAnsi="source serif 4"/>
          <w:b/>
          <w:color w:val="000000"/>
          <w:sz w:val="24"/>
        </w:rPr>
        <w:t xml:space="preserve">Evidence and Causal Assessment</w:t>
      </w:r>
      <w:bookmarkEnd w:id="17"/>
    </w:p>
    <w:p>
      <w:pPr>
        <w:spacing w:line="360" w:after="210" w:lineRule="auto"/>
      </w:pPr>
      <w:r>
        <w:rPr>
          <w:rFonts w:eastAsia="source serif 4" w:cs="source serif 4" w:ascii="source serif 4" w:hAnsi="source serif 4"/>
          <w:color w:val="000000"/>
        </w:rPr>
        <w:t xml:space="preserve">Observational gradients are not sufficient to identify the effect of income itself. BFY provides unusually strong evidence for a defined, unconditional, monthly cash transfer in low-income U.S. families, but its null age-four developmental findings caution against treating income supplementation as a guaranteed developmental intervention. The intervention may still affect hardship, autonomy, health, or parental goals without shifting the tested developmental outcomes.</w:t>
      </w:r>
    </w:p>
    <w:p>
      <w:pPr>
        <w:spacing w:line="360" w:before="315" w:after="105" w:lineRule="auto"/>
        <w:ind w:left="-30"/>
        <w:jc w:val="left"/>
      </w:pPr>
      <w:bookmarkStart w:id="18" w:name="effect_size_and_persistence_2"/>
      <w:r>
        <w:rPr>
          <w:rFonts w:eastAsia="source serif 4" w:cs="source serif 4" w:ascii="source serif 4" w:hAnsi="source serif 4"/>
          <w:b/>
          <w:color w:val="000000"/>
          <w:sz w:val="24"/>
        </w:rPr>
        <w:t xml:space="preserve">Effect Size and Persistence</w:t>
      </w:r>
      <w:bookmarkEnd w:id="18"/>
    </w:p>
    <w:p>
      <w:pPr>
        <w:spacing w:line="360" w:after="210" w:lineRule="auto"/>
      </w:pPr>
      <w:r>
        <w:rPr>
          <w:rFonts w:eastAsia="source serif 4" w:cs="source serif 4" w:ascii="source serif 4" w:hAnsi="source serif 4"/>
          <w:color w:val="000000"/>
        </w:rPr>
        <w:t xml:space="preserve">Report the BFY neural effect separately from the age-four null findings. Do not infer that a small early neural difference is a durable developmental benefit, or that a null result means poverty is harmless.</w:t>
      </w:r>
    </w:p>
    <w:p>
      <w:pPr>
        <w:spacing w:line="360" w:before="315" w:after="105" w:lineRule="auto"/>
        <w:ind w:left="-30"/>
        <w:jc w:val="left"/>
      </w:pPr>
      <w:bookmarkStart w:id="19" w:name="bias_heterogeneity_and_confounding_2"/>
      <w:r>
        <w:rPr>
          <w:rFonts w:eastAsia="source serif 4" w:cs="source serif 4" w:ascii="source serif 4" w:hAnsi="source serif 4"/>
          <w:b/>
          <w:color w:val="000000"/>
          <w:sz w:val="24"/>
        </w:rPr>
        <w:t xml:space="preserve">Bias, Heterogeneity, and Confounding</w:t>
      </w:r>
      <w:bookmarkEnd w:id="19"/>
    </w:p>
    <w:p>
      <w:pPr>
        <w:spacing w:line="360" w:after="210" w:lineRule="auto"/>
      </w:pPr>
      <w:r>
        <w:rPr>
          <w:rFonts w:eastAsia="source serif 4" w:cs="source serif 4" w:ascii="source serif 4" w:hAnsi="source serif 4"/>
          <w:color w:val="000000"/>
        </w:rPr>
        <w:t xml:space="preserve">Effects may depend on transfer size, duration, baseline deprivation, local prices, other services, and outcome measure. The trial does not estimate the total effect of eliminating poverty or the effect of broader anti-poverty packages.</w:t>
      </w:r>
    </w:p>
    <w:p>
      <w:pPr>
        <w:spacing w:line="360" w:before="315" w:after="105" w:lineRule="auto"/>
        <w:ind w:left="-30"/>
        <w:jc w:val="left"/>
      </w:pPr>
      <w:bookmarkStart w:id="20" w:name="what_this_does_not_mean_2"/>
      <w:r>
        <w:rPr>
          <w:rFonts w:eastAsia="source serif 4" w:cs="source serif 4" w:ascii="source serif 4" w:hAnsi="source serif 4"/>
          <w:b/>
          <w:color w:val="000000"/>
          <w:sz w:val="24"/>
        </w:rPr>
        <w:t xml:space="preserve">What This Does Not Mean</w:t>
      </w:r>
      <w:bookmarkEnd w:id="20"/>
    </w:p>
    <w:p>
      <w:pPr>
        <w:spacing w:line="360" w:after="210" w:lineRule="auto"/>
      </w:pPr>
      <w:r>
        <w:rPr>
          <w:rFonts w:eastAsia="source serif 4" w:cs="source serif 4" w:ascii="source serif 4" w:hAnsi="source serif 4"/>
          <w:color w:val="000000"/>
        </w:rPr>
        <w:t xml:space="preserve">Poverty is not evidence of low parental commitment. Nor does the BFY result show that material conditions have no causal effects.</w:t>
      </w:r>
    </w:p>
    <w:p>
      <w:pPr>
        <w:spacing w:line="360" w:before="315" w:after="105" w:lineRule="auto"/>
        <w:ind w:left="-30"/>
        <w:jc w:val="left"/>
      </w:pPr>
      <w:bookmarkStart w:id="21" w:name="what_action_is_reasonably_justified_2"/>
      <w:r>
        <w:rPr>
          <w:rFonts w:eastAsia="source serif 4" w:cs="source serif 4" w:ascii="source serif 4" w:hAnsi="source serif 4"/>
          <w:b/>
          <w:color w:val="000000"/>
          <w:sz w:val="24"/>
        </w:rPr>
        <w:t xml:space="preserve">What Action Is Reasonably Justified</w:t>
      </w:r>
      <w:bookmarkEnd w:id="21"/>
    </w:p>
    <w:p>
      <w:pPr>
        <w:spacing w:line="360" w:after="210" w:lineRule="auto"/>
      </w:pPr>
      <w:r>
        <w:rPr>
          <w:rFonts w:eastAsia="source serif 4" w:cs="source serif 4" w:ascii="source serif 4" w:hAnsi="source serif 4"/>
          <w:color w:val="000000"/>
        </w:rPr>
        <w:t xml:space="preserve">Treat income support as a material-security and anti-poverty policy first; evaluate developmental outcomes directly rather than promising universal cognitive gains.</w:t>
      </w:r>
    </w:p>
    <w:p>
      <w:pPr>
        <w:spacing w:line="360" w:before="315" w:after="105" w:lineRule="auto"/>
        <w:ind w:left="-30"/>
        <w:jc w:val="left"/>
      </w:pPr>
      <w:bookmarkStart w:id="22" w:name="bm_3_housing_mobility_and_environ_414a18"/>
      <w:r>
        <w:rPr>
          <w:rFonts w:eastAsia="source serif 4" w:cs="source serif 4" w:ascii="source serif 4" w:hAnsi="source serif 4"/>
          <w:b/>
          <w:color w:val="000000"/>
          <w:sz w:val="24"/>
        </w:rPr>
        <w:t xml:space="preserve">3. Housing, mobility, and environmental quality</w:t>
      </w:r>
      <w:bookmarkEnd w:id="22"/>
    </w:p>
    <w:p>
      <w:pPr>
        <w:spacing w:line="360" w:before="315" w:after="105" w:lineRule="auto"/>
        <w:ind w:left="-30"/>
        <w:jc w:val="left"/>
      </w:pPr>
      <w:bookmarkStart w:id="23" w:name="what_we_know_3"/>
      <w:r>
        <w:rPr>
          <w:rFonts w:eastAsia="source serif 4" w:cs="source serif 4" w:ascii="source serif 4" w:hAnsi="source serif 4"/>
          <w:b/>
          <w:color w:val="000000"/>
          <w:sz w:val="24"/>
        </w:rPr>
        <w:t xml:space="preserve">What We Know</w:t>
      </w:r>
      <w:bookmarkEnd w:id="23"/>
    </w:p>
    <w:p>
      <w:pPr>
        <w:spacing w:line="360" w:after="210" w:lineRule="auto"/>
      </w:pPr>
      <w:r>
        <w:rPr>
          <w:rFonts w:eastAsia="source serif 4" w:cs="source serif 4" w:ascii="source serif 4" w:hAnsi="source serif 4"/>
          <w:color w:val="000000"/>
        </w:rPr>
        <w:t xml:space="preserve">Housing is a bundle of exposures: stability, crowding, affordability, safety, indoor air quality, toxins, residential mobility, and neighborhood opportunity. Randomized evidence from Moving to Opportunity found that moving to lower-poverty neighborhoods before age 13 increased college attendance and adult earnings, while moving during adolescence produced smaller or slightly negative effects, plausibly reflecting disruption.[^10]</w:t>
      </w:r>
    </w:p>
    <w:p>
      <w:pPr>
        <w:spacing w:line="360" w:after="210" w:lineRule="auto"/>
      </w:pPr>
      <w:r>
        <w:rPr>
          <w:rFonts w:eastAsia="source serif 4" w:cs="source serif 4" w:ascii="source serif 4" w:hAnsi="source serif 4"/>
          <w:color w:val="000000"/>
        </w:rPr>
        <w:t xml:space="preserve">The result should be presented as evidence for a specific housing-mobility intervention, not proof that every neighborhood characteristic independently affects every developmental outcome. Earlier MTO reports found few detectable effects on contemporaneous achievement and some youth outcomes, demonstrating that long-run economic effects and near-term developmental measures can diverge.[^11]</w:t>
      </w:r>
    </w:p>
    <w:p>
      <w:pPr>
        <w:spacing w:line="360" w:before="315" w:after="105" w:lineRule="auto"/>
        <w:ind w:left="-30"/>
        <w:jc w:val="left"/>
      </w:pPr>
      <w:bookmarkStart w:id="24" w:name="how_confident_we_are_3"/>
      <w:r>
        <w:rPr>
          <w:rFonts w:eastAsia="source serif 4" w:cs="source serif 4" w:ascii="source serif 4" w:hAnsi="source serif 4"/>
          <w:b/>
          <w:color w:val="000000"/>
          <w:sz w:val="24"/>
        </w:rPr>
        <w:t xml:space="preserve">How Confident We Are</w:t>
      </w:r>
      <w:bookmarkEnd w:id="24"/>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causal effects of some neighborhood moves on later socioeconomic outcomes;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direct effects on early developmental measures.</w:t>
      </w:r>
    </w:p>
    <w:p>
      <w:pPr>
        <w:spacing w:line="360" w:before="315" w:after="105" w:lineRule="auto"/>
        <w:ind w:left="-30"/>
        <w:jc w:val="left"/>
      </w:pPr>
      <w:bookmarkStart w:id="25" w:name="effect_size_and_persistence_3"/>
      <w:r>
        <w:rPr>
          <w:rFonts w:eastAsia="source serif 4" w:cs="source serif 4" w:ascii="source serif 4" w:hAnsi="source serif 4"/>
          <w:b/>
          <w:color w:val="000000"/>
          <w:sz w:val="24"/>
        </w:rPr>
        <w:t xml:space="preserve">Effect Size and Persistence</w:t>
      </w:r>
      <w:bookmarkEnd w:id="25"/>
    </w:p>
    <w:p>
      <w:pPr>
        <w:spacing w:line="360" w:after="210" w:lineRule="auto"/>
      </w:pPr>
      <w:r>
        <w:rPr>
          <w:rFonts w:eastAsia="source serif 4" w:cs="source serif 4" w:ascii="source serif 4" w:hAnsi="source serif 4"/>
          <w:color w:val="000000"/>
        </w:rPr>
        <w:t xml:space="preserve">The reported MTO estimate for young movers was approximately 35% higher individual earnings and an estimated lifetime-earnings gain, but these are adult economic outcomes, not toddler developmental scores. A separate longitudinal study links sustained disadvantaged-neighborhood exposure and lead contamination to lower receptive vocabulary, but its causal interpretation depends on modeling assumptions.[</w:t>
      </w:r>
      <w:r>
        <w:rPr>
          <w:rFonts w:eastAsia="source serif 4" w:cs="source serif 4" w:ascii="source serif 4" w:hAnsi="source serif 4"/>
          <w:color w:val="000000"/>
          <w:vertAlign w:val="superscript"/>
        </w:rPr>
        <w:t xml:space="preserve">12][</w:t>
      </w:r>
      <w:r>
        <w:rPr>
          <w:rFonts w:eastAsia="source serif 4" w:cs="source serif 4" w:ascii="source serif 4" w:hAnsi="source serif 4"/>
          <w:color w:val="000000"/>
        </w:rPr>
        <w:t xml:space="preserve">13]</w:t>
      </w:r>
    </w:p>
    <w:p>
      <w:pPr>
        <w:spacing w:line="360" w:before="315" w:after="105" w:lineRule="auto"/>
        <w:ind w:left="-30"/>
        <w:jc w:val="left"/>
      </w:pPr>
      <w:bookmarkStart w:id="26" w:name="bias_heterogeneity_and_confounding_3"/>
      <w:r>
        <w:rPr>
          <w:rFonts w:eastAsia="source serif 4" w:cs="source serif 4" w:ascii="source serif 4" w:hAnsi="source serif 4"/>
          <w:b/>
          <w:color w:val="000000"/>
          <w:sz w:val="24"/>
        </w:rPr>
        <w:t xml:space="preserve">Bias, Heterogeneity, and Confounding</w:t>
      </w:r>
      <w:bookmarkEnd w:id="26"/>
    </w:p>
    <w:p>
      <w:pPr>
        <w:spacing w:line="360" w:after="210" w:lineRule="auto"/>
      </w:pPr>
      <w:r>
        <w:rPr>
          <w:rFonts w:eastAsia="source serif 4" w:cs="source serif 4" w:ascii="source serif 4" w:hAnsi="source serif 4"/>
          <w:color w:val="000000"/>
        </w:rPr>
        <w:t xml:space="preserve">Age at move, disruption, housing quality, school and peer environments, pollution, and selection into voucher take-up all matter. Neighborhood effects are typically modest in the broader literature and vary by outcome and developmental period.[^14]</w:t>
      </w:r>
    </w:p>
    <w:p>
      <w:pPr>
        <w:spacing w:line="360" w:before="315" w:after="105" w:lineRule="auto"/>
        <w:ind w:left="-30"/>
        <w:jc w:val="left"/>
      </w:pPr>
      <w:bookmarkStart w:id="27" w:name="what_this_does_not_mean_3"/>
      <w:r>
        <w:rPr>
          <w:rFonts w:eastAsia="source serif 4" w:cs="source serif 4" w:ascii="source serif 4" w:hAnsi="source serif 4"/>
          <w:b/>
          <w:color w:val="000000"/>
          <w:sz w:val="24"/>
        </w:rPr>
        <w:t xml:space="preserve">What This Does Not Mean</w:t>
      </w:r>
      <w:bookmarkEnd w:id="27"/>
    </w:p>
    <w:p>
      <w:pPr>
        <w:spacing w:line="360" w:after="210" w:lineRule="auto"/>
      </w:pPr>
      <w:r>
        <w:rPr>
          <w:rFonts w:eastAsia="source serif 4" w:cs="source serif 4" w:ascii="source serif 4" w:hAnsi="source serif 4"/>
          <w:color w:val="000000"/>
        </w:rPr>
        <w:t xml:space="preserve">It does not mean that moving is universally beneficial, that place determines destiny, or that families can individually solve hazardous housing and segregation.</w:t>
      </w:r>
    </w:p>
    <w:p>
      <w:pPr>
        <w:spacing w:line="360" w:before="315" w:after="105" w:lineRule="auto"/>
        <w:ind w:left="-30"/>
        <w:jc w:val="left"/>
      </w:pPr>
      <w:bookmarkStart w:id="28" w:name="what_action_is_reasonably_justified_3"/>
      <w:r>
        <w:rPr>
          <w:rFonts w:eastAsia="source serif 4" w:cs="source serif 4" w:ascii="source serif 4" w:hAnsi="source serif 4"/>
          <w:b/>
          <w:color w:val="000000"/>
          <w:sz w:val="24"/>
        </w:rPr>
        <w:t xml:space="preserve">What Action Is Reasonably Justified</w:t>
      </w:r>
      <w:bookmarkEnd w:id="28"/>
    </w:p>
    <w:p>
      <w:pPr>
        <w:spacing w:line="360" w:after="210" w:lineRule="auto"/>
      </w:pPr>
      <w:r>
        <w:rPr>
          <w:rFonts w:eastAsia="source serif 4" w:cs="source serif 4" w:ascii="source serif 4" w:hAnsi="source serif 4"/>
          <w:color w:val="000000"/>
        </w:rPr>
        <w:t xml:space="preserve">Prioritize stable, affordable, healthy housing and hazard reduction. Evaluate mobility policies for both benefits and disruption, with outcomes separated by child age and domain.</w:t>
      </w:r>
    </w:p>
    <w:p>
      <w:pPr>
        <w:spacing w:line="360" w:before="315" w:after="105" w:lineRule="auto"/>
        <w:ind w:left="-30"/>
        <w:jc w:val="left"/>
      </w:pPr>
      <w:bookmarkStart w:id="29" w:name="bm_4_nutrition_and_food_security"/>
      <w:r>
        <w:rPr>
          <w:rFonts w:eastAsia="source serif 4" w:cs="source serif 4" w:ascii="source serif 4" w:hAnsi="source serif 4"/>
          <w:b/>
          <w:color w:val="000000"/>
          <w:sz w:val="24"/>
        </w:rPr>
        <w:t xml:space="preserve">4. Nutrition and food security</w:t>
      </w:r>
      <w:bookmarkEnd w:id="29"/>
    </w:p>
    <w:p>
      <w:pPr>
        <w:spacing w:line="360" w:before="315" w:after="105" w:lineRule="auto"/>
        <w:ind w:left="-30"/>
        <w:jc w:val="left"/>
      </w:pPr>
      <w:bookmarkStart w:id="30" w:name="what_we_know_4"/>
      <w:r>
        <w:rPr>
          <w:rFonts w:eastAsia="source serif 4" w:cs="source serif 4" w:ascii="source serif 4" w:hAnsi="source serif 4"/>
          <w:b/>
          <w:color w:val="000000"/>
          <w:sz w:val="24"/>
        </w:rPr>
        <w:t xml:space="preserve">What We Know</w:t>
      </w:r>
      <w:bookmarkEnd w:id="30"/>
    </w:p>
    <w:p>
      <w:pPr>
        <w:spacing w:line="360" w:after="210" w:lineRule="auto"/>
      </w:pPr>
      <w:r>
        <w:rPr>
          <w:rFonts w:eastAsia="source serif 4" w:cs="source serif 4" w:ascii="source serif 4" w:hAnsi="source serif 4"/>
          <w:color w:val="000000"/>
        </w:rPr>
        <w:t xml:space="preserve">Food insecurity is associated with cognitive, behavioral, and psychosocial difficulties, with the most consistent evidence reported for academic/cognitive outcomes and externalizing behavior. Proposed pathways include inadequate quantity or quality of food, caregiver mental-health strain, and household stress.[^15]</w:t>
      </w:r>
    </w:p>
    <w:p>
      <w:pPr>
        <w:spacing w:line="360" w:before="315" w:after="105" w:lineRule="auto"/>
        <w:ind w:left="-30"/>
        <w:jc w:val="left"/>
      </w:pPr>
      <w:bookmarkStart w:id="31" w:name="how_confident_we_are_4"/>
      <w:r>
        <w:rPr>
          <w:rFonts w:eastAsia="source serif 4" w:cs="source serif 4" w:ascii="source serif 4" w:hAnsi="source serif 4"/>
          <w:b/>
          <w:color w:val="000000"/>
          <w:sz w:val="24"/>
        </w:rPr>
        <w:t xml:space="preserve">How Confident We Are</w:t>
      </w:r>
      <w:bookmarkEnd w:id="31"/>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association and plausible multi-pathway contribution;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 precise causal estimate of food insecurity itself.</w:t>
      </w:r>
    </w:p>
    <w:p>
      <w:pPr>
        <w:spacing w:line="360" w:before="315" w:after="105" w:lineRule="auto"/>
        <w:ind w:left="-30"/>
        <w:jc w:val="left"/>
      </w:pPr>
      <w:bookmarkStart w:id="32" w:name="evidence_and_causal_assessment_3"/>
      <w:r>
        <w:rPr>
          <w:rFonts w:eastAsia="source serif 4" w:cs="source serif 4" w:ascii="source serif 4" w:hAnsi="source serif 4"/>
          <w:b/>
          <w:color w:val="000000"/>
          <w:sz w:val="24"/>
        </w:rPr>
        <w:t xml:space="preserve">Evidence and Causal Assessment</w:t>
      </w:r>
      <w:bookmarkEnd w:id="32"/>
    </w:p>
    <w:p>
      <w:pPr>
        <w:spacing w:line="360" w:after="210" w:lineRule="auto"/>
      </w:pPr>
      <w:r>
        <w:rPr>
          <w:rFonts w:eastAsia="source serif 4" w:cs="source serif 4" w:ascii="source serif 4" w:hAnsi="source serif 4"/>
          <w:color w:val="000000"/>
        </w:rPr>
        <w:t xml:space="preserve">The literature is limited by inconsistent definitions of food insecurity, varying developmental measures, and difficulty separating severity, persistence, and economic circumstances. The chapter should distinguish nutritional deficiency from food insecurity as a psychosocial and material condition.</w:t>
      </w:r>
    </w:p>
    <w:p>
      <w:pPr>
        <w:spacing w:line="360" w:before="315" w:after="105" w:lineRule="auto"/>
        <w:ind w:left="-30"/>
        <w:jc w:val="left"/>
      </w:pPr>
      <w:bookmarkStart w:id="33" w:name="effect_size_and_persistence_4"/>
      <w:r>
        <w:rPr>
          <w:rFonts w:eastAsia="source serif 4" w:cs="source serif 4" w:ascii="source serif 4" w:hAnsi="source serif 4"/>
          <w:b/>
          <w:color w:val="000000"/>
          <w:sz w:val="24"/>
        </w:rPr>
        <w:t xml:space="preserve">Effect Size and Persistence</w:t>
      </w:r>
      <w:bookmarkEnd w:id="33"/>
    </w:p>
    <w:p>
      <w:pPr>
        <w:spacing w:line="360" w:after="210" w:lineRule="auto"/>
      </w:pPr>
      <w:r>
        <w:rPr>
          <w:rFonts w:eastAsia="source serif 4" w:cs="source serif 4" w:ascii="source serif 4" w:hAnsi="source serif 4"/>
          <w:color w:val="000000"/>
        </w:rPr>
        <w:t xml:space="preserve">Avoid one pooled effect size unless a review uses harmonized measures. Prioritize severity and trajectories, especially transitions into and out of food insecurity.</w:t>
      </w:r>
    </w:p>
    <w:p>
      <w:pPr>
        <w:spacing w:line="360" w:before="315" w:after="105" w:lineRule="auto"/>
        <w:ind w:left="-30"/>
        <w:jc w:val="left"/>
      </w:pPr>
      <w:bookmarkStart w:id="34" w:name="what_this_does_not_mean_4"/>
      <w:r>
        <w:rPr>
          <w:rFonts w:eastAsia="source serif 4" w:cs="source serif 4" w:ascii="source serif 4" w:hAnsi="source serif 4"/>
          <w:b/>
          <w:color w:val="000000"/>
          <w:sz w:val="24"/>
        </w:rPr>
        <w:t xml:space="preserve">What This Does Not Mean</w:t>
      </w:r>
      <w:bookmarkEnd w:id="34"/>
    </w:p>
    <w:p>
      <w:pPr>
        <w:spacing w:line="360" w:after="210" w:lineRule="auto"/>
      </w:pPr>
      <w:r>
        <w:rPr>
          <w:rFonts w:eastAsia="source serif 4" w:cs="source serif 4" w:ascii="source serif 4" w:hAnsi="source serif 4"/>
          <w:color w:val="000000"/>
        </w:rPr>
        <w:t xml:space="preserve">Food insecurity should not be interpreted as parental irresponsibility or as proof that a particular diet independently explains broad developmental differences.</w:t>
      </w:r>
    </w:p>
    <w:p>
      <w:pPr>
        <w:spacing w:line="360" w:before="315" w:after="105" w:lineRule="auto"/>
        <w:ind w:left="-30"/>
        <w:jc w:val="left"/>
      </w:pPr>
      <w:bookmarkStart w:id="35" w:name="what_action_is_reasonably_justified_4"/>
      <w:r>
        <w:rPr>
          <w:rFonts w:eastAsia="source serif 4" w:cs="source serif 4" w:ascii="source serif 4" w:hAnsi="source serif 4"/>
          <w:b/>
          <w:color w:val="000000"/>
          <w:sz w:val="24"/>
        </w:rPr>
        <w:t xml:space="preserve">What Action Is Reasonably Justified</w:t>
      </w:r>
      <w:bookmarkEnd w:id="35"/>
    </w:p>
    <w:p>
      <w:pPr>
        <w:spacing w:line="360" w:after="210" w:lineRule="auto"/>
      </w:pPr>
      <w:r>
        <w:rPr>
          <w:rFonts w:eastAsia="source serif 4" w:cs="source serif 4" w:ascii="source serif 4" w:hAnsi="source serif 4"/>
          <w:color w:val="000000"/>
        </w:rPr>
        <w:t xml:space="preserve">Food access, income support, nutrition assistance, and healthcare are proportionate targets; developmental promises should remain outcome-specific.</w:t>
      </w:r>
    </w:p>
    <w:p>
      <w:pPr>
        <w:spacing w:line="360" w:before="315" w:after="105" w:lineRule="auto"/>
        <w:ind w:left="-30"/>
        <w:jc w:val="left"/>
      </w:pPr>
      <w:bookmarkStart w:id="36" w:name="bm_5_employment_and_work_conditions"/>
      <w:r>
        <w:rPr>
          <w:rFonts w:eastAsia="source serif 4" w:cs="source serif 4" w:ascii="source serif 4" w:hAnsi="source serif 4"/>
          <w:b/>
          <w:color w:val="000000"/>
          <w:sz w:val="24"/>
        </w:rPr>
        <w:t xml:space="preserve">5. Employment and work conditions</w:t>
      </w:r>
      <w:bookmarkEnd w:id="36"/>
    </w:p>
    <w:p>
      <w:pPr>
        <w:spacing w:line="360" w:before="315" w:after="105" w:lineRule="auto"/>
        <w:ind w:left="-30"/>
        <w:jc w:val="left"/>
      </w:pPr>
      <w:bookmarkStart w:id="37" w:name="what_we_know_5"/>
      <w:r>
        <w:rPr>
          <w:rFonts w:eastAsia="source serif 4" w:cs="source serif 4" w:ascii="source serif 4" w:hAnsi="source serif 4"/>
          <w:b/>
          <w:color w:val="000000"/>
          <w:sz w:val="24"/>
        </w:rPr>
        <w:t xml:space="preserve">What We Know</w:t>
      </w:r>
      <w:bookmarkEnd w:id="37"/>
    </w:p>
    <w:p>
      <w:pPr>
        <w:spacing w:line="360" w:after="210" w:lineRule="auto"/>
      </w:pPr>
      <w:r>
        <w:rPr>
          <w:rFonts w:eastAsia="source serif 4" w:cs="source serif 4" w:ascii="source serif 4" w:hAnsi="source serif 4"/>
          <w:color w:val="000000"/>
        </w:rPr>
        <w:t xml:space="preserve">Employment can provide income, structure, identity, and access to benefits, while unstable, unpredictable, low-control, or nonstandard work can affect sleep, stress, childcare, and parent-child time. A critical review found associations between nonstandard schedules and adverse child outcomes, partly mediated by parental depressive symptoms, parenting quality, interaction, and home support; associations were stronger in disadvantaged families and among full-time nonstandard workers.[^16]</w:t>
      </w:r>
    </w:p>
    <w:p>
      <w:pPr>
        <w:spacing w:line="360" w:before="315" w:after="105" w:lineRule="auto"/>
        <w:ind w:left="-30"/>
        <w:jc w:val="left"/>
      </w:pPr>
      <w:bookmarkStart w:id="38" w:name="how_confident_we_are_5"/>
      <w:r>
        <w:rPr>
          <w:rFonts w:eastAsia="source serif 4" w:cs="source serif 4" w:ascii="source serif 4" w:hAnsi="source serif 4"/>
          <w:b/>
          <w:color w:val="000000"/>
          <w:sz w:val="24"/>
        </w:rPr>
        <w:t xml:space="preserve">How Confident We Are</w:t>
      </w:r>
      <w:bookmarkEnd w:id="38"/>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because employment is highly heterogeneous and selection into jobs is nonrandom.</w:t>
      </w:r>
    </w:p>
    <w:p>
      <w:pPr>
        <w:spacing w:line="360" w:before="315" w:after="105" w:lineRule="auto"/>
        <w:ind w:left="-30"/>
        <w:jc w:val="left"/>
      </w:pPr>
      <w:bookmarkStart w:id="39" w:name="evidence_and_causal_assessment_4"/>
      <w:r>
        <w:rPr>
          <w:rFonts w:eastAsia="source serif 4" w:cs="source serif 4" w:ascii="source serif 4" w:hAnsi="source serif 4"/>
          <w:b/>
          <w:color w:val="000000"/>
          <w:sz w:val="24"/>
        </w:rPr>
        <w:t xml:space="preserve">Evidence and Causal Assessment</w:t>
      </w:r>
      <w:bookmarkEnd w:id="39"/>
    </w:p>
    <w:p>
      <w:pPr>
        <w:spacing w:line="360" w:after="210" w:lineRule="auto"/>
      </w:pPr>
      <w:r>
        <w:rPr>
          <w:rFonts w:eastAsia="source serif 4" w:cs="source serif 4" w:ascii="source serif 4" w:hAnsi="source serif 4"/>
          <w:color w:val="000000"/>
        </w:rPr>
        <w:t xml:space="preserve">“Parental employment” should be rejected as a unitary exposure. Analyses need to separate employment status, hours, predictability, schedule timing, control, job security, pay, leave, commute, and childcare arrangements. The chapter should test parent-to-child, child-to-parent, and transactional pathways.</w:t>
      </w:r>
    </w:p>
    <w:p>
      <w:pPr>
        <w:spacing w:line="360" w:before="315" w:after="105" w:lineRule="auto"/>
        <w:ind w:left="-30"/>
        <w:jc w:val="left"/>
      </w:pPr>
      <w:bookmarkStart w:id="40" w:name="what_this_does_not_mean_5"/>
      <w:r>
        <w:rPr>
          <w:rFonts w:eastAsia="source serif 4" w:cs="source serif 4" w:ascii="source serif 4" w:hAnsi="source serif 4"/>
          <w:b/>
          <w:color w:val="000000"/>
          <w:sz w:val="24"/>
        </w:rPr>
        <w:t xml:space="preserve">What This Does Not Mean</w:t>
      </w:r>
      <w:bookmarkEnd w:id="40"/>
    </w:p>
    <w:p>
      <w:pPr>
        <w:spacing w:line="360" w:after="210" w:lineRule="auto"/>
      </w:pPr>
      <w:r>
        <w:rPr>
          <w:rFonts w:eastAsia="source serif 4" w:cs="source serif 4" w:ascii="source serif 4" w:hAnsi="source serif 4"/>
          <w:color w:val="000000"/>
        </w:rPr>
        <w:t xml:space="preserve">More parental time is not automatically better, and employment is not automatically harmful. A job can reduce material stress while increasing schedule strain.</w:t>
      </w:r>
    </w:p>
    <w:p>
      <w:pPr>
        <w:spacing w:line="360" w:before="315" w:after="105" w:lineRule="auto"/>
        <w:ind w:left="-30"/>
        <w:jc w:val="left"/>
      </w:pPr>
      <w:bookmarkStart w:id="41" w:name="what_action_is_reasonably_justified_5"/>
      <w:r>
        <w:rPr>
          <w:rFonts w:eastAsia="source serif 4" w:cs="source serif 4" w:ascii="source serif 4" w:hAnsi="source serif 4"/>
          <w:b/>
          <w:color w:val="000000"/>
          <w:sz w:val="24"/>
        </w:rPr>
        <w:t xml:space="preserve">What Action Is Reasonably Justified</w:t>
      </w:r>
      <w:bookmarkEnd w:id="41"/>
    </w:p>
    <w:p>
      <w:pPr>
        <w:spacing w:line="360" w:after="210" w:lineRule="auto"/>
      </w:pPr>
      <w:r>
        <w:rPr>
          <w:rFonts w:eastAsia="source serif 4" w:cs="source serif 4" w:ascii="source serif 4" w:hAnsi="source serif 4"/>
          <w:color w:val="000000"/>
        </w:rPr>
        <w:t xml:space="preserve">Policy should target job quality, predictability, paid leave, childcare access, and income adequacy rather than prescribing one employment pattern.</w:t>
      </w:r>
    </w:p>
    <w:p>
      <w:pPr>
        <w:spacing w:line="360" w:before="315" w:after="105" w:lineRule="auto"/>
        <w:ind w:left="-30"/>
        <w:jc w:val="left"/>
      </w:pPr>
      <w:bookmarkStart w:id="42" w:name="bm_6_paid_parental_leave"/>
      <w:r>
        <w:rPr>
          <w:rFonts w:eastAsia="source serif 4" w:cs="source serif 4" w:ascii="source serif 4" w:hAnsi="source serif 4"/>
          <w:b/>
          <w:color w:val="000000"/>
          <w:sz w:val="24"/>
        </w:rPr>
        <w:t xml:space="preserve">6. Paid parental leave</w:t>
      </w:r>
      <w:bookmarkEnd w:id="42"/>
    </w:p>
    <w:p>
      <w:pPr>
        <w:spacing w:line="360" w:before="315" w:after="105" w:lineRule="auto"/>
        <w:ind w:left="-30"/>
        <w:jc w:val="left"/>
      </w:pPr>
      <w:bookmarkStart w:id="43" w:name="what_we_know_6"/>
      <w:r>
        <w:rPr>
          <w:rFonts w:eastAsia="source serif 4" w:cs="source serif 4" w:ascii="source serif 4" w:hAnsi="source serif 4"/>
          <w:b/>
          <w:color w:val="000000"/>
          <w:sz w:val="24"/>
        </w:rPr>
        <w:t xml:space="preserve">What We Know</w:t>
      </w:r>
      <w:bookmarkEnd w:id="43"/>
    </w:p>
    <w:p>
      <w:pPr>
        <w:spacing w:line="360" w:after="210" w:lineRule="auto"/>
      </w:pPr>
      <w:r>
        <w:rPr>
          <w:rFonts w:eastAsia="source serif 4" w:cs="source serif 4" w:ascii="source serif 4" w:hAnsi="source serif 4"/>
          <w:color w:val="000000"/>
        </w:rPr>
        <w:t xml:space="preserve">Leave policies can alter time at home, income, breastfeeding opportunities, childcare entry, parental recovery, and stress, but effects on child development are mixed. A review concludes that the literature remains small and generally finds small or null effects, with policy design likely important.[^17]</w:t>
      </w:r>
    </w:p>
    <w:p>
      <w:pPr>
        <w:spacing w:line="360" w:after="210" w:lineRule="auto"/>
      </w:pPr>
      <w:r>
        <w:rPr>
          <w:rFonts w:eastAsia="source serif 4" w:cs="source serif 4" w:ascii="source serif 4" w:hAnsi="source serif 4"/>
          <w:color w:val="000000"/>
        </w:rPr>
        <w:t xml:space="preserve">Quasi-experimental findings are not uniform: one German reform study found no impact on language, motor, socio-emotional, or school-readiness outcomes at age six, while other reforms have reported later well-being or attendance effects.[</w:t>
      </w:r>
      <w:r>
        <w:rPr>
          <w:rFonts w:eastAsia="source serif 4" w:cs="source serif 4" w:ascii="source serif 4" w:hAnsi="source serif 4"/>
          <w:color w:val="000000"/>
          <w:vertAlign w:val="superscript"/>
        </w:rPr>
        <w:t xml:space="preserve">18][</w:t>
      </w:r>
      <w:r>
        <w:rPr>
          <w:rFonts w:eastAsia="source serif 4" w:cs="source serif 4" w:ascii="source serif 4" w:hAnsi="source serif 4"/>
          <w:color w:val="000000"/>
        </w:rPr>
        <w:t xml:space="preserve">19]</w:t>
      </w:r>
    </w:p>
    <w:p>
      <w:pPr>
        <w:spacing w:line="360" w:before="315" w:after="105" w:lineRule="auto"/>
        <w:ind w:left="-30"/>
        <w:jc w:val="left"/>
      </w:pPr>
      <w:bookmarkStart w:id="44" w:name="how_confident_we_are_6"/>
      <w:r>
        <w:rPr>
          <w:rFonts w:eastAsia="source serif 4" w:cs="source serif 4" w:ascii="source serif 4" w:hAnsi="source serif 4"/>
          <w:b/>
          <w:color w:val="000000"/>
          <w:sz w:val="24"/>
        </w:rPr>
        <w:t xml:space="preserve">How Confident We Are</w:t>
      </w:r>
      <w:bookmarkEnd w:id="44"/>
    </w:p>
    <w:p>
      <w:pPr>
        <w:spacing w:line="360" w:after="210" w:lineRule="auto"/>
      </w:pP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varying substantially by policy design, generosity, eligibility, parent, and outcome.</w:t>
      </w:r>
    </w:p>
    <w:p>
      <w:pPr>
        <w:spacing w:line="360" w:before="315" w:after="105" w:lineRule="auto"/>
        <w:ind w:left="-30"/>
        <w:jc w:val="left"/>
      </w:pPr>
      <w:bookmarkStart w:id="45" w:name="what_this_does_not_mean_6"/>
      <w:r>
        <w:rPr>
          <w:rFonts w:eastAsia="source serif 4" w:cs="source serif 4" w:ascii="source serif 4" w:hAnsi="source serif 4"/>
          <w:b/>
          <w:color w:val="000000"/>
          <w:sz w:val="24"/>
        </w:rPr>
        <w:t xml:space="preserve">What This Does Not Mean</w:t>
      </w:r>
      <w:bookmarkEnd w:id="45"/>
    </w:p>
    <w:p>
      <w:pPr>
        <w:spacing w:line="360" w:after="210" w:lineRule="auto"/>
      </w:pPr>
      <w:r>
        <w:rPr>
          <w:rFonts w:eastAsia="source serif 4" w:cs="source serif 4" w:ascii="source serif 4" w:hAnsi="source serif 4"/>
          <w:color w:val="000000"/>
        </w:rPr>
        <w:t xml:space="preserve">A null result for one leave reform does not show that leave is useless, and an association between paid leave and language or infant brain measures does not establish causation.[</w:t>
      </w:r>
      <w:r>
        <w:rPr>
          <w:rFonts w:eastAsia="source serif 4" w:cs="source serif 4" w:ascii="source serif 4" w:hAnsi="source serif 4"/>
          <w:color w:val="000000"/>
          <w:vertAlign w:val="superscript"/>
        </w:rPr>
        <w:t xml:space="preserve">20][</w:t>
      </w:r>
      <w:r>
        <w:rPr>
          <w:rFonts w:eastAsia="source serif 4" w:cs="source serif 4" w:ascii="source serif 4" w:hAnsi="source serif 4"/>
          <w:color w:val="000000"/>
        </w:rPr>
        <w:t xml:space="preserve">21]</w:t>
      </w:r>
    </w:p>
    <w:p>
      <w:pPr>
        <w:spacing w:line="360" w:before="315" w:after="105" w:lineRule="auto"/>
        <w:ind w:left="-30"/>
        <w:jc w:val="left"/>
      </w:pPr>
      <w:bookmarkStart w:id="46" w:name="what_action_is_reasonably_justified_6"/>
      <w:r>
        <w:rPr>
          <w:rFonts w:eastAsia="source serif 4" w:cs="source serif 4" w:ascii="source serif 4" w:hAnsi="source serif 4"/>
          <w:b/>
          <w:color w:val="000000"/>
          <w:sz w:val="24"/>
        </w:rPr>
        <w:t xml:space="preserve">What Action Is Reasonably Justified</w:t>
      </w:r>
      <w:bookmarkEnd w:id="46"/>
    </w:p>
    <w:p>
      <w:pPr>
        <w:spacing w:line="360" w:after="210" w:lineRule="auto"/>
      </w:pPr>
      <w:r>
        <w:rPr>
          <w:rFonts w:eastAsia="source serif 4" w:cs="source serif 4" w:ascii="source serif 4" w:hAnsi="source serif 4"/>
          <w:color w:val="000000"/>
        </w:rPr>
        <w:t xml:space="preserve">Assess leave as a family-wellbeing, employment, health, and care-infrastructure policy, while requiring child-development outcomes to be measured rather than assumed.</w:t>
      </w:r>
    </w:p>
    <w:p>
      <w:pPr>
        <w:spacing w:line="360" w:before="315" w:after="105" w:lineRule="auto"/>
        <w:ind w:left="-30"/>
        <w:jc w:val="left"/>
      </w:pPr>
      <w:bookmarkStart w:id="47" w:name="bm_7_childcare_systems"/>
      <w:r>
        <w:rPr>
          <w:rFonts w:eastAsia="source serif 4" w:cs="source serif 4" w:ascii="source serif 4" w:hAnsi="source serif 4"/>
          <w:b/>
          <w:color w:val="000000"/>
          <w:sz w:val="24"/>
        </w:rPr>
        <w:t xml:space="preserve">7. Childcare systems</w:t>
      </w:r>
      <w:bookmarkEnd w:id="47"/>
    </w:p>
    <w:p>
      <w:pPr>
        <w:spacing w:line="360" w:before="315" w:after="105" w:lineRule="auto"/>
        <w:ind w:left="-30"/>
        <w:jc w:val="left"/>
      </w:pPr>
      <w:bookmarkStart w:id="48" w:name="what_we_know_7"/>
      <w:r>
        <w:rPr>
          <w:rFonts w:eastAsia="source serif 4" w:cs="source serif 4" w:ascii="source serif 4" w:hAnsi="source serif 4"/>
          <w:b/>
          <w:color w:val="000000"/>
          <w:sz w:val="24"/>
        </w:rPr>
        <w:t xml:space="preserve">What We Know</w:t>
      </w:r>
      <w:bookmarkEnd w:id="48"/>
    </w:p>
    <w:p>
      <w:pPr>
        <w:spacing w:line="360" w:after="210" w:lineRule="auto"/>
      </w:pPr>
      <w:r>
        <w:rPr>
          <w:rFonts w:eastAsia="source serif 4" w:cs="source serif 4" w:ascii="source serif 4" w:hAnsi="source serif 4"/>
          <w:color w:val="000000"/>
        </w:rPr>
        <w:t xml:space="preserve">Childcare quality is modestly associated with cognitive and social development in NICHD research, while family characteristics and parenting are generally stronger predictors. System-level effects depend on access, affordability, continuity, workforce conditions, group size, ratios, qualifications, and the quality of interactions.[^22]</w:t>
      </w:r>
    </w:p>
    <w:p>
      <w:pPr>
        <w:spacing w:line="360" w:before="315" w:after="105" w:lineRule="auto"/>
        <w:ind w:left="-30"/>
        <w:jc w:val="left"/>
      </w:pPr>
      <w:bookmarkStart w:id="49" w:name="how_confident_we_are_7"/>
      <w:r>
        <w:rPr>
          <w:rFonts w:eastAsia="source serif 4" w:cs="source serif 4" w:ascii="source serif 4" w:hAnsi="source serif 4"/>
          <w:b/>
          <w:color w:val="000000"/>
          <w:sz w:val="24"/>
        </w:rPr>
        <w:t xml:space="preserve">How Confident We Are</w:t>
      </w:r>
      <w:bookmarkEnd w:id="4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importance of care quality and access;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any single system design producing uniform effects.</w:t>
      </w:r>
    </w:p>
    <w:p>
      <w:pPr>
        <w:spacing w:line="360" w:before="315" w:after="105" w:lineRule="auto"/>
        <w:ind w:left="-30"/>
        <w:jc w:val="left"/>
      </w:pPr>
      <w:bookmarkStart w:id="50" w:name="what_this_does_not_mean_7"/>
      <w:r>
        <w:rPr>
          <w:rFonts w:eastAsia="source serif 4" w:cs="source serif 4" w:ascii="source serif 4" w:hAnsi="source serif 4"/>
          <w:b/>
          <w:color w:val="000000"/>
          <w:sz w:val="24"/>
        </w:rPr>
        <w:t xml:space="preserve">What This Does Not Mean</w:t>
      </w:r>
      <w:bookmarkEnd w:id="50"/>
    </w:p>
    <w:p>
      <w:pPr>
        <w:spacing w:line="360" w:after="210" w:lineRule="auto"/>
      </w:pPr>
      <w:r>
        <w:rPr>
          <w:rFonts w:eastAsia="source serif 4" w:cs="source serif 4" w:ascii="source serif 4" w:hAnsi="source serif 4"/>
          <w:color w:val="000000"/>
        </w:rPr>
        <w:t xml:space="preserve">Formal childcare is not inherently superior to family care, and family care is not automatically protective. “Childcare” must be decomposed into quality, timing, stability, purpose, and alternatives.</w:t>
      </w:r>
    </w:p>
    <w:p>
      <w:pPr>
        <w:spacing w:line="360" w:before="315" w:after="105" w:lineRule="auto"/>
        <w:ind w:left="-30"/>
        <w:jc w:val="left"/>
      </w:pPr>
      <w:bookmarkStart w:id="51" w:name="what_action_is_reasonably_justified_7"/>
      <w:r>
        <w:rPr>
          <w:rFonts w:eastAsia="source serif 4" w:cs="source serif 4" w:ascii="source serif 4" w:hAnsi="source serif 4"/>
          <w:b/>
          <w:color w:val="000000"/>
          <w:sz w:val="24"/>
        </w:rPr>
        <w:t xml:space="preserve">What Action Is Reasonably Justified</w:t>
      </w:r>
      <w:bookmarkEnd w:id="51"/>
    </w:p>
    <w:p>
      <w:pPr>
        <w:spacing w:line="360" w:after="210" w:lineRule="auto"/>
      </w:pPr>
      <w:r>
        <w:rPr>
          <w:rFonts w:eastAsia="source serif 4" w:cs="source serif 4" w:ascii="source serif 4" w:hAnsi="source serif 4"/>
          <w:color w:val="000000"/>
        </w:rPr>
        <w:t xml:space="preserve">Invest in safe, stable, affordable care and a supported workforce; evaluate child outcomes, caregiver employment, parental wellbeing, and distributional effects together.</w:t>
      </w:r>
    </w:p>
    <w:p>
      <w:pPr>
        <w:spacing w:line="360" w:before="315" w:after="105" w:lineRule="auto"/>
        <w:ind w:left="-30"/>
        <w:jc w:val="left"/>
      </w:pPr>
      <w:bookmarkStart w:id="52" w:name="bm_8_healthcare_and_mental_health_9ef362"/>
      <w:r>
        <w:rPr>
          <w:rFonts w:eastAsia="source serif 4" w:cs="source serif 4" w:ascii="source serif 4" w:hAnsi="source serif 4"/>
          <w:b/>
          <w:color w:val="000000"/>
          <w:sz w:val="24"/>
        </w:rPr>
        <w:t xml:space="preserve">8. Healthcare and mental-health services</w:t>
      </w:r>
      <w:bookmarkEnd w:id="52"/>
    </w:p>
    <w:p>
      <w:pPr>
        <w:spacing w:line="360" w:before="315" w:after="105" w:lineRule="auto"/>
        <w:ind w:left="-30"/>
        <w:jc w:val="left"/>
      </w:pPr>
      <w:bookmarkStart w:id="53" w:name="what_we_know_8"/>
      <w:r>
        <w:rPr>
          <w:rFonts w:eastAsia="source serif 4" w:cs="source serif 4" w:ascii="source serif 4" w:hAnsi="source serif 4"/>
          <w:b/>
          <w:color w:val="000000"/>
          <w:sz w:val="24"/>
        </w:rPr>
        <w:t xml:space="preserve">What We Know</w:t>
      </w:r>
      <w:bookmarkEnd w:id="53"/>
    </w:p>
    <w:p>
      <w:pPr>
        <w:spacing w:line="360" w:after="210" w:lineRule="auto"/>
      </w:pPr>
      <w:r>
        <w:rPr>
          <w:rFonts w:eastAsia="source serif 4" w:cs="source serif 4" w:ascii="source serif 4" w:hAnsi="source serif 4"/>
          <w:color w:val="000000"/>
        </w:rPr>
        <w:t xml:space="preserve">The nurturing-care framework identifies health, nutrition, security, responsive care, and early learning as interconnected conditions, and calls for health, nutrition, education, protection, and social-protection systems to work together. Healthcare access plausibly affects development through prevention, treatment, developmental surveillance, hearing and vision, nutrition, and support for caregiver mental health.[</w:t>
      </w:r>
      <w:r>
        <w:rPr>
          <w:rFonts w:eastAsia="source serif 4" w:cs="source serif 4" w:ascii="source serif 4" w:hAnsi="source serif 4"/>
          <w:color w:val="000000"/>
          <w:vertAlign w:val="superscript"/>
        </w:rPr>
        <w:t xml:space="preserve">3][</w:t>
      </w:r>
      <w:r>
        <w:rPr>
          <w:rFonts w:eastAsia="source serif 4" w:cs="source serif 4" w:ascii="source serif 4" w:hAnsi="source serif 4"/>
          <w:color w:val="000000"/>
        </w:rPr>
        <w:t xml:space="preserve">23]</w:t>
      </w:r>
    </w:p>
    <w:p>
      <w:pPr>
        <w:spacing w:line="360" w:before="315" w:after="105" w:lineRule="auto"/>
        <w:ind w:left="-30"/>
        <w:jc w:val="left"/>
      </w:pPr>
      <w:bookmarkStart w:id="54" w:name="how_confident_we_are_8"/>
      <w:r>
        <w:rPr>
          <w:rFonts w:eastAsia="source serif 4" w:cs="source serif 4" w:ascii="source serif 4" w:hAnsi="source serif 4"/>
          <w:b/>
          <w:color w:val="000000"/>
          <w:sz w:val="24"/>
        </w:rPr>
        <w:t xml:space="preserve">How Confident We Are</w:t>
      </w:r>
      <w:bookmarkEnd w:id="54"/>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the importance of access to health and developmental services;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the effect of particular screening or referral systems on population-level development.</w:t>
      </w:r>
    </w:p>
    <w:p>
      <w:pPr>
        <w:spacing w:line="360" w:before="315" w:after="105" w:lineRule="auto"/>
        <w:ind w:left="-30"/>
        <w:jc w:val="left"/>
      </w:pPr>
      <w:bookmarkStart w:id="55" w:name="what_remains_uncertain"/>
      <w:r>
        <w:rPr>
          <w:rFonts w:eastAsia="source serif 4" w:cs="source serif 4" w:ascii="source serif 4" w:hAnsi="source serif 4"/>
          <w:b/>
          <w:color w:val="000000"/>
          <w:sz w:val="24"/>
        </w:rPr>
        <w:t xml:space="preserve">What Remains Uncertain</w:t>
      </w:r>
      <w:bookmarkEnd w:id="55"/>
    </w:p>
    <w:p>
      <w:pPr>
        <w:spacing w:line="360" w:after="210" w:lineRule="auto"/>
      </w:pPr>
      <w:r>
        <w:rPr>
          <w:rFonts w:eastAsia="source serif 4" w:cs="source serif 4" w:ascii="source serif 4" w:hAnsi="source serif 4"/>
          <w:color w:val="000000"/>
        </w:rPr>
        <w:t xml:space="preserve">Screening is not the same as effective intervention. The research must trace the pathway from access to detection, referral, treatment, implementation fidelity, and child outcome.</w:t>
      </w:r>
    </w:p>
    <w:p>
      <w:pPr>
        <w:spacing w:line="360" w:before="315" w:after="105" w:lineRule="auto"/>
        <w:ind w:left="-30"/>
        <w:jc w:val="left"/>
      </w:pPr>
      <w:bookmarkStart w:id="56" w:name="what_action_is_reasonably_justified_8"/>
      <w:r>
        <w:rPr>
          <w:rFonts w:eastAsia="source serif 4" w:cs="source serif 4" w:ascii="source serif 4" w:hAnsi="source serif 4"/>
          <w:b/>
          <w:color w:val="000000"/>
          <w:sz w:val="24"/>
        </w:rPr>
        <w:t xml:space="preserve">What Action Is Reasonably Justified</w:t>
      </w:r>
      <w:bookmarkEnd w:id="56"/>
    </w:p>
    <w:p>
      <w:pPr>
        <w:spacing w:line="360" w:after="210" w:lineRule="auto"/>
      </w:pPr>
      <w:r>
        <w:rPr>
          <w:rFonts w:eastAsia="source serif 4" w:cs="source serif 4" w:ascii="source serif 4" w:hAnsi="source serif 4"/>
          <w:color w:val="000000"/>
        </w:rPr>
        <w:t xml:space="preserve">Evaluate continuity, affordability, cultural and linguistic accessibility, referral completion, and treatment quality—not screening rates alone.</w:t>
      </w:r>
    </w:p>
    <w:p>
      <w:pPr>
        <w:spacing w:line="360" w:before="315" w:after="105" w:lineRule="auto"/>
        <w:ind w:left="-30"/>
        <w:jc w:val="left"/>
      </w:pPr>
      <w:bookmarkStart w:id="57" w:name="bm_9_neighborhoods_and_inequality"/>
      <w:r>
        <w:rPr>
          <w:rFonts w:eastAsia="source serif 4" w:cs="source serif 4" w:ascii="source serif 4" w:hAnsi="source serif 4"/>
          <w:b/>
          <w:color w:val="000000"/>
          <w:sz w:val="24"/>
        </w:rPr>
        <w:t xml:space="preserve">9. Neighborhoods and inequality</w:t>
      </w:r>
      <w:bookmarkEnd w:id="57"/>
    </w:p>
    <w:p>
      <w:pPr>
        <w:spacing w:line="360" w:before="315" w:after="105" w:lineRule="auto"/>
        <w:ind w:left="-30"/>
        <w:jc w:val="left"/>
      </w:pPr>
      <w:bookmarkStart w:id="58" w:name="what_we_know_9"/>
      <w:r>
        <w:rPr>
          <w:rFonts w:eastAsia="source serif 4" w:cs="source serif 4" w:ascii="source serif 4" w:hAnsi="source serif 4"/>
          <w:b/>
          <w:color w:val="000000"/>
          <w:sz w:val="24"/>
        </w:rPr>
        <w:t xml:space="preserve">What We Know</w:t>
      </w:r>
      <w:bookmarkEnd w:id="58"/>
    </w:p>
    <w:p>
      <w:pPr>
        <w:spacing w:line="360" w:after="210" w:lineRule="auto"/>
      </w:pPr>
      <w:r>
        <w:rPr>
          <w:rFonts w:eastAsia="source serif 4" w:cs="source serif 4" w:ascii="source serif 4" w:hAnsi="source serif 4"/>
          <w:color w:val="000000"/>
        </w:rPr>
        <w:t xml:space="preserve">Reviews consistently identify neighborhood deprivation, household income and wealth, parental education, job strain, unemployment, housing tenure, and material deprivation as associated with early-childhood health and developmental inequalities. However, neighborhood effects are typically modest and vary by outcome; experimental and quasi-experimental evidence supports some long-run place effects while not validating every observational estimate.[</w:t>
      </w:r>
      <w:r>
        <w:rPr>
          <w:rFonts w:eastAsia="source serif 4" w:cs="source serif 4" w:ascii="source serif 4" w:hAnsi="source serif 4"/>
          <w:color w:val="000000"/>
          <w:vertAlign w:val="superscript"/>
        </w:rPr>
        <w:t xml:space="preserve">24][</w:t>
      </w:r>
      <w:r>
        <w:rPr>
          <w:rFonts w:eastAsia="source serif 4" w:cs="source serif 4" w:ascii="source serif 4" w:hAnsi="source serif 4"/>
          <w:color w:val="000000"/>
        </w:rPr>
        <w:t xml:space="preserve">14]</w:t>
      </w:r>
    </w:p>
    <w:p>
      <w:pPr>
        <w:spacing w:line="360" w:before="315" w:after="105" w:lineRule="auto"/>
        <w:ind w:left="-30"/>
        <w:jc w:val="left"/>
      </w:pPr>
      <w:bookmarkStart w:id="59" w:name="how_confident_we_are_9"/>
      <w:r>
        <w:rPr>
          <w:rFonts w:eastAsia="source serif 4" w:cs="source serif 4" w:ascii="source serif 4" w:hAnsi="source serif 4"/>
          <w:b/>
          <w:color w:val="000000"/>
          <w:sz w:val="24"/>
        </w:rPr>
        <w:t xml:space="preserve">How Confident We Are</w:t>
      </w:r>
      <w:bookmarkEnd w:id="59"/>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patterned inequalities; </w:t>
      </w:r>
      <w:r>
        <w:rPr>
          <w:rFonts w:eastAsia="source serif 4" w:cs="source serif 4" w:ascii="source serif 4" w:hAnsi="source serif 4"/>
          <w:b/>
          <w:color w:val="000000"/>
        </w:rPr>
        <w:t xml:space="preserve">low to moderate</w:t>
      </w:r>
      <w:r>
        <w:rPr>
          <w:rFonts w:eastAsia="source serif 4" w:cs="source serif 4" w:ascii="source serif 4" w:hAnsi="source serif 4"/>
          <w:color w:val="000000"/>
        </w:rPr>
        <w:t xml:space="preserve"> for independent causal effects of broad neighborhood constructs.</w:t>
      </w:r>
    </w:p>
    <w:p>
      <w:pPr>
        <w:spacing w:line="360" w:before="315" w:after="105" w:lineRule="auto"/>
        <w:ind w:left="-30"/>
        <w:jc w:val="left"/>
      </w:pPr>
      <w:bookmarkStart w:id="60" w:name="what_this_does_not_mean_8"/>
      <w:r>
        <w:rPr>
          <w:rFonts w:eastAsia="source serif 4" w:cs="source serif 4" w:ascii="source serif 4" w:hAnsi="source serif 4"/>
          <w:b/>
          <w:color w:val="000000"/>
          <w:sz w:val="24"/>
        </w:rPr>
        <w:t xml:space="preserve">What This Does Not Mean</w:t>
      </w:r>
      <w:bookmarkEnd w:id="60"/>
    </w:p>
    <w:p>
      <w:pPr>
        <w:spacing w:line="360" w:after="210" w:lineRule="auto"/>
      </w:pPr>
      <w:r>
        <w:rPr>
          <w:rFonts w:eastAsia="source serif 4" w:cs="source serif 4" w:ascii="source serif 4" w:hAnsi="source serif 4"/>
          <w:color w:val="000000"/>
        </w:rPr>
        <w:t xml:space="preserve">Neighborhood-level effects should not be used to label children, families, or communities. Nor should race or class be treated as biological explanations when structural exposure patterns may be doing the explanatory work.</w:t>
      </w:r>
    </w:p>
    <w:p>
      <w:pPr>
        <w:spacing w:line="360" w:before="315" w:after="105" w:lineRule="auto"/>
        <w:ind w:left="-30"/>
        <w:jc w:val="left"/>
      </w:pPr>
      <w:bookmarkStart w:id="61" w:name="what_action_is_reasonably_justified_9"/>
      <w:r>
        <w:rPr>
          <w:rFonts w:eastAsia="source serif 4" w:cs="source serif 4" w:ascii="source serif 4" w:hAnsi="source serif 4"/>
          <w:b/>
          <w:color w:val="000000"/>
          <w:sz w:val="24"/>
        </w:rPr>
        <w:t xml:space="preserve">What Action Is Reasonably Justified</w:t>
      </w:r>
      <w:bookmarkEnd w:id="61"/>
    </w:p>
    <w:p>
      <w:pPr>
        <w:spacing w:line="360" w:after="210" w:lineRule="auto"/>
      </w:pPr>
      <w:r>
        <w:rPr>
          <w:rFonts w:eastAsia="source serif 4" w:cs="source serif 4" w:ascii="source serif 4" w:hAnsi="source serif 4"/>
          <w:color w:val="000000"/>
        </w:rPr>
        <w:t xml:space="preserve">Target hazards, safety, resources, mobility constraints, segregation, and service access. Report heterogeneity by child age, baseline risk, race/ethnicity as a social position, family structure, and local institutional context.</w:t>
      </w:r>
    </w:p>
    <w:p>
      <w:pPr>
        <w:spacing w:line="360" w:before="315" w:after="105" w:lineRule="auto"/>
        <w:ind w:left="-30"/>
        <w:jc w:val="left"/>
      </w:pPr>
      <w:bookmarkStart w:id="62" w:name="bm_10_culture_and_public_policy"/>
      <w:r>
        <w:rPr>
          <w:rFonts w:eastAsia="source serif 4" w:cs="source serif 4" w:ascii="source serif 4" w:hAnsi="source serif 4"/>
          <w:b/>
          <w:color w:val="000000"/>
          <w:sz w:val="24"/>
        </w:rPr>
        <w:t xml:space="preserve">10. Culture and public policy</w:t>
      </w:r>
      <w:bookmarkEnd w:id="62"/>
    </w:p>
    <w:p>
      <w:pPr>
        <w:spacing w:line="360" w:before="315" w:after="105" w:lineRule="auto"/>
        <w:ind w:left="-30"/>
        <w:jc w:val="left"/>
      </w:pPr>
      <w:bookmarkStart w:id="63" w:name="what_we_know_10"/>
      <w:r>
        <w:rPr>
          <w:rFonts w:eastAsia="source serif 4" w:cs="source serif 4" w:ascii="source serif 4" w:hAnsi="source serif 4"/>
          <w:b/>
          <w:color w:val="000000"/>
          <w:sz w:val="24"/>
        </w:rPr>
        <w:t xml:space="preserve">What We Know</w:t>
      </w:r>
      <w:bookmarkEnd w:id="63"/>
    </w:p>
    <w:p>
      <w:pPr>
        <w:spacing w:line="360" w:after="210" w:lineRule="auto"/>
      </w:pPr>
      <w:r>
        <w:rPr>
          <w:rFonts w:eastAsia="source serif 4" w:cs="source serif 4" w:ascii="source serif 4" w:hAnsi="source serif 4"/>
          <w:color w:val="000000"/>
        </w:rPr>
        <w:t xml:space="preserve">Culture shapes developmental expectations, family organization, meanings of care, social networks, and institutional fit. It should be analyzed as a dynamic system that interacts with policy and material conditions, not as a fixed national trait. Public policies can alter developmental conditions, but policy effects belong to specific designs and implementation contexts.</w:t>
      </w:r>
    </w:p>
    <w:p>
      <w:pPr>
        <w:spacing w:line="360" w:before="315" w:after="105" w:lineRule="auto"/>
        <w:ind w:left="-30"/>
        <w:jc w:val="left"/>
      </w:pPr>
      <w:bookmarkStart w:id="64" w:name="how_confident_we_are_10"/>
      <w:r>
        <w:rPr>
          <w:rFonts w:eastAsia="source serif 4" w:cs="source serif 4" w:ascii="source serif 4" w:hAnsi="source serif 4"/>
          <w:b/>
          <w:color w:val="000000"/>
          <w:sz w:val="24"/>
        </w:rPr>
        <w:t xml:space="preserve">How Confident We Are</w:t>
      </w:r>
      <w:bookmarkEnd w:id="64"/>
    </w:p>
    <w:p>
      <w:pPr>
        <w:spacing w:line="360" w:after="210" w:lineRule="auto"/>
      </w:pPr>
      <w:r>
        <w:rPr>
          <w:rFonts w:eastAsia="source serif 4" w:cs="source serif 4" w:ascii="source serif 4" w:hAnsi="source serif 4"/>
          <w:b/>
          <w:color w:val="000000"/>
        </w:rPr>
        <w:t xml:space="preserve">Moderate</w:t>
      </w:r>
      <w:r>
        <w:rPr>
          <w:rFonts w:eastAsia="source serif 4" w:cs="source serif 4" w:ascii="source serif 4" w:hAnsi="source serif 4"/>
          <w:color w:val="000000"/>
        </w:rPr>
        <w:t xml:space="preserve"> for cultural and policy context as necessary components of interpretation; </w:t>
      </w:r>
      <w:r>
        <w:rPr>
          <w:rFonts w:eastAsia="source serif 4" w:cs="source serif 4" w:ascii="source serif 4" w:hAnsi="source serif 4"/>
          <w:b/>
          <w:color w:val="000000"/>
        </w:rPr>
        <w:t xml:space="preserve">variable</w:t>
      </w:r>
      <w:r>
        <w:rPr>
          <w:rFonts w:eastAsia="source serif 4" w:cs="source serif 4" w:ascii="source serif 4" w:hAnsi="source serif 4"/>
          <w:color w:val="000000"/>
        </w:rPr>
        <w:t xml:space="preserve"> for causal estimates.</w:t>
      </w:r>
    </w:p>
    <w:p>
      <w:pPr>
        <w:spacing w:line="360" w:before="315" w:after="105" w:lineRule="auto"/>
        <w:ind w:left="-30"/>
        <w:jc w:val="left"/>
      </w:pPr>
      <w:bookmarkStart w:id="65" w:name="what_action_is_reasonably_justified_10"/>
      <w:r>
        <w:rPr>
          <w:rFonts w:eastAsia="source serif 4" w:cs="source serif 4" w:ascii="source serif 4" w:hAnsi="source serif 4"/>
          <w:b/>
          <w:color w:val="000000"/>
          <w:sz w:val="24"/>
        </w:rPr>
        <w:t xml:space="preserve">What Action Is Reasonably Justified</w:t>
      </w:r>
      <w:bookmarkEnd w:id="65"/>
    </w:p>
    <w:p>
      <w:pPr>
        <w:spacing w:line="360" w:after="210" w:lineRule="auto"/>
      </w:pPr>
      <w:r>
        <w:rPr>
          <w:rFonts w:eastAsia="source serif 4" w:cs="source serif 4" w:ascii="source serif 4" w:hAnsi="source serif 4"/>
          <w:color w:val="000000"/>
        </w:rPr>
        <w:t xml:space="preserve">Compare policies across settings without treating one country’s institutional arrangement as universally optimal. Use policy evaluation to identify active ingredients, distributional consequences, implementation dependence, and unintended effects.</w:t>
      </w:r>
    </w:p>
    <w:p>
      <w:pPr>
        <w:spacing w:line="360" w:before="315" w:after="105" w:lineRule="auto"/>
        <w:ind w:left="-30"/>
        <w:jc w:val="left"/>
      </w:pPr>
      <w:bookmarkStart w:id="66" w:name="revised_claim_register"/>
      <w:r>
        <w:rPr>
          <w:rFonts w:eastAsia="source serif 4" w:cs="source serif 4" w:ascii="source serif 4" w:hAnsi="source serif 4"/>
          <w:b/>
          <w:color w:val="000000"/>
          <w:sz w:val="24"/>
        </w:rPr>
        <w:t xml:space="preserve">Revised claim register</w:t>
      </w:r>
      <w:bookmarkEnd w:id="6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Revised claim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 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Overall certainty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Development emerges through interacting proximal relationships and broader contexts.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Conceptual plus multilevel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Income contributes to developmental opportunity through material and psychosocial pathways, but unconditional cash effects on early tested development are outcome-specific.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RCT plus observational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C13-03</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Housing stability, safety, hazards, and neighborhood opportunity shape developmental environments; some mobility effects are causal and age-dependent.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and quasi-experimental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Employment affects children through income, time, stress, schedules, childcare, and parental wellbeing; employment status alone is inadequate.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quasi-experimental, heterogeneous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Paid leave changes family time and resources, but child-development effects vary by design and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Quasi-experimental and observational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Low–Moderate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access and quality alter developmental opportunities, with generally modest quality associations and strong system dependence.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program evaluation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C13-07</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Healthcare and developmental-service access can support wellbeing through prevention, detection, treatment, and caregiver support; service access is not equivalent to effective care.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Service and health-systems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C13-08</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Neighborhood conditions matter, but independent causal effects are generally modest, outcome-specific, and difficult to separate from selection.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Experimental, quasi-experimental, observational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C13-09</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Inequality distributes exposure to developmental opportunities and constraints; its mechanisms are multiple and not reducible to parenting.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Broad convergent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C13-10</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policy can alter developmental conditions, but effects depend on design, uptake, implementation, and institutional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evaluation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C13-11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Advantages and disadvantages can accumulate, but trajectories remain probabilistic and revisable.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Longitudinal and mobility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C13-12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Parenting occurs within systems that enable and constrain action, while caregiver behavior remains an important proximal process.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Conceptual plus intervention evidence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Moderate–High</w:t>
            </w:r>
          </w:p>
        </w:tc>
      </w:tr>
    </w:tbl>
    <w:p>
      <w:pPr>
        <w:spacing w:lineRule="auto"/>
      </w:pPr>
    </w:p>
    <w:p>
      <w:pPr>
        <w:spacing w:line="360" w:before="315" w:after="105" w:lineRule="auto"/>
        <w:ind w:left="-30"/>
        <w:jc w:val="left"/>
      </w:pPr>
      <w:bookmarkStart w:id="67" w:name="causal_maps_to_retain"/>
      <w:r>
        <w:rPr>
          <w:rFonts w:eastAsia="source serif 4" w:cs="source serif 4" w:ascii="source serif 4" w:hAnsi="source serif 4"/>
          <w:b/>
          <w:color w:val="000000"/>
          <w:sz w:val="24"/>
        </w:rPr>
        <w:t xml:space="preserve">Causal maps to retain</w:t>
      </w:r>
      <w:bookmarkEnd w:id="67"/>
    </w:p>
    <w:p>
      <w:pPr>
        <w:spacing w:line="360" w:before="315" w:after="105" w:lineRule="auto"/>
        <w:ind w:left="-30"/>
        <w:jc w:val="left"/>
      </w:pPr>
      <w:bookmarkStart w:id="68" w:name="map_a_developmental_ecology"/>
      <w:r>
        <w:rPr>
          <w:rFonts w:eastAsia="source serif 4" w:cs="source serif 4" w:ascii="source serif 4" w:hAnsi="source serif 4"/>
          <w:b/>
          <w:color w:val="000000"/>
          <w:sz w:val="24"/>
        </w:rPr>
        <w:t xml:space="preserve">Map A: Developmental ecology</w:t>
      </w:r>
      <w:bookmarkEnd w:id="68"/>
    </w:p>
    <w:p>
      <w:pPr>
        <w:spacing w:line="360" w:after="210" w:lineRule="auto"/>
      </w:pPr>
      <w:r>
        <w:rPr>
          <w:rFonts w:eastAsia="source serif 4" w:cs="source serif 4" w:ascii="source serif 4" w:hAnsi="source serif 4"/>
          <w:color w:val="000000"/>
        </w:rPr>
        <w:t xml:space="preserve">Policy and political economy → institutions and services → material and relational family conditions → child experiences → developmental outcomes.</w:t>
      </w:r>
    </w:p>
    <w:p>
      <w:pPr>
        <w:spacing w:line="360" w:after="210" w:lineRule="auto"/>
      </w:pPr>
      <w:r>
        <w:rPr>
          <w:rFonts w:eastAsia="source serif 4" w:cs="source serif 4" w:ascii="source serif 4" w:hAnsi="source serif 4"/>
          <w:color w:val="000000"/>
        </w:rPr>
        <w:t xml:space="preserve">The arrows should be bidirectional where evidence supports them: child characteristics influence caregiver behavior; families select into neighborhoods and services; developmental outcomes can alter employment, stress, and service use.</w:t>
      </w:r>
    </w:p>
    <w:p>
      <w:pPr>
        <w:spacing w:line="360" w:before="315" w:after="105" w:lineRule="auto"/>
        <w:ind w:left="-30"/>
        <w:jc w:val="left"/>
      </w:pPr>
      <w:bookmarkStart w:id="69" w:name="map_b_income"/>
      <w:r>
        <w:rPr>
          <w:rFonts w:eastAsia="source serif 4" w:cs="source serif 4" w:ascii="source serif 4" w:hAnsi="source serif 4"/>
          <w:b/>
          <w:color w:val="000000"/>
          <w:sz w:val="24"/>
        </w:rPr>
        <w:t xml:space="preserve">Map B: Income</w:t>
      </w:r>
      <w:bookmarkEnd w:id="69"/>
    </w:p>
    <w:p>
      <w:pPr>
        <w:spacing w:line="360" w:after="210" w:lineRule="auto"/>
      </w:pPr>
      <w:r>
        <w:rPr>
          <w:rFonts w:eastAsia="source serif 4" w:cs="source serif 4" w:ascii="source serif 4" w:hAnsi="source serif 4"/>
          <w:color w:val="000000"/>
        </w:rPr>
        <w:t xml:space="preserve">Income and benefits → food, housing, healthcare, learning materials, time, stress, and autonomy → caregiver wellbeing and family routines → developmental experiences → outcomes.</w:t>
      </w:r>
    </w:p>
    <w:p>
      <w:pPr>
        <w:spacing w:line="360" w:after="210" w:lineRule="auto"/>
      </w:pPr>
      <w:r>
        <w:rPr>
          <w:rFonts w:eastAsia="source serif 4" w:cs="source serif 4" w:ascii="source serif 4" w:hAnsi="source serif 4"/>
          <w:color w:val="000000"/>
        </w:rPr>
        <w:t xml:space="preserve">The map must include substitution and thresholds: additional money may matter differently under severe deprivation, moderate hardship, or near-basic-security conditions.</w:t>
      </w:r>
    </w:p>
    <w:p>
      <w:pPr>
        <w:spacing w:line="360" w:before="315" w:after="105" w:lineRule="auto"/>
        <w:ind w:left="-30"/>
        <w:jc w:val="left"/>
      </w:pPr>
      <w:bookmarkStart w:id="70" w:name="map_c_neighborhoods"/>
      <w:r>
        <w:rPr>
          <w:rFonts w:eastAsia="source serif 4" w:cs="source serif 4" w:ascii="source serif 4" w:hAnsi="source serif 4"/>
          <w:b/>
          <w:color w:val="000000"/>
          <w:sz w:val="24"/>
        </w:rPr>
        <w:t xml:space="preserve">Map C: Neighborhoods</w:t>
      </w:r>
      <w:bookmarkEnd w:id="70"/>
    </w:p>
    <w:p>
      <w:pPr>
        <w:spacing w:line="360" w:after="210" w:lineRule="auto"/>
      </w:pPr>
      <w:r>
        <w:rPr>
          <w:rFonts w:eastAsia="source serif 4" w:cs="source serif 4" w:ascii="source serif 4" w:hAnsi="source serif 4"/>
          <w:color w:val="000000"/>
        </w:rPr>
        <w:t xml:space="preserve">Segregation, housing markets, and policy → neighborhood safety, hazards, resources, institutions, peers, and social processes → caregiver stress and child exposure → development.</w:t>
      </w:r>
    </w:p>
    <w:p>
      <w:pPr>
        <w:spacing w:line="360" w:before="315" w:after="105" w:lineRule="auto"/>
        <w:ind w:left="-30"/>
        <w:jc w:val="left"/>
      </w:pPr>
      <w:bookmarkStart w:id="71" w:name="map_d_healthcare"/>
      <w:r>
        <w:rPr>
          <w:rFonts w:eastAsia="source serif 4" w:cs="source serif 4" w:ascii="source serif 4" w:hAnsi="source serif 4"/>
          <w:b/>
          <w:color w:val="000000"/>
          <w:sz w:val="24"/>
        </w:rPr>
        <w:t xml:space="preserve">Map D: Healthcare</w:t>
      </w:r>
      <w:bookmarkEnd w:id="71"/>
    </w:p>
    <w:p>
      <w:pPr>
        <w:spacing w:line="360" w:after="210" w:lineRule="auto"/>
      </w:pPr>
      <w:r>
        <w:rPr>
          <w:rFonts w:eastAsia="source serif 4" w:cs="source serif 4" w:ascii="source serif 4" w:hAnsi="source serif 4"/>
          <w:color w:val="000000"/>
        </w:rPr>
        <w:t xml:space="preserve">Eligibility, affordability, geography, trust, and continuity → prevention, detection, treatment, referral, and caregiver support → health and developmental opportunity.</w:t>
      </w:r>
    </w:p>
    <w:p>
      <w:pPr>
        <w:spacing w:line="360" w:before="315" w:after="105" w:lineRule="auto"/>
        <w:ind w:left="-30"/>
        <w:jc w:val="left"/>
      </w:pPr>
      <w:bookmarkStart w:id="72" w:name="map_e_cumulative_opportunity"/>
      <w:r>
        <w:rPr>
          <w:rFonts w:eastAsia="source serif 4" w:cs="source serif 4" w:ascii="source serif 4" w:hAnsi="source serif 4"/>
          <w:b/>
          <w:color w:val="000000"/>
          <w:sz w:val="24"/>
        </w:rPr>
        <w:t xml:space="preserve">Map E: Cumulative opportunity</w:t>
      </w:r>
      <w:bookmarkEnd w:id="72"/>
    </w:p>
    <w:p>
      <w:pPr>
        <w:spacing w:line="360" w:after="210" w:lineRule="auto"/>
      </w:pPr>
      <w:r>
        <w:rPr>
          <w:rFonts w:eastAsia="source serif 4" w:cs="source serif 4" w:ascii="source serif 4" w:hAnsi="source serif 4"/>
          <w:color w:val="000000"/>
        </w:rPr>
        <w:t xml:space="preserve">Early resources and constraints → differential exposure and response → widening or narrowing opportunities → later access to institutions and resources.</w:t>
      </w:r>
    </w:p>
    <w:p>
      <w:pPr>
        <w:spacing w:line="360" w:after="210" w:lineRule="auto"/>
      </w:pPr>
      <w:r>
        <w:rPr>
          <w:rFonts w:eastAsia="source serif 4" w:cs="source serif 4" w:ascii="source serif 4" w:hAnsi="source serif 4"/>
          <w:color w:val="000000"/>
        </w:rPr>
        <w:t xml:space="preserve">The map should include turning points, recovery, policy interruption, and heterogeneity rather than implying an irreversible cascade.</w:t>
      </w:r>
    </w:p>
    <w:p>
      <w:pPr>
        <w:spacing w:line="360" w:before="315" w:after="105" w:lineRule="auto"/>
        <w:ind w:left="-30"/>
        <w:jc w:val="left"/>
      </w:pPr>
      <w:bookmarkStart w:id="73" w:name="timeline_design"/>
      <w:r>
        <w:rPr>
          <w:rFonts w:eastAsia="source serif 4" w:cs="source serif 4" w:ascii="source serif 4" w:hAnsi="source serif 4"/>
          <w:b/>
          <w:color w:val="000000"/>
          <w:sz w:val="24"/>
        </w:rPr>
        <w:t xml:space="preserve">Timeline design</w:t>
      </w:r>
      <w:bookmarkEnd w:id="73"/>
    </w:p>
    <w:p>
      <w:pPr>
        <w:spacing w:line="360" w:after="210" w:lineRule="auto"/>
      </w:pPr>
      <w:r>
        <w:rPr>
          <w:rFonts w:eastAsia="source serif 4" w:cs="source serif 4" w:ascii="source serif 4" w:hAnsi="source serif 4"/>
          <w:color w:val="000000"/>
        </w:rPr>
        <w:t xml:space="preserve">Organize the timeline by exposure windows rather than by a universal developmental script:</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Period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Ecological questions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Outcomes to prioritize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Preconception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Income, housing, health access, employment, stress, social protection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Parental health, pregnancy planning, biological and relational conditions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Pregnancy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Nutrition, healthcare, housing hazards, work conditions, mental-health services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Maternal and fetal health, birth outcomes, prenatal care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Birth–12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Leave, income, food security, housing stability, healthcare, caregiver wellbeing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Health, feeding, sleep, responsive caregiving, early regulation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12–24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entry, work schedules, neighborhood safety, language opportunities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self-regulation, social engagement, health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24–36 months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Care quality, service continuity, mobility, cumulative hardship, early learning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Language, executive function, symbolic play, behavior, wellbeing</w:t>
            </w:r>
          </w:p>
        </w:tc>
      </w:tr>
    </w:tbl>
    <w:p>
      <w:pPr>
        <w:spacing w:lineRule="auto"/>
      </w:pPr>
    </w:p>
    <w:p>
      <w:pPr>
        <w:spacing w:line="360" w:before="315" w:after="105" w:lineRule="auto"/>
        <w:ind w:left="-30"/>
        <w:jc w:val="left"/>
      </w:pPr>
      <w:bookmarkStart w:id="74" w:name="replication_and_controversy_register"/>
      <w:r>
        <w:rPr>
          <w:rFonts w:eastAsia="source serif 4" w:cs="source serif 4" w:ascii="source serif 4" w:hAnsi="source serif 4"/>
          <w:b/>
          <w:color w:val="000000"/>
          <w:sz w:val="24"/>
        </w:rPr>
        <w:t xml:space="preserve">Replication and controversy register</w:t>
      </w:r>
      <w:bookmarkEnd w:id="74"/>
    </w:p>
    <w:p>
      <w:pPr>
        <w:spacing w:line="360" w:after="210" w:lineRule="auto"/>
      </w:pPr>
      <w:r>
        <w:rPr>
          <w:rFonts w:eastAsia="source serif 4" w:cs="source serif 4" w:ascii="source serif 4" w:hAnsi="source serif 4"/>
          <w:color w:val="000000"/>
        </w:rPr>
        <w:t xml:space="preserve">The dossier should actively seek contradictory evidence on the following issues:</w:t>
      </w:r>
    </w:p>
    <w:p>
      <w:pPr>
        <w:numPr>
          <w:ilvl w:val="0"/>
          <w:numId w:val="2"/>
        </w:numPr>
        <w:spacing w:line="360" w:before="105" w:after="105" w:lineRule="auto"/>
      </w:pPr>
      <w:r>
        <w:rPr>
          <w:rFonts w:eastAsia="source serif 4" w:cs="source serif 4" w:ascii="source serif 4" w:hAnsi="source serif 4"/>
          <w:b/>
          <w:color w:val="000000"/>
          <w:sz w:val="21"/>
        </w:rPr>
        <w:t xml:space="preserve">Income:</w:t>
      </w:r>
      <w:r>
        <w:rPr>
          <w:rFonts w:eastAsia="source serif 4" w:cs="source serif 4" w:ascii="source serif 4" w:hAnsi="source serif 4"/>
          <w:color w:val="000000"/>
          <w:sz w:val="21"/>
        </w:rPr>
        <w:t xml:space="preserve"> BFY’s age-four null developmental findings versus earlier infant EEG differences; distinguish poverty reduction from cash-only treatment.</w:t>
      </w:r>
    </w:p>
    <w:p>
      <w:pPr>
        <w:numPr>
          <w:ilvl w:val="0"/>
          <w:numId w:val="2"/>
        </w:numPr>
        <w:spacing w:line="360" w:before="105" w:after="105" w:lineRule="auto"/>
      </w:pPr>
      <w:r>
        <w:rPr>
          <w:rFonts w:eastAsia="source serif 4" w:cs="source serif 4" w:ascii="source serif 4" w:hAnsi="source serif 4"/>
          <w:b/>
          <w:color w:val="000000"/>
          <w:sz w:val="21"/>
        </w:rPr>
        <w:t xml:space="preserve">Neighborhoods:</w:t>
      </w:r>
      <w:r>
        <w:rPr>
          <w:rFonts w:eastAsia="source serif 4" w:cs="source serif 4" w:ascii="source serif 4" w:hAnsi="source serif 4"/>
          <w:color w:val="000000"/>
          <w:sz w:val="21"/>
        </w:rPr>
        <w:t xml:space="preserve"> early MTO null achievement findings versus later economic benefits; distinguish contemporaneous from adult outcomes.</w:t>
      </w:r>
    </w:p>
    <w:p>
      <w:pPr>
        <w:numPr>
          <w:ilvl w:val="0"/>
          <w:numId w:val="2"/>
        </w:numPr>
        <w:spacing w:line="360" w:before="105" w:after="105" w:lineRule="auto"/>
      </w:pPr>
      <w:r>
        <w:rPr>
          <w:rFonts w:eastAsia="source serif 4" w:cs="source serif 4" w:ascii="source serif 4" w:hAnsi="source serif 4"/>
          <w:b/>
          <w:color w:val="000000"/>
          <w:sz w:val="21"/>
        </w:rPr>
        <w:t xml:space="preserve">Parental leave:</w:t>
      </w:r>
      <w:r>
        <w:rPr>
          <w:rFonts w:eastAsia="source serif 4" w:cs="source serif 4" w:ascii="source serif 4" w:hAnsi="source serif 4"/>
          <w:color w:val="000000"/>
          <w:sz w:val="21"/>
        </w:rPr>
        <w:t xml:space="preserve"> positive quasi-experimental findings versus precisely estimated null reforms; compare design, eligibility, take-up, and childcare substitution.</w:t>
      </w:r>
    </w:p>
    <w:p>
      <w:pPr>
        <w:numPr>
          <w:ilvl w:val="0"/>
          <w:numId w:val="2"/>
        </w:numPr>
        <w:spacing w:line="360" w:before="105" w:after="105" w:lineRule="auto"/>
      </w:pPr>
      <w:r>
        <w:rPr>
          <w:rFonts w:eastAsia="source serif 4" w:cs="source serif 4" w:ascii="source serif 4" w:hAnsi="source serif 4"/>
          <w:b/>
          <w:color w:val="000000"/>
          <w:sz w:val="21"/>
        </w:rPr>
        <w:t xml:space="preserve">Childcare:</w:t>
      </w:r>
      <w:r>
        <w:rPr>
          <w:rFonts w:eastAsia="source serif 4" w:cs="source serif 4" w:ascii="source serif 4" w:hAnsi="source serif 4"/>
          <w:color w:val="000000"/>
          <w:sz w:val="21"/>
        </w:rPr>
        <w:t xml:space="preserve"> modest average quality associations versus larger effects in high-risk or low-resource settings; separate selection from care quality.</w:t>
      </w:r>
    </w:p>
    <w:p>
      <w:pPr>
        <w:numPr>
          <w:ilvl w:val="0"/>
          <w:numId w:val="2"/>
        </w:numPr>
        <w:spacing w:line="360" w:before="105" w:after="105" w:lineRule="auto"/>
      </w:pPr>
      <w:r>
        <w:rPr>
          <w:rFonts w:eastAsia="source serif 4" w:cs="source serif 4" w:ascii="source serif 4" w:hAnsi="source serif 4"/>
          <w:b/>
          <w:color w:val="000000"/>
          <w:sz w:val="21"/>
        </w:rPr>
        <w:t xml:space="preserve">Poverty and the brain:</w:t>
      </w:r>
      <w:r>
        <w:rPr>
          <w:rFonts w:eastAsia="source serif 4" w:cs="source serif 4" w:ascii="source serif 4" w:hAnsi="source serif 4"/>
          <w:color w:val="000000"/>
          <w:sz w:val="21"/>
        </w:rPr>
        <w:t xml:space="preserve"> distinguish neural correlates, brain activity measures, structural measures, and functional developmental outcomes; prohibit neuro-deterministic language.</w:t>
      </w:r>
    </w:p>
    <w:p>
      <w:pPr>
        <w:numPr>
          <w:ilvl w:val="0"/>
          <w:numId w:val="2"/>
        </w:numPr>
        <w:spacing w:line="360" w:before="105" w:after="105" w:lineRule="auto"/>
      </w:pPr>
      <w:r>
        <w:rPr>
          <w:rFonts w:eastAsia="source serif 4" w:cs="source serif 4" w:ascii="source serif 4" w:hAnsi="source serif 4"/>
          <w:b/>
          <w:color w:val="000000"/>
          <w:sz w:val="21"/>
        </w:rPr>
        <w:t xml:space="preserve">Social determinants:</w:t>
      </w:r>
      <w:r>
        <w:rPr>
          <w:rFonts w:eastAsia="source serif 4" w:cs="source serif 4" w:ascii="source serif 4" w:hAnsi="source serif 4"/>
          <w:color w:val="000000"/>
          <w:sz w:val="21"/>
        </w:rPr>
        <w:t xml:space="preserve"> distinguish a causal intervention on one determinant from the total causal effect of a social category.</w:t>
      </w:r>
    </w:p>
    <w:p>
      <w:pPr>
        <w:spacing w:line="360" w:before="315" w:after="105" w:lineRule="auto"/>
        <w:ind w:left="-30"/>
        <w:jc w:val="left"/>
      </w:pPr>
      <w:bookmarkStart w:id="75" w:name="bias_audit"/>
      <w:r>
        <w:rPr>
          <w:rFonts w:eastAsia="source serif 4" w:cs="source serif 4" w:ascii="source serif 4" w:hAnsi="source serif 4"/>
          <w:b/>
          <w:color w:val="000000"/>
          <w:sz w:val="24"/>
        </w:rPr>
        <w:t xml:space="preserve">Bias audit</w:t>
      </w:r>
      <w:bookmarkEnd w:id="75"/>
    </w:p>
    <w:p>
      <w:pPr>
        <w:spacing w:line="360" w:after="210" w:lineRule="auto"/>
      </w:pPr>
      <w:r>
        <w:rPr>
          <w:rFonts w:eastAsia="source serif 4" w:cs="source serif 4" w:ascii="source serif 4" w:hAnsi="source serif 4"/>
          <w:color w:val="000000"/>
        </w:rPr>
        <w:t xml:space="preserve">Every review should include a short audit of:</w:t>
      </w:r>
    </w:p>
    <w:p>
      <w:pPr>
        <w:numPr>
          <w:ilvl w:val="0"/>
          <w:numId w:val="3"/>
        </w:numPr>
        <w:spacing w:line="360" w:before="105" w:after="105" w:lineRule="auto"/>
      </w:pPr>
      <w:r>
        <w:rPr>
          <w:rFonts w:eastAsia="source serif 4" w:cs="source serif 4" w:ascii="source serif 4" w:hAnsi="source serif 4"/>
          <w:color w:val="000000"/>
          <w:sz w:val="21"/>
        </w:rPr>
        <w:t xml:space="preserve">socioeconomic confounding and reverse causality;</w:t>
      </w:r>
    </w:p>
    <w:p>
      <w:pPr>
        <w:numPr>
          <w:ilvl w:val="0"/>
          <w:numId w:val="3"/>
        </w:numPr>
        <w:spacing w:line="360" w:before="105" w:after="105" w:lineRule="auto"/>
      </w:pPr>
      <w:r>
        <w:rPr>
          <w:rFonts w:eastAsia="source serif 4" w:cs="source serif 4" w:ascii="source serif 4" w:hAnsi="source serif 4"/>
          <w:color w:val="000000"/>
          <w:sz w:val="21"/>
        </w:rPr>
        <w:t xml:space="preserve">selection into policies, neighborhoods, employment, childcare, and services;</w:t>
      </w:r>
    </w:p>
    <w:p>
      <w:pPr>
        <w:numPr>
          <w:ilvl w:val="0"/>
          <w:numId w:val="3"/>
        </w:numPr>
        <w:spacing w:line="360" w:before="105" w:after="105" w:lineRule="auto"/>
      </w:pPr>
      <w:r>
        <w:rPr>
          <w:rFonts w:eastAsia="source serif 4" w:cs="source serif 4" w:ascii="source serif 4" w:hAnsi="source serif 4"/>
          <w:color w:val="000000"/>
          <w:sz w:val="21"/>
        </w:rPr>
        <w:t xml:space="preserve">attrition and differential measurement;</w:t>
      </w:r>
    </w:p>
    <w:p>
      <w:pPr>
        <w:numPr>
          <w:ilvl w:val="0"/>
          <w:numId w:val="3"/>
        </w:numPr>
        <w:spacing w:line="360" w:before="105" w:after="105" w:lineRule="auto"/>
      </w:pPr>
      <w:r>
        <w:rPr>
          <w:rFonts w:eastAsia="source serif 4" w:cs="source serif 4" w:ascii="source serif 4" w:hAnsi="source serif 4"/>
          <w:color w:val="000000"/>
          <w:sz w:val="21"/>
        </w:rPr>
        <w:t xml:space="preserve">publication and multiple-testing bias;</w:t>
      </w:r>
    </w:p>
    <w:p>
      <w:pPr>
        <w:numPr>
          <w:ilvl w:val="0"/>
          <w:numId w:val="3"/>
        </w:numPr>
        <w:spacing w:line="360" w:before="105" w:after="105" w:lineRule="auto"/>
      </w:pPr>
      <w:r>
        <w:rPr>
          <w:rFonts w:eastAsia="source serif 4" w:cs="source serif 4" w:ascii="source serif 4" w:hAnsi="source serif 4"/>
          <w:color w:val="000000"/>
          <w:sz w:val="21"/>
        </w:rPr>
        <w:t xml:space="preserve">ecological fallacy and geographic misclassification;</w:t>
      </w:r>
    </w:p>
    <w:p>
      <w:pPr>
        <w:numPr>
          <w:ilvl w:val="0"/>
          <w:numId w:val="3"/>
        </w:numPr>
        <w:spacing w:line="360" w:before="105" w:after="105" w:lineRule="auto"/>
      </w:pPr>
      <w:r>
        <w:rPr>
          <w:rFonts w:eastAsia="source serif 4" w:cs="source serif 4" w:ascii="source serif 4" w:hAnsi="source serif 4"/>
          <w:color w:val="000000"/>
          <w:sz w:val="21"/>
        </w:rPr>
        <w:t xml:space="preserve">cultural and linguistic bias in developmental measures;</w:t>
      </w:r>
    </w:p>
    <w:p>
      <w:pPr>
        <w:numPr>
          <w:ilvl w:val="0"/>
          <w:numId w:val="3"/>
        </w:numPr>
        <w:spacing w:line="360" w:before="105" w:after="105" w:lineRule="auto"/>
      </w:pPr>
      <w:r>
        <w:rPr>
          <w:rFonts w:eastAsia="source serif 4" w:cs="source serif 4" w:ascii="source serif 4" w:hAnsi="source serif 4"/>
          <w:color w:val="000000"/>
          <w:sz w:val="21"/>
        </w:rPr>
        <w:t xml:space="preserve">WEIRD-country concentration and institutional nontransferability;</w:t>
      </w:r>
    </w:p>
    <w:p>
      <w:pPr>
        <w:numPr>
          <w:ilvl w:val="0"/>
          <w:numId w:val="3"/>
        </w:numPr>
        <w:spacing w:line="360" w:before="105" w:after="105" w:lineRule="auto"/>
      </w:pPr>
      <w:r>
        <w:rPr>
          <w:rFonts w:eastAsia="source serif 4" w:cs="source serif 4" w:ascii="source serif 4" w:hAnsi="source serif 4"/>
          <w:color w:val="000000"/>
          <w:sz w:val="21"/>
        </w:rPr>
        <w:t xml:space="preserve">policy-selection bias, including reforms targeted at already vulnerable families;</w:t>
      </w:r>
    </w:p>
    <w:p>
      <w:pPr>
        <w:numPr>
          <w:ilvl w:val="0"/>
          <w:numId w:val="3"/>
        </w:numPr>
        <w:spacing w:line="360" w:before="105" w:after="105" w:lineRule="auto"/>
      </w:pPr>
      <w:r>
        <w:rPr>
          <w:rFonts w:eastAsia="source serif 4" w:cs="source serif 4" w:ascii="source serif 4" w:hAnsi="source serif 4"/>
          <w:color w:val="000000"/>
          <w:sz w:val="21"/>
        </w:rPr>
        <w:t xml:space="preserve">mediation bias when adjusting for variables that are themselves part of the causal pathway;</w:t>
      </w:r>
    </w:p>
    <w:p>
      <w:pPr>
        <w:numPr>
          <w:ilvl w:val="0"/>
          <w:numId w:val="3"/>
        </w:numPr>
        <w:spacing w:line="360" w:before="105" w:after="105" w:lineRule="auto"/>
      </w:pPr>
      <w:r>
        <w:rPr>
          <w:rFonts w:eastAsia="source serif 4" w:cs="source serif 4" w:ascii="source serif 4" w:hAnsi="source serif 4"/>
          <w:color w:val="000000"/>
          <w:sz w:val="21"/>
        </w:rPr>
        <w:t xml:space="preserve">translation bias when a statistical difference is converted into a parenting prescription.</w:t>
      </w:r>
    </w:p>
    <w:p>
      <w:pPr>
        <w:spacing w:line="360" w:before="315" w:after="105" w:lineRule="auto"/>
        <w:ind w:left="-30"/>
        <w:jc w:val="left"/>
      </w:pPr>
      <w:bookmarkStart w:id="76" w:name="parent_facing_translation_matrix"/>
      <w:r>
        <w:rPr>
          <w:rFonts w:eastAsia="source serif 4" w:cs="source serif 4" w:ascii="source serif 4" w:hAnsi="source serif 4"/>
          <w:b/>
          <w:color w:val="000000"/>
          <w:sz w:val="24"/>
        </w:rPr>
        <w:t xml:space="preserve">Parent-facing translation matrix</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Evidence conclusion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Proportionate translation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Prohibited translation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Material hardship can constrain opportunities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Reducing hardship is a legitimate developmental and family-wellbeing goal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Poverty reflects deficient parenting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Responsive caregiving remains proximal and important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 relationships while improving conditions that make responsiveness possible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Parents can overcome all structural constraints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Housing hazards and instability matter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Prioritize safety, stability, affordability, and hazard reduction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 neighborhood fixes or determines a child’s future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Employment effects depend on job and schedule quality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 predictability, leave, childcare, and income adequacy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Employment is inherently good or bad for children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Childcare effects depend on quality and context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 interaction quality, continuity, affordability, and workforce conditions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One care arrangement is universally optimal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effects vary by design and implementation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Ask what was changed, for whom, through what mechanism, and with what outcome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 policy label guarantees developmental benefit</w:t>
            </w:r>
          </w:p>
        </w:tc>
      </w:tr>
    </w:tbl>
    <w:p>
      <w:pPr>
        <w:spacing w:lineRule="auto"/>
      </w:pPr>
    </w:p>
    <w:p>
      <w:pPr>
        <w:spacing w:line="360" w:before="315" w:after="105" w:lineRule="auto"/>
        <w:ind w:left="-30"/>
        <w:jc w:val="left"/>
      </w:pPr>
      <w:bookmarkStart w:id="77" w:name="what_the_chapter_cannot_infer"/>
      <w:r>
        <w:rPr>
          <w:rFonts w:eastAsia="source serif 4" w:cs="source serif 4" w:ascii="source serif 4" w:hAnsi="source serif 4"/>
          <w:b/>
          <w:color w:val="000000"/>
          <w:sz w:val="24"/>
        </w:rPr>
        <w:t xml:space="preserve">What the chapter cannot infer</w:t>
      </w:r>
      <w:bookmarkEnd w:id="77"/>
    </w:p>
    <w:p>
      <w:pPr>
        <w:spacing w:line="360" w:after="210" w:lineRule="auto"/>
      </w:pPr>
      <w:r>
        <w:rPr>
          <w:rFonts w:eastAsia="source serif 4" w:cs="source serif 4" w:ascii="source serif 4" w:hAnsi="source serif 4"/>
          <w:color w:val="000000"/>
        </w:rPr>
        <w:t xml:space="preserve">The chapter should explicitly reject the following conclusions:</w:t>
      </w:r>
    </w:p>
    <w:p>
      <w:pPr>
        <w:numPr>
          <w:ilvl w:val="0"/>
          <w:numId w:val="4"/>
        </w:numPr>
        <w:spacing w:line="360" w:before="105" w:after="105" w:lineRule="auto"/>
      </w:pPr>
      <w:r>
        <w:rPr>
          <w:rFonts w:eastAsia="source serif 4" w:cs="source serif 4" w:ascii="source serif 4" w:hAnsi="source serif 4"/>
          <w:color w:val="000000"/>
          <w:sz w:val="21"/>
        </w:rPr>
        <w:t xml:space="preserve">Development can be divided into a fixed percentage caused by parents and a fixed percentage caused by society.</w:t>
      </w:r>
    </w:p>
    <w:p>
      <w:pPr>
        <w:numPr>
          <w:ilvl w:val="0"/>
          <w:numId w:val="4"/>
        </w:numPr>
        <w:spacing w:line="360" w:before="105" w:after="105" w:lineRule="auto"/>
      </w:pPr>
      <w:r>
        <w:rPr>
          <w:rFonts w:eastAsia="source serif 4" w:cs="source serif 4" w:ascii="source serif 4" w:hAnsi="source serif 4"/>
          <w:color w:val="000000"/>
          <w:sz w:val="21"/>
        </w:rPr>
        <w:t xml:space="preserve">Poverty, food insecurity, housing instability, or unemployment indicate low parental care.</w:t>
      </w:r>
    </w:p>
    <w:p>
      <w:pPr>
        <w:numPr>
          <w:ilvl w:val="0"/>
          <w:numId w:val="4"/>
        </w:numPr>
        <w:spacing w:line="360" w:before="105" w:after="105" w:lineRule="auto"/>
      </w:pPr>
      <w:r>
        <w:rPr>
          <w:rFonts w:eastAsia="source serif 4" w:cs="source serif 4" w:ascii="source serif 4" w:hAnsi="source serif 4"/>
          <w:color w:val="000000"/>
          <w:sz w:val="21"/>
        </w:rPr>
        <w:t xml:space="preserve">Income explains all developmental inequality.</w:t>
      </w:r>
    </w:p>
    <w:p>
      <w:pPr>
        <w:numPr>
          <w:ilvl w:val="0"/>
          <w:numId w:val="4"/>
        </w:numPr>
        <w:spacing w:line="360" w:before="105" w:after="105" w:lineRule="auto"/>
      </w:pPr>
      <w:r>
        <w:rPr>
          <w:rFonts w:eastAsia="source serif 4" w:cs="source serif 4" w:ascii="source serif 4" w:hAnsi="source serif 4"/>
          <w:color w:val="000000"/>
          <w:sz w:val="21"/>
        </w:rPr>
        <w:t xml:space="preserve">Public policy determines development independently of relationships and biology.</w:t>
      </w:r>
    </w:p>
    <w:p>
      <w:pPr>
        <w:numPr>
          <w:ilvl w:val="0"/>
          <w:numId w:val="4"/>
        </w:numPr>
        <w:spacing w:line="360" w:before="105" w:after="105" w:lineRule="auto"/>
      </w:pPr>
      <w:r>
        <w:rPr>
          <w:rFonts w:eastAsia="source serif 4" w:cs="source serif 4" w:ascii="source serif 4" w:hAnsi="source serif 4"/>
          <w:color w:val="000000"/>
          <w:sz w:val="21"/>
        </w:rPr>
        <w:t xml:space="preserve">One family form, childcare arrangement, or employment pattern is universally optimal.</w:t>
      </w:r>
    </w:p>
    <w:p>
      <w:pPr>
        <w:numPr>
          <w:ilvl w:val="0"/>
          <w:numId w:val="4"/>
        </w:numPr>
        <w:spacing w:line="360" w:before="105" w:after="105" w:lineRule="auto"/>
      </w:pPr>
      <w:r>
        <w:rPr>
          <w:rFonts w:eastAsia="source serif 4" w:cs="source serif 4" w:ascii="source serif 4" w:hAnsi="source serif 4"/>
          <w:color w:val="000000"/>
          <w:sz w:val="21"/>
        </w:rPr>
        <w:t xml:space="preserve">A group-level gradient predicts an individual child’s destiny.</w:t>
      </w:r>
    </w:p>
    <w:p>
      <w:pPr>
        <w:numPr>
          <w:ilvl w:val="0"/>
          <w:numId w:val="4"/>
        </w:numPr>
        <w:spacing w:line="360" w:before="105" w:after="105" w:lineRule="auto"/>
      </w:pPr>
      <w:r>
        <w:rPr>
          <w:rFonts w:eastAsia="source serif 4" w:cs="source serif 4" w:ascii="source serif 4" w:hAnsi="source serif 4"/>
          <w:color w:val="000000"/>
          <w:sz w:val="21"/>
        </w:rPr>
        <w:t xml:space="preserve">A neural difference is equivalent to a functional impairment or a permanent trajectory.</w:t>
      </w:r>
    </w:p>
    <w:p>
      <w:pPr>
        <w:numPr>
          <w:ilvl w:val="0"/>
          <w:numId w:val="4"/>
        </w:numPr>
        <w:spacing w:line="360" w:before="105" w:after="105" w:lineRule="auto"/>
      </w:pPr>
      <w:r>
        <w:rPr>
          <w:rFonts w:eastAsia="source serif 4" w:cs="source serif 4" w:ascii="source serif 4" w:hAnsi="source serif 4"/>
          <w:color w:val="000000"/>
          <w:sz w:val="21"/>
        </w:rPr>
        <w:t xml:space="preserve">Statistical mediation proves that the proposed mediator is the only active mechanism.</w:t>
      </w:r>
    </w:p>
    <w:p>
      <w:pPr>
        <w:numPr>
          <w:ilvl w:val="0"/>
          <w:numId w:val="4"/>
        </w:numPr>
        <w:spacing w:line="360" w:before="105" w:after="105" w:lineRule="auto"/>
      </w:pPr>
      <w:r>
        <w:rPr>
          <w:rFonts w:eastAsia="source serif 4" w:cs="source serif 4" w:ascii="source serif 4" w:hAnsi="source serif 4"/>
          <w:color w:val="000000"/>
          <w:sz w:val="21"/>
        </w:rPr>
        <w:t xml:space="preserve">A policy that changes adult wellbeing must necessarily change child development.</w:t>
      </w:r>
    </w:p>
    <w:p>
      <w:pPr>
        <w:numPr>
          <w:ilvl w:val="0"/>
          <w:numId w:val="4"/>
        </w:numPr>
        <w:spacing w:line="360" w:before="105" w:after="105" w:lineRule="auto"/>
      </w:pPr>
      <w:r>
        <w:rPr>
          <w:rFonts w:eastAsia="source serif 4" w:cs="source serif 4" w:ascii="source serif 4" w:hAnsi="source serif 4"/>
          <w:color w:val="000000"/>
          <w:sz w:val="21"/>
        </w:rPr>
        <w:t xml:space="preserve">Parents have no agency because systems matter.</w:t>
      </w:r>
    </w:p>
    <w:p>
      <w:pPr>
        <w:spacing w:line="360" w:before="315" w:after="105" w:lineRule="auto"/>
        <w:ind w:left="-30"/>
        <w:jc w:val="left"/>
      </w:pPr>
      <w:bookmarkStart w:id="78" w:name="recommended_final_synthesis"/>
      <w:r>
        <w:rPr>
          <w:rFonts w:eastAsia="source serif 4" w:cs="source serif 4" w:ascii="source serif 4" w:hAnsi="source serif 4"/>
          <w:b/>
          <w:color w:val="000000"/>
          <w:sz w:val="24"/>
        </w:rPr>
        <w:t xml:space="preserve">Recommended final synthesis</w:t>
      </w:r>
      <w:bookmarkEnd w:id="78"/>
    </w:p>
    <w:p>
      <w:pPr>
        <w:spacing w:line="360" w:after="210" w:lineRule="auto"/>
      </w:pPr>
      <w:r>
        <w:rPr>
          <w:rFonts w:eastAsia="source serif 4" w:cs="source serif 4" w:ascii="source serif 4" w:hAnsi="source serif 4"/>
          <w:color w:val="000000"/>
        </w:rPr>
        <w:t xml:space="preserve">A supportable chapter conclusion would be:</w:t>
      </w:r>
    </w:p>
    <w:p>
      <w:pPr>
        <w:spacing w:line="360" w:after="210" w:lineRule="auto"/>
        <w:ind w:left="630"/>
      </w:pPr>
      <w:r>
        <w:rPr>
          <w:rFonts w:eastAsia="source serif 4" w:cs="source serif 4" w:ascii="source serif 4" w:hAnsi="source serif 4"/>
          <w:color w:val="000000"/>
        </w:rPr>
        <w:t xml:space="preserve">Children develop within families, but families develop within larger ecological systems. Income, housing, nutrition, employment, healthcare, childcare, neighborhoods, and public policy shape the resources, risks, time, and opportunities available to caregivers and children. These conditions do not replace parenting, and parenting does not erase them. The evidence supports a systems account of developmental opportunity, but not a deterministic one: effects are probabilistic, domain-specific, heterogeneous, and sometimes reversible. Understanding early development therefore requires moving beyond the family as the sole unit of analysis while preserving the importance of relationships, culture, biology, and individual variation.</w:t>
      </w:r>
    </w:p>
    <w:p>
      <w:pPr>
        <w:spacing w:line="360" w:after="210" w:lineRule="auto"/>
      </w:pPr>
      <w:r>
        <w:rPr>
          <w:rFonts w:eastAsia="source serif 4" w:cs="source serif 4" w:ascii="source serif 4" w:hAnsi="source serif 4"/>
          <w:color w:val="000000"/>
        </w:rPr>
        <w:t xml:space="preserve">The strongest bridge to Chapter 14 is methodological: once ecological conditions are identified, intervention research must test which mechanisms can actually be changed, for whom, at what cost, with what implementation requirements, and with what persistence. The strongest bridge to Chapter 15 is temporal: early ecological exposure may matter without producing a fixed endpoint, because development includes accumulation, compensation, disruption, and recovery.</w:t>
      </w:r>
    </w:p>
    <w:p>
      <w:pPr>
        <w:spacing w:line="360" w:before="315" w:after="105" w:lineRule="auto"/>
        <w:ind w:left="-30"/>
        <w:jc w:val="left"/>
      </w:pPr>
      <w:bookmarkStart w:id="79" w:name="research_deliverables_and_order"/>
      <w:r>
        <w:rPr>
          <w:rFonts w:eastAsia="source serif 4" w:cs="source serif 4" w:ascii="source serif 4" w:hAnsi="source serif 4"/>
          <w:b/>
          <w:color w:val="000000"/>
          <w:sz w:val="24"/>
        </w:rPr>
        <w:t xml:space="preserve">Research deliverables and order</w:t>
      </w:r>
      <w:bookmarkEnd w:id="79"/>
    </w:p>
    <w:p>
      <w:pPr>
        <w:numPr>
          <w:ilvl w:val="0"/>
          <w:numId w:val="5"/>
        </w:numPr>
        <w:spacing w:line="360" w:before="105" w:after="105" w:lineRule="auto"/>
      </w:pPr>
      <w:r>
        <w:rPr>
          <w:rFonts w:eastAsia="source serif 4" w:cs="source serif 4" w:ascii="source serif 4" w:hAnsi="source serif 4"/>
          <w:color w:val="000000"/>
          <w:sz w:val="21"/>
        </w:rPr>
        <w:t xml:space="preserve">Complete the conceptual and causal glossary.</w:t>
      </w:r>
    </w:p>
    <w:p>
      <w:pPr>
        <w:numPr>
          <w:ilvl w:val="0"/>
          <w:numId w:val="5"/>
        </w:numPr>
        <w:spacing w:line="360" w:before="105" w:after="105" w:lineRule="auto"/>
      </w:pPr>
      <w:r>
        <w:rPr>
          <w:rFonts w:eastAsia="source serif 4" w:cs="source serif 4" w:ascii="source serif 4" w:hAnsi="source serif 4"/>
          <w:color w:val="000000"/>
          <w:sz w:val="21"/>
        </w:rPr>
        <w:t xml:space="preserve">Build the claim register with exposure, mechanism, outcome, design, certainty, and prohibited inference.</w:t>
      </w:r>
    </w:p>
    <w:p>
      <w:pPr>
        <w:numPr>
          <w:ilvl w:val="0"/>
          <w:numId w:val="5"/>
        </w:numPr>
        <w:spacing w:line="360" w:before="105" w:after="105" w:lineRule="auto"/>
      </w:pPr>
      <w:r>
        <w:rPr>
          <w:rFonts w:eastAsia="source serif 4" w:cs="source serif 4" w:ascii="source serif 4" w:hAnsi="source serif 4"/>
          <w:color w:val="000000"/>
          <w:sz w:val="21"/>
        </w:rPr>
        <w:t xml:space="preserve">Conduct focused evidence reviews for income, housing, food security, employment, leave, childcare, healthcare, mental-health services, neighborhoods, inequality, culture, and policy.</w:t>
      </w:r>
    </w:p>
    <w:p>
      <w:pPr>
        <w:numPr>
          <w:ilvl w:val="0"/>
          <w:numId w:val="5"/>
        </w:numPr>
        <w:spacing w:line="360" w:before="105" w:after="105" w:lineRule="auto"/>
      </w:pPr>
      <w:r>
        <w:rPr>
          <w:rFonts w:eastAsia="source serif 4" w:cs="source serif 4" w:ascii="source serif 4" w:hAnsi="source serif 4"/>
          <w:color w:val="000000"/>
          <w:sz w:val="21"/>
        </w:rPr>
        <w:t xml:space="preserve">Build a contradiction matrix for BFY, MTO, leave reforms, childcare quality, and poverty-neurodevelopment claims.</w:t>
      </w:r>
    </w:p>
    <w:p>
      <w:pPr>
        <w:numPr>
          <w:ilvl w:val="0"/>
          <w:numId w:val="5"/>
        </w:numPr>
        <w:spacing w:line="360" w:before="105" w:after="105" w:lineRule="auto"/>
      </w:pPr>
      <w:r>
        <w:rPr>
          <w:rFonts w:eastAsia="source serif 4" w:cs="source serif 4" w:ascii="source serif 4" w:hAnsi="source serif 4"/>
          <w:color w:val="000000"/>
          <w:sz w:val="21"/>
        </w:rPr>
        <w:t xml:space="preserve">Create a developmental-window matrix from preconception through age three.</w:t>
      </w:r>
    </w:p>
    <w:p>
      <w:pPr>
        <w:numPr>
          <w:ilvl w:val="0"/>
          <w:numId w:val="5"/>
        </w:numPr>
        <w:spacing w:line="360" w:before="105" w:after="105" w:lineRule="auto"/>
      </w:pPr>
      <w:r>
        <w:rPr>
          <w:rFonts w:eastAsia="source serif 4" w:cs="source serif 4" w:ascii="source serif 4" w:hAnsi="source serif 4"/>
          <w:color w:val="000000"/>
          <w:sz w:val="21"/>
        </w:rPr>
        <w:t xml:space="preserve">Code studies by country, institutional setting, family structure, baseline risk, child characteristics, and measurement source.</w:t>
      </w:r>
    </w:p>
    <w:p>
      <w:pPr>
        <w:numPr>
          <w:ilvl w:val="0"/>
          <w:numId w:val="5"/>
        </w:numPr>
        <w:spacing w:line="360" w:before="105" w:after="105" w:lineRule="auto"/>
      </w:pPr>
      <w:r>
        <w:rPr>
          <w:rFonts w:eastAsia="source serif 4" w:cs="source serif 4" w:ascii="source serif 4" w:hAnsi="source serif 4"/>
          <w:color w:val="000000"/>
          <w:sz w:val="21"/>
        </w:rPr>
        <w:t xml:space="preserve">Separate efficacy, effectiveness, scalability, and institutional dependence for every intervention.</w:t>
      </w:r>
    </w:p>
    <w:p>
      <w:pPr>
        <w:numPr>
          <w:ilvl w:val="0"/>
          <w:numId w:val="5"/>
        </w:numPr>
        <w:spacing w:line="360" w:before="105" w:after="105" w:lineRule="auto"/>
      </w:pPr>
      <w:r>
        <w:rPr>
          <w:rFonts w:eastAsia="source serif 4" w:cs="source serif 4" w:ascii="source serif 4" w:hAnsi="source serif 4"/>
          <w:color w:val="000000"/>
          <w:sz w:val="21"/>
        </w:rPr>
        <w:t xml:space="preserve">Draft the parent-facing translation and “what cannot be inferred” registers before prose drafting.</w:t>
      </w:r>
    </w:p>
    <w:p>
      <w:pPr>
        <w:numPr>
          <w:ilvl w:val="0"/>
          <w:numId w:val="5"/>
        </w:numPr>
        <w:spacing w:line="360" w:before="105" w:after="105" w:lineRule="auto"/>
      </w:pPr>
      <w:r>
        <w:rPr>
          <w:rFonts w:eastAsia="source serif 4" w:cs="source serif 4" w:ascii="source serif 4" w:hAnsi="source serif 4"/>
          <w:color w:val="000000"/>
          <w:sz w:val="21"/>
        </w:rPr>
        <w:t xml:space="preserve">Use the chapter synthesis only after checking whether the proposed claims survive stronger causal designs and cross-context replication.</w:t>
      </w:r>
    </w:p>
    <w:p>
      <w:pPr>
        <w:spacing w:line="360" w:after="210" w:lineRule="auto"/>
      </w:pPr>
      <w:r>
        <w:rPr>
          <w:rFonts w:eastAsia="source serif 4" w:cs="source serif 4" w:ascii="source serif 4" w:hAnsi="source serif 4"/>
          <w:color w:val="000000"/>
        </w:rPr>
        <w:t xml:space="preserve">The current plan is therefore structurally strong, but it should be narrowed from a catalogue of determinants into an evidence atlas organized by mechanisms, causal contrasts, developmental timing, and institutional context. That change will preserve the chapter’s moral and conceptual purpose without turning ecological explanation into structural determinism.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0" w:name="references"/>
      <w:r>
        <w:rPr>
          <w:rFonts w:eastAsia="source serif 4" w:cs="source serif 4" w:ascii="source serif 4" w:hAnsi="source serif 4"/>
          <w:b/>
          <w:color w:val="000000"/>
          <w:sz w:val="24"/>
        </w:rPr>
        <w:t xml:space="preserve">References</w:t>
      </w:r>
      <w:bookmarkEnd w:id="80"/>
    </w:p>
    <w:p>
      <w:pPr>
        <w:numPr>
          <w:ilvl w:val="0"/>
          <w:numId w:val="6"/>
        </w:numPr>
        <w:spacing w:line="360" w:after="210" w:lineRule="auto"/>
      </w:pPr>
      <w:hyperlink r:id="rId5">
        <w:r>
          <w:rPr>
            <w:rFonts w:eastAsia="source sans 3" w:cs="source sans 3" w:ascii="source sans 3" w:hAnsi="source sans 3"/>
            <w:color w:val="#000"/>
            <w:sz w:val="21"/>
            <w:u w:val="single"/>
          </w:rPr>
          <w:t xml:space="preserve">Review of studies applying Bronfenbrenner's bioecological ...</w:t>
        </w:r>
      </w:hyperlink>
      <w:r>
        <w:rPr>
          <w:rFonts w:eastAsia="source serif 4" w:cs="source serif 4" w:ascii="source serif 4" w:hAnsi="source serif 4"/>
          <w:color w:val="000000"/>
          <w:sz w:val="21"/>
        </w:rPr>
        <w:t xml:space="preserve"> - The Russian-born American psychologist Bronfenbrenner's bioecological perspective on human developme...</w:t>
      </w:r>
    </w:p>
    <w:p>
      <w:pPr>
        <w:numPr>
          <w:ilvl w:val="0"/>
          <w:numId w:val="6"/>
        </w:numPr>
        <w:spacing w:line="360" w:after="210" w:lineRule="auto"/>
      </w:pPr>
      <w:hyperlink r:id="rId6">
        <w:r>
          <w:rPr>
            <w:rFonts w:eastAsia="source sans 3" w:cs="source sans 3" w:ascii="source sans 3" w:hAnsi="source sans 3"/>
            <w:color w:val="#000"/>
            <w:sz w:val="21"/>
            <w:u w:val="single"/>
          </w:rPr>
          <w:t xml:space="preserve">EXECUTIVE SUMMARY</w:t>
        </w:r>
      </w:hyperlink>
    </w:p>
    <w:p>
      <w:pPr>
        <w:numPr>
          <w:ilvl w:val="0"/>
          <w:numId w:val="6"/>
        </w:numPr>
        <w:spacing w:line="360" w:after="210" w:lineRule="auto"/>
      </w:pPr>
      <w:hyperlink r:id="rId7">
        <w:r>
          <w:rPr>
            <w:rFonts w:eastAsia="source sans 3" w:cs="source sans 3" w:ascii="source sans 3" w:hAnsi="source sans 3"/>
            <w:color w:val="#000"/>
            <w:sz w:val="21"/>
            <w:u w:val="single"/>
          </w:rPr>
          <w:t xml:space="preserve">A FRAMEWORK FOR HELPING CHILDREN SURVIVE AND</w:t>
        </w:r>
      </w:hyperlink>
    </w:p>
    <w:p>
      <w:pPr>
        <w:numPr>
          <w:ilvl w:val="0"/>
          <w:numId w:val="6"/>
        </w:numPr>
        <w:spacing w:line="360" w:after="210" w:lineRule="auto"/>
      </w:pPr>
      <w:hyperlink r:id="rId8">
        <w:r>
          <w:rPr>
            <w:rFonts w:eastAsia="source sans 3" w:cs="source sans 3" w:ascii="source sans 3" w:hAnsi="source sans 3"/>
            <w:color w:val="#000"/>
            <w:sz w:val="21"/>
            <w:u w:val="single"/>
          </w:rPr>
          <w:t xml:space="preserve">Framework on Early Childhood Development in the WHO European ...</w:t>
        </w:r>
      </w:hyperlink>
      <w:r>
        <w:rPr>
          <w:rFonts w:eastAsia="source serif 4" w:cs="source serif 4" w:ascii="source serif 4" w:hAnsi="source serif 4"/>
          <w:color w:val="000000"/>
          <w:sz w:val="21"/>
        </w:rPr>
        <w:t xml:space="preserve"> - Publicaciones de la Organización Mundial de la Salud</w:t>
      </w:r>
    </w:p>
    <w:p>
      <w:pPr>
        <w:numPr>
          <w:ilvl w:val="0"/>
          <w:numId w:val="6"/>
        </w:numPr>
        <w:spacing w:line="360" w:after="210" w:lineRule="auto"/>
      </w:pPr>
      <w:hyperlink r:id="rId9">
        <w:r>
          <w:rPr>
            <w:rFonts w:eastAsia="source sans 3" w:cs="source sans 3" w:ascii="source sans 3" w:hAnsi="source sans 3"/>
            <w:color w:val="#000"/>
            <w:sz w:val="21"/>
            <w:u w:val="single"/>
          </w:rPr>
          <w:t xml:space="preserve">A Roadmap to Reducing Child Poverty</w:t>
        </w:r>
      </w:hyperlink>
      <w:r>
        <w:rPr>
          <w:rFonts w:eastAsia="source serif 4" w:cs="source serif 4" w:ascii="source serif 4" w:hAnsi="source serif 4"/>
          <w:color w:val="000000"/>
          <w:sz w:val="21"/>
        </w:rPr>
        <w:t xml:space="preserve"> - How can we reduce child poverty by half within 10 years? Explore four policy packages and their pote...</w:t>
      </w:r>
    </w:p>
    <w:p>
      <w:pPr>
        <w:numPr>
          <w:ilvl w:val="0"/>
          <w:numId w:val="6"/>
        </w:numPr>
        <w:spacing w:line="360" w:after="210" w:lineRule="auto"/>
      </w:pPr>
      <w:hyperlink r:id="rId10">
        <w:r>
          <w:rPr>
            <w:rFonts w:eastAsia="source sans 3" w:cs="source sans 3" w:ascii="source sans 3" w:hAnsi="source sans 3"/>
            <w:color w:val="#000"/>
            <w:sz w:val="21"/>
            <w:u w:val="single"/>
          </w:rPr>
          <w:t xml:space="preserve">Read "Vibrant and Healthy Kids: Aligning Science, Practice, and Policy to Advance Health Equity" at NAP.edu</w:t>
        </w:r>
      </w:hyperlink>
      <w:r>
        <w:rPr>
          <w:rFonts w:eastAsia="source serif 4" w:cs="source serif 4" w:ascii="source serif 4" w:hAnsi="source serif 4"/>
          <w:color w:val="000000"/>
          <w:sz w:val="21"/>
        </w:rPr>
        <w:t xml:space="preserve"> - Read chapter 6 Creating Healthy Living Conditions for Early Development: Children are the foundation...</w:t>
      </w:r>
    </w:p>
    <w:p>
      <w:pPr>
        <w:numPr>
          <w:ilvl w:val="0"/>
          <w:numId w:val="6"/>
        </w:numPr>
        <w:spacing w:line="360" w:after="210" w:lineRule="auto"/>
      </w:pPr>
      <w:hyperlink r:id="rId11">
        <w:r>
          <w:rPr>
            <w:rFonts w:eastAsia="source sans 3" w:cs="source sans 3" w:ascii="source sans 3" w:hAnsi="source sans 3"/>
            <w:color w:val="#000"/>
            <w:sz w:val="21"/>
            <w:u w:val="single"/>
          </w:rPr>
          <w:t xml:space="preserve">The Effect of a Monthly Unconditional Cash Transfer on ...</w:t>
        </w:r>
      </w:hyperlink>
      <w:r>
        <w:rPr>
          <w:rFonts w:eastAsia="source serif 4" w:cs="source serif 4" w:ascii="source serif 4" w:hAnsi="source serif 4"/>
          <w:color w:val="000000"/>
          <w:sz w:val="21"/>
        </w:rPr>
        <w:t xml:space="preserve"> - by K Noble · 2025 · Cited by 19 — After the first four years of the we find no statistically signifi...</w:t>
      </w:r>
    </w:p>
    <w:p>
      <w:pPr>
        <w:numPr>
          <w:ilvl w:val="0"/>
          <w:numId w:val="6"/>
        </w:numPr>
        <w:spacing w:line="360" w:after="210" w:lineRule="auto"/>
      </w:pPr>
      <w:hyperlink r:id="rId12">
        <w:r>
          <w:rPr>
            <w:rFonts w:eastAsia="source sans 3" w:cs="source sans 3" w:ascii="source sans 3" w:hAnsi="source sans 3"/>
            <w:color w:val="#000"/>
            <w:sz w:val="21"/>
            <w:u w:val="single"/>
          </w:rPr>
          <w:t xml:space="preserve">Working Paper 33844</w:t>
        </w:r>
      </w:hyperlink>
    </w:p>
    <w:p>
      <w:pPr>
        <w:numPr>
          <w:ilvl w:val="0"/>
          <w:numId w:val="6"/>
        </w:numPr>
        <w:spacing w:line="360" w:after="210" w:lineRule="auto"/>
      </w:pPr>
      <w:hyperlink r:id="rId13">
        <w:r>
          <w:rPr>
            <w:rFonts w:eastAsia="source sans 3" w:cs="source sans 3" w:ascii="source sans 3" w:hAnsi="source sans 3"/>
            <w:color w:val="#000"/>
            <w:sz w:val="21"/>
            <w:u w:val="single"/>
          </w:rPr>
          <w:t xml:space="preserve">The impact of a poverty reduction intervention on infant brain activity | PNAS</w:t>
        </w:r>
      </w:hyperlink>
      <w:r>
        <w:rPr>
          <w:rFonts w:eastAsia="source serif 4" w:cs="source serif 4" w:ascii="source serif 4" w:hAnsi="source serif 4"/>
          <w:color w:val="000000"/>
          <w:sz w:val="21"/>
        </w:rPr>
        <w:t xml:space="preserve"> - Early childhood poverty is a risk factor for lower school achievement, reduced earnings, and poorer ...</w:t>
      </w:r>
    </w:p>
    <w:p>
      <w:pPr>
        <w:numPr>
          <w:ilvl w:val="0"/>
          <w:numId w:val="6"/>
        </w:numPr>
        <w:spacing w:line="360" w:after="210" w:lineRule="auto"/>
      </w:pPr>
      <w:hyperlink r:id="rId14">
        <w:r>
          <w:rPr>
            <w:rFonts w:eastAsia="source sans 3" w:cs="source sans 3" w:ascii="source sans 3" w:hAnsi="source sans 3"/>
            <w:color w:val="#000"/>
            <w:sz w:val="21"/>
            <w:u w:val="single"/>
          </w:rPr>
          <w:t xml:space="preserve">The Effects of Exposure to Better Neighborhoods on Children</w:t>
        </w:r>
      </w:hyperlink>
      <w:r>
        <w:rPr>
          <w:rFonts w:eastAsia="source serif 4" w:cs="source serif 4" w:ascii="source serif 4" w:hAnsi="source serif 4"/>
          <w:color w:val="000000"/>
          <w:sz w:val="21"/>
        </w:rPr>
        <w:t xml:space="preserve"> - by R Chetty · 2016 · Cited by 4380 — We find that moving to a lower-poverty neighborhood when young ...</w:t>
      </w:r>
    </w:p>
    <w:p>
      <w:pPr>
        <w:numPr>
          <w:ilvl w:val="0"/>
          <w:numId w:val="6"/>
        </w:numPr>
        <w:spacing w:line="360" w:after="210" w:lineRule="auto"/>
      </w:pPr>
      <w:hyperlink r:id="rId15">
        <w:r>
          <w:rPr>
            <w:rFonts w:eastAsia="source sans 3" w:cs="source sans 3" w:ascii="source sans 3" w:hAnsi="source sans 3"/>
            <w:color w:val="#000"/>
            <w:sz w:val="21"/>
            <w:u w:val="single"/>
          </w:rPr>
          <w:t xml:space="preserve">[PDF] The Long-Term Effects of Moving to Opportunity on Youth Outcomes</w:t>
        </w:r>
      </w:hyperlink>
    </w:p>
    <w:p>
      <w:pPr>
        <w:numPr>
          <w:ilvl w:val="0"/>
          <w:numId w:val="6"/>
        </w:numPr>
        <w:spacing w:line="360" w:after="210" w:lineRule="auto"/>
      </w:pPr>
      <w:hyperlink r:id="rId16">
        <w:r>
          <w:rPr>
            <w:rFonts w:eastAsia="source sans 3" w:cs="source sans 3" w:ascii="source sans 3" w:hAnsi="source sans 3"/>
            <w:color w:val="#000"/>
            <w:sz w:val="21"/>
            <w:u w:val="single"/>
          </w:rPr>
          <w:t xml:space="preserve">NEW EVIDENCE FROM THE MOVING TO OPPORTUNI</w:t>
        </w:r>
      </w:hyperlink>
      <w:r>
        <w:rPr>
          <w:rFonts w:eastAsia="source serif 4" w:cs="source serif 4" w:ascii="source serif 4" w:hAnsi="source serif 4"/>
          <w:color w:val="000000"/>
          <w:sz w:val="21"/>
        </w:rPr>
        <w:t xml:space="preserve"> - by R Chetty · 2015 · Cited by 4403 — In this paper, we revisit the MTO experiment and focus on its l...</w:t>
      </w:r>
    </w:p>
    <w:p>
      <w:pPr>
        <w:numPr>
          <w:ilvl w:val="0"/>
          <w:numId w:val="6"/>
        </w:numPr>
        <w:spacing w:line="360" w:after="210" w:lineRule="auto"/>
      </w:pPr>
      <w:hyperlink r:id="rId17">
        <w:r>
          <w:rPr>
            <w:rFonts w:eastAsia="source sans 3" w:cs="source sans 3" w:ascii="source sans 3" w:hAnsi="source sans 3"/>
            <w:color w:val="#000"/>
            <w:sz w:val="21"/>
            <w:u w:val="single"/>
          </w:rPr>
          <w:t xml:space="preserve">Toxic Neighborhoods: The Effects of Concentrated Poverty and Environmental Lead Contamination on Early Childhood Development</w:t>
        </w:r>
      </w:hyperlink>
    </w:p>
    <w:p>
      <w:pPr>
        <w:numPr>
          <w:ilvl w:val="0"/>
          <w:numId w:val="6"/>
        </w:numPr>
        <w:spacing w:line="360" w:after="210" w:lineRule="auto"/>
      </w:pPr>
      <w:hyperlink r:id="rId18">
        <w:r>
          <w:rPr>
            <w:rFonts w:eastAsia="source sans 3" w:cs="source sans 3" w:ascii="source sans 3" w:hAnsi="source sans 3"/>
            <w:color w:val="#000"/>
            <w:sz w:val="21"/>
            <w:u w:val="single"/>
          </w:rPr>
          <w:t xml:space="preserve">Neighborhood Effects on Children's Development in Experimental and Nonexperimental Research</w:t>
        </w:r>
      </w:hyperlink>
      <w:r>
        <w:rPr>
          <w:rFonts w:eastAsia="source serif 4" w:cs="source serif 4" w:ascii="source serif 4" w:hAnsi="source serif 4"/>
          <w:color w:val="000000"/>
          <w:sz w:val="21"/>
        </w:rPr>
        <w:t xml:space="preserve"> - Children's neighborhood contexts are defined by rising socioeconomic inequality and segregation. Thi...</w:t>
      </w:r>
    </w:p>
    <w:p>
      <w:pPr>
        <w:numPr>
          <w:ilvl w:val="0"/>
          <w:numId w:val="6"/>
        </w:numPr>
        <w:spacing w:line="360" w:after="210" w:lineRule="auto"/>
      </w:pPr>
      <w:hyperlink r:id="rId19">
        <w:r>
          <w:rPr>
            <w:rFonts w:eastAsia="source sans 3" w:cs="source sans 3" w:ascii="source sans 3" w:hAnsi="source sans 3"/>
            <w:color w:val="#000"/>
            <w:sz w:val="21"/>
            <w:u w:val="single"/>
          </w:rPr>
          <w:t xml:space="preserve">Food Insecurity and Child Development: A State-of-the-Art Review</w:t>
        </w:r>
      </w:hyperlink>
      <w:r>
        <w:rPr>
          <w:rFonts w:eastAsia="source serif 4" w:cs="source serif 4" w:ascii="source serif 4" w:hAnsi="source serif 4"/>
          <w:color w:val="000000"/>
          <w:sz w:val="21"/>
        </w:rPr>
        <w:t xml:space="preserve"> - Converging research indicates that household food insecurity impedes children from reaching their fu...</w:t>
      </w:r>
    </w:p>
    <w:p>
      <w:pPr>
        <w:numPr>
          <w:ilvl w:val="0"/>
          <w:numId w:val="6"/>
        </w:numPr>
        <w:spacing w:line="360" w:after="210" w:lineRule="auto"/>
      </w:pPr>
      <w:hyperlink r:id="rId20">
        <w:r>
          <w:rPr>
            <w:rFonts w:eastAsia="source sans 3" w:cs="source sans 3" w:ascii="source sans 3" w:hAnsi="source sans 3"/>
            <w:color w:val="#000"/>
            <w:sz w:val="21"/>
            <w:u w:val="single"/>
          </w:rPr>
          <w:t xml:space="preserve">Parents’ Nonstandard Work Schedules and Child Well-Being: A Critical Review of the Literature</w:t>
        </w:r>
      </w:hyperlink>
      <w:r>
        <w:rPr>
          <w:rFonts w:eastAsia="source serif 4" w:cs="source serif 4" w:ascii="source serif 4" w:hAnsi="source serif 4"/>
          <w:color w:val="000000"/>
          <w:sz w:val="21"/>
        </w:rPr>
        <w:t xml:space="preserve"> - This paper provides a comprehensive review of empirical evidence linking parental nonstandard work s...</w:t>
      </w:r>
    </w:p>
    <w:p>
      <w:pPr>
        <w:numPr>
          <w:ilvl w:val="0"/>
          <w:numId w:val="6"/>
        </w:numPr>
        <w:spacing w:line="360" w:after="210" w:lineRule="auto"/>
      </w:pPr>
      <w:hyperlink r:id="rId21">
        <w:r>
          <w:rPr>
            <w:rFonts w:eastAsia="source sans 3" w:cs="source sans 3" w:ascii="source sans 3" w:hAnsi="source sans 3"/>
            <w:color w:val="#000"/>
            <w:sz w:val="21"/>
            <w:u w:val="single"/>
          </w:rPr>
          <w:t xml:space="preserve">Parental leave policies and child development: A review of empirical findings</w:t>
        </w:r>
      </w:hyperlink>
    </w:p>
    <w:p>
      <w:pPr>
        <w:numPr>
          <w:ilvl w:val="0"/>
          <w:numId w:val="6"/>
        </w:numPr>
        <w:spacing w:line="360" w:after="210" w:lineRule="auto"/>
      </w:pPr>
      <w:hyperlink r:id="rId22">
        <w:r>
          <w:rPr>
            <w:rFonts w:eastAsia="source sans 3" w:cs="source sans 3" w:ascii="source sans 3" w:hAnsi="source sans 3"/>
            <w:color w:val="#000"/>
            <w:sz w:val="21"/>
            <w:u w:val="single"/>
          </w:rPr>
          <w:t xml:space="preserve">Effects of Extending Paid Parental Leave On Children's ...</w:t>
        </w:r>
      </w:hyperlink>
    </w:p>
    <w:p>
      <w:pPr>
        <w:numPr>
          <w:ilvl w:val="0"/>
          <w:numId w:val="6"/>
        </w:numPr>
        <w:spacing w:line="360" w:after="210" w:lineRule="auto"/>
      </w:pPr>
      <w:hyperlink r:id="rId23">
        <w:r>
          <w:rPr>
            <w:rFonts w:eastAsia="source sans 3" w:cs="source sans 3" w:ascii="source sans 3" w:hAnsi="source sans 3"/>
            <w:color w:val="#000"/>
            <w:sz w:val="21"/>
            <w:u w:val="single"/>
          </w:rPr>
          <w:t xml:space="preserve">Paid parental leave and child development: Evidence from the 2007 German parental benefit reform and administrative data</w:t>
        </w:r>
      </w:hyperlink>
    </w:p>
    <w:p>
      <w:pPr>
        <w:numPr>
          <w:ilvl w:val="0"/>
          <w:numId w:val="6"/>
        </w:numPr>
        <w:spacing w:line="360" w:after="210" w:lineRule="auto"/>
      </w:pPr>
      <w:hyperlink r:id="rId24">
        <w:r>
          <w:rPr>
            <w:rFonts w:eastAsia="source sans 3" w:cs="source sans 3" w:ascii="source sans 3" w:hAnsi="source sans 3"/>
            <w:color w:val="#000"/>
            <w:sz w:val="21"/>
            <w:u w:val="single"/>
          </w:rPr>
          <w:t xml:space="preserve">Paid maternal leave is associated with better language and ... - PMC</w:t>
        </w:r>
      </w:hyperlink>
      <w:r>
        <w:rPr>
          <w:rFonts w:eastAsia="source serif 4" w:cs="source serif 4" w:ascii="source serif 4" w:hAnsi="source serif 4"/>
          <w:color w:val="000000"/>
          <w:sz w:val="21"/>
        </w:rPr>
        <w:t xml:space="preserve"> - The United States is the only high-income country that does not have a national policy mandating pai...</w:t>
      </w:r>
    </w:p>
    <w:p>
      <w:pPr>
        <w:numPr>
          <w:ilvl w:val="0"/>
          <w:numId w:val="6"/>
        </w:numPr>
        <w:spacing w:line="360" w:after="210" w:lineRule="auto"/>
      </w:pPr>
      <w:hyperlink r:id="rId25">
        <w:r>
          <w:rPr>
            <w:rFonts w:eastAsia="source sans 3" w:cs="source sans 3" w:ascii="source sans 3" w:hAnsi="source sans 3"/>
            <w:color w:val="#000"/>
            <w:sz w:val="21"/>
            <w:u w:val="single"/>
          </w:rPr>
          <w:t xml:space="preserve">Paid maternal leave is associated with infant brain function at ...</w:t>
        </w:r>
      </w:hyperlink>
      <w:r>
        <w:rPr>
          <w:rFonts w:eastAsia="source serif 4" w:cs="source serif 4" w:ascii="source serif 4" w:hAnsi="source serif 4"/>
          <w:color w:val="000000"/>
          <w:sz w:val="21"/>
        </w:rPr>
        <w:t xml:space="preserve"> - The first months of life are critical for establishing neural connections relevant for social and co...</w:t>
      </w:r>
    </w:p>
    <w:p>
      <w:pPr>
        <w:numPr>
          <w:ilvl w:val="0"/>
          <w:numId w:val="6"/>
        </w:numPr>
        <w:spacing w:line="360" w:after="210" w:lineRule="auto"/>
      </w:pPr>
      <w:hyperlink r:id="rId26">
        <w:r>
          <w:rPr>
            <w:rFonts w:eastAsia="source sans 3" w:cs="source sans 3" w:ascii="source sans 3" w:hAnsi="source sans 3"/>
            <w:color w:val="#000"/>
            <w:sz w:val="21"/>
            <w:u w:val="single"/>
          </w:rPr>
          <w:t xml:space="preserve">[PDF] The NICHD Study of Early Child Care and Youth Development</w:t>
        </w:r>
      </w:hyperlink>
    </w:p>
    <w:p>
      <w:pPr>
        <w:numPr>
          <w:ilvl w:val="0"/>
          <w:numId w:val="6"/>
        </w:numPr>
        <w:spacing w:line="360" w:after="210" w:lineRule="auto"/>
      </w:pPr>
      <w:hyperlink r:id="rId27">
        <w:r>
          <w:rPr>
            <w:rFonts w:eastAsia="source sans 3" w:cs="source sans 3" w:ascii="source sans 3" w:hAnsi="source sans 3"/>
            <w:color w:val="#000"/>
            <w:sz w:val="21"/>
            <w:u w:val="single"/>
          </w:rPr>
          <w:t xml:space="preserve">Operationalizing nurturing care for early childhood ...</w:t>
        </w:r>
      </w:hyperlink>
      <w:r>
        <w:rPr>
          <w:rFonts w:eastAsia="source serif 4" w:cs="source serif 4" w:ascii="source serif 4" w:hAnsi="source serif 4"/>
          <w:color w:val="000000"/>
          <w:sz w:val="21"/>
        </w:rPr>
        <w:t xml:space="preserve"> - This document is the report of the technical meeting convened by the World Health Organization (WHO)...</w:t>
      </w:r>
    </w:p>
    <w:p>
      <w:pPr>
        <w:numPr>
          <w:ilvl w:val="0"/>
          <w:numId w:val="6"/>
        </w:numPr>
        <w:spacing w:line="360" w:after="210" w:lineRule="auto"/>
      </w:pPr>
      <w:hyperlink r:id="rId28">
        <w:r>
          <w:rPr>
            <w:rFonts w:eastAsia="source sans 3" w:cs="source sans 3" w:ascii="source sans 3" w:hAnsi="source sans 3"/>
            <w:color w:val="#000"/>
            <w:sz w:val="21"/>
            <w:u w:val="single"/>
          </w:rPr>
          <w:t xml:space="preserve">Social inequalities in early childhood health and development: a European-wide systematic review - Pediatric Research</w:t>
        </w:r>
      </w:hyperlink>
      <w:r>
        <w:rPr>
          <w:rFonts w:eastAsia="source serif 4" w:cs="source serif 4" w:ascii="source serif 4" w:hAnsi="source serif 4"/>
          <w:color w:val="000000"/>
          <w:sz w:val="21"/>
        </w:rPr>
        <w:t xml:space="preserve"> - The evidence examining the relationship between specific social factors and early childhood health a...</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pmc.ncbi.nlm.nih.gov/articles/PMC10801006/" TargetMode="External"/><Relationship Id="rId6" Type="http://schemas.openxmlformats.org/officeDocument/2006/relationships/hyperlink" Target="https://iris.who.int/bitstream/handle/10665/272604/WHO-FWC-MCA-18.02-eng.pdf" TargetMode="External"/><Relationship Id="rId7" Type="http://schemas.openxmlformats.org/officeDocument/2006/relationships/hyperlink" Target="https://iris.who.int/server/api/core/bitstreams/781de51d-4cef-482e-bb3b-c2b3becf3c9f/content" TargetMode="External"/><Relationship Id="rId8" Type="http://schemas.openxmlformats.org/officeDocument/2006/relationships/hyperlink" Target="https://www.who.int/europe/publications/i/item/WHO-EURO-2020-504-40239-53897" TargetMode="External"/><Relationship Id="rId9" Type="http://schemas.openxmlformats.org/officeDocument/2006/relationships/hyperlink" Target="https://nap.nationalacademies.org/child-poverty/highlights.html" TargetMode="External"/><Relationship Id="rId10" Type="http://schemas.openxmlformats.org/officeDocument/2006/relationships/hyperlink" Target="https://nap.nationalacademies.org/read/25466/chapter/8" TargetMode="External"/><Relationship Id="rId11" Type="http://schemas.openxmlformats.org/officeDocument/2006/relationships/hyperlink" Target="https://www.nber.org/papers/w33844" TargetMode="External"/><Relationship Id="rId12" Type="http://schemas.openxmlformats.org/officeDocument/2006/relationships/hyperlink" Target="https://www.nber.org/system/files/working_papers/w33844/w33844.pdf" TargetMode="External"/><Relationship Id="rId13" Type="http://schemas.openxmlformats.org/officeDocument/2006/relationships/hyperlink" Target="https://www.pnas.org/doi/10.1073/pnas.2115649119" TargetMode="External"/><Relationship Id="rId14" Type="http://schemas.openxmlformats.org/officeDocument/2006/relationships/hyperlink" Target="https://www.aeaweb.org/articles?id=10.1257/aer.20150572" TargetMode="External"/><Relationship Id="rId15" Type="http://schemas.openxmlformats.org/officeDocument/2006/relationships/hyperlink" Target="https://www.huduser.gov/periodicals/cityscpe/vol14num2/Cityscape_July2012_long_term_effects_youth.pdf" TargetMode="External"/><Relationship Id="rId16" Type="http://schemas.openxmlformats.org/officeDocument/2006/relationships/hyperlink" Target="https://www.nber.org/system/files/working_papers/w21156/w21156.pdf" TargetMode="External"/><Relationship Id="rId17" Type="http://schemas.openxmlformats.org/officeDocument/2006/relationships/hyperlink" Target="https://read.dukeupress.edu/demography/article/59/4/1275/314006/Toxic-Neighborhoods-The-Effects-of-Concentrated" TargetMode="External"/><Relationship Id="rId18" Type="http://schemas.openxmlformats.org/officeDocument/2006/relationships/hyperlink" Target="https://www.annualreviews.org/content/journals/10.1146/annurev-devpsych-121318-085221" TargetMode="External"/><Relationship Id="rId19" Type="http://schemas.openxmlformats.org/officeDocument/2006/relationships/hyperlink" Target="https://pmc.ncbi.nlm.nih.gov/articles/PMC8431639/" TargetMode="External"/><Relationship Id="rId20" Type="http://schemas.openxmlformats.org/officeDocument/2006/relationships/hyperlink" Target="https://link.springer.com/article/10.1007/s10935-013-0318-z" TargetMode="External"/><Relationship Id="rId21" Type="http://schemas.openxmlformats.org/officeDocument/2006/relationships/hyperlink" Target="https://www.econstor.eu/bitstream/10419/147527/1/871680084.pdf" TargetMode="External"/><Relationship Id="rId22" Type="http://schemas.openxmlformats.org/officeDocument/2006/relationships/hyperlink" Target="https://docs.iza.org/dp15421.pdf" TargetMode="External"/><Relationship Id="rId23" Type="http://schemas.openxmlformats.org/officeDocument/2006/relationships/hyperlink" Target="https://www.econstor.eu/bitstream/10419/156143/1/882065335.pdf" TargetMode="External"/><Relationship Id="rId24" Type="http://schemas.openxmlformats.org/officeDocument/2006/relationships/hyperlink" Target="https://pmc.ncbi.nlm.nih.gov/articles/PMC8684353/" TargetMode="External"/><Relationship Id="rId25" Type="http://schemas.openxmlformats.org/officeDocument/2006/relationships/hyperlink" Target="https://pmc.ncbi.nlm.nih.gov/articles/PMC9892990/" TargetMode="External"/><Relationship Id="rId26" Type="http://schemas.openxmlformats.org/officeDocument/2006/relationships/hyperlink" Target="https://www.nichd.nih.gov/sites/default/files/publications/pubs/documents/seccyd_06.pdf" TargetMode="External"/><Relationship Id="rId27" Type="http://schemas.openxmlformats.org/officeDocument/2006/relationships/hyperlink" Target="https://www.who.int/publications/i/item/9789241516471" TargetMode="External"/><Relationship Id="rId28" Type="http://schemas.openxmlformats.org/officeDocument/2006/relationships/hyperlink" Target="https://www.nature.com/articles/pr2014122"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2026-09-11T13:17:31.285Z</dcterms:created>
  <dcterms:modified xsi:type="dcterms:W3CDTF">2026-09-11T13:17:31.285Z</dcterms:modified>
</cp:coreProperties>
</file>