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3_the_great_transition"/>
      <w:r>
        <w:rPr>
          <w:rFonts w:eastAsia="source serif 4" w:cs="source serif 4" w:ascii="source serif 4" w:hAnsi="source serif 4"/>
          <w:b/>
          <w:color w:val="000000"/>
          <w:sz w:val="39"/>
        </w:rPr>
        <w:t xml:space="preserve">Chapter 3 — The Great Transition</w:t>
      </w:r>
      <w:bookmarkEnd w:id="0"/>
    </w:p>
    <w:p>
      <w:pPr>
        <w:spacing w:line="360" w:before="315" w:after="105" w:lineRule="auto"/>
        <w:ind w:left="-30"/>
        <w:jc w:val="left"/>
      </w:pPr>
      <w:bookmarkStart w:id="1" w:name="purpose_and_governing_proposition"/>
      <w:r>
        <w:rPr>
          <w:rFonts w:eastAsia="source serif 4" w:cs="source serif 4" w:ascii="source serif 4" w:hAnsi="source serif 4"/>
          <w:b/>
          <w:color w:val="000000"/>
          <w:sz w:val="24"/>
        </w:rPr>
        <w:t xml:space="preserve">Purpose and governing proposition</w:t>
      </w:r>
      <w:bookmarkEnd w:id="1"/>
    </w:p>
    <w:p>
      <w:pPr>
        <w:spacing w:line="360" w:after="210" w:lineRule="auto"/>
      </w:pPr>
      <w:r>
        <w:rPr>
          <w:rFonts w:eastAsia="source serif 4" w:cs="source serif 4" w:ascii="source serif 4" w:hAnsi="source serif 4"/>
          <w:color w:val="000000"/>
        </w:rPr>
        <w:t xml:space="preserve">Chapter 3 should treat birth as a transition between regulatory environments, not as the beginning of human development. The narrow scientific claim is that separation from placental circulation requires rapid respiratory, cardiovascular, metabolic, thermoregulatory, feeding, and neurobehavioral adaptation; the broader interpretation—that development continues across birth—is well supported, but it should not be turned into a claim that birth experience determines later personality or ability. The fetal-to-neonatal transition involves initiation of pulmonary gas exchange, increased systemic vascular resistance after placental separation, reduced pulmonary vascular resistance after lung ventilation, and functional closure of fetal shunts.[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A useful narrative distinction is:</w:t>
      </w:r>
    </w:p>
    <w:p>
      <w:pPr>
        <w:numPr>
          <w:ilvl w:val="0"/>
          <w:numId w:val="1"/>
        </w:numPr>
        <w:spacing w:line="360" w:before="105" w:after="105" w:lineRule="auto"/>
      </w:pPr>
      <w:r>
        <w:rPr>
          <w:rFonts w:eastAsia="source serif 4" w:cs="source serif 4" w:ascii="source serif 4" w:hAnsi="source serif 4"/>
          <w:b/>
          <w:color w:val="000000"/>
          <w:sz w:val="21"/>
        </w:rPr>
        <w:t xml:space="preserve">Continuity:</w:t>
      </w:r>
      <w:r>
        <w:rPr>
          <w:rFonts w:eastAsia="source serif 4" w:cs="source serif 4" w:ascii="source serif 4" w:hAnsi="source serif 4"/>
          <w:color w:val="000000"/>
          <w:sz w:val="21"/>
        </w:rPr>
        <w:t xml:space="preserve"> organs, neural systems, reflexes, sensory learning, and developmental history exist before birth.</w:t>
      </w:r>
    </w:p>
    <w:p>
      <w:pPr>
        <w:numPr>
          <w:ilvl w:val="0"/>
          <w:numId w:val="1"/>
        </w:numPr>
        <w:spacing w:line="360" w:before="105" w:after="105" w:lineRule="auto"/>
      </w:pPr>
      <w:r>
        <w:rPr>
          <w:rFonts w:eastAsia="source serif 4" w:cs="source serif 4" w:ascii="source serif 4" w:hAnsi="source serif 4"/>
          <w:b/>
          <w:color w:val="000000"/>
          <w:sz w:val="21"/>
        </w:rPr>
        <w:t xml:space="preserve">Reorganization:</w:t>
      </w:r>
      <w:r>
        <w:rPr>
          <w:rFonts w:eastAsia="source serif 4" w:cs="source serif 4" w:ascii="source serif 4" w:hAnsi="source serif 4"/>
          <w:color w:val="000000"/>
          <w:sz w:val="21"/>
        </w:rPr>
        <w:t xml:space="preserve"> gas exchange, circulation, energy supply, temperature control, and feeding must operate differently after placental separation.</w:t>
      </w:r>
    </w:p>
    <w:p>
      <w:pPr>
        <w:numPr>
          <w:ilvl w:val="0"/>
          <w:numId w:val="1"/>
        </w:numPr>
        <w:spacing w:line="360" w:before="105" w:after="105" w:lineRule="auto"/>
      </w:pPr>
      <w:r>
        <w:rPr>
          <w:rFonts w:eastAsia="source serif 4" w:cs="source serif 4" w:ascii="source serif 4" w:hAnsi="source serif 4"/>
          <w:b/>
          <w:color w:val="000000"/>
          <w:sz w:val="21"/>
        </w:rPr>
        <w:t xml:space="preserve">Dependence:</w:t>
      </w:r>
      <w:r>
        <w:rPr>
          <w:rFonts w:eastAsia="source serif 4" w:cs="source serif 4" w:ascii="source serif 4" w:hAnsi="source serif 4"/>
          <w:color w:val="000000"/>
          <w:sz w:val="21"/>
        </w:rPr>
        <w:t xml:space="preserve"> the placenta is no longer the direct exchange organ, but newborn regulation remains dependent on physiology, caregiving, clinical care, and material conditions.</w:t>
      </w:r>
    </w:p>
    <w:p>
      <w:pPr>
        <w:numPr>
          <w:ilvl w:val="0"/>
          <w:numId w:val="1"/>
        </w:numPr>
        <w:spacing w:line="360" w:before="105" w:after="105" w:lineRule="auto"/>
      </w:pPr>
      <w:r>
        <w:rPr>
          <w:rFonts w:eastAsia="source serif 4" w:cs="source serif 4" w:ascii="source serif 4" w:hAnsi="source serif 4"/>
          <w:b/>
          <w:color w:val="000000"/>
          <w:sz w:val="21"/>
        </w:rPr>
        <w:t xml:space="preserve">Plasticity:</w:t>
      </w:r>
      <w:r>
        <w:rPr>
          <w:rFonts w:eastAsia="source serif 4" w:cs="source serif 4" w:ascii="source serif 4" w:hAnsi="source serif 4"/>
          <w:color w:val="000000"/>
          <w:sz w:val="21"/>
        </w:rPr>
        <w:t xml:space="preserve"> successful or difficult neonatal adaptation changes immediate risk without fixing a developmental destiny.</w:t>
      </w:r>
    </w:p>
    <w:p>
      <w:pPr>
        <w:spacing w:line="360" w:after="210" w:lineRule="auto"/>
      </w:pPr>
      <w:r>
        <w:rPr>
          <w:rFonts w:eastAsia="source serif 4" w:cs="source serif 4" w:ascii="source serif 4" w:hAnsi="source serif 4"/>
          <w:color w:val="000000"/>
        </w:rPr>
        <w:t xml:space="preserve">The phrase “caregivers become part of the child’s biology” should therefore be used as a carefully bounded interpretation. Caregivers can participate in regulation through warmth, touch, feeding, protection, contingent responding, and stress reduction; they do not literally replace the placenta, and evidence for immediate physiological effects is stronger than evidence for universal long-term developmental effects.</w:t>
      </w:r>
    </w:p>
    <w:p>
      <w:pPr>
        <w:spacing w:line="360" w:before="315" w:after="105" w:lineRule="auto"/>
        <w:ind w:left="-30"/>
        <w:jc w:val="left"/>
      </w:pPr>
      <w:bookmarkStart w:id="2" w:name="recommended_chapter_architecture"/>
      <w:r>
        <w:rPr>
          <w:rFonts w:eastAsia="source serif 4" w:cs="source serif 4" w:ascii="source serif 4" w:hAnsi="source serif 4"/>
          <w:b/>
          <w:color w:val="000000"/>
          <w:sz w:val="24"/>
        </w:rPr>
        <w:t xml:space="preserve">Recommended chapter architecture</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Before the first breath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are fetus, placenta, uterus, and hormones prepared for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Endocrine and physiological reviews; labor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 parturition remains incompletely understood; do not present a single “purposeful” sequence as settled fact.[</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The first breath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does pulmonary gas exchange begin?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Fetal/neonatal physiology reviews; neonatal respiratory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Distinguish normal transition from resuscitation and respiratory disease.[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Rewiring circulation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does placental circulation become lung-based circulation?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Cardiovascular physiology reviews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“Closure” may be functional, anatomical, or gradual; specify which.[</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Heat and energy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does the newborn maintain temperature and glucose?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Neonatal metabolism and thermal-care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Capacity is limited and highly dependent on gestational age, size, illness, drying, warmth, and feeding.[</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The unfinished-ready brain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capacities are present, and what remains immature?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Neonatal neurobehavioral, sensory, and learning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both “blank slate” and “fully programmed” narratives.[</w:t>
            </w:r>
            <w:r>
              <w:rPr>
                <w:rFonts w:eastAsia="source serif 4" w:cs="source serif 4" w:ascii="source serif 4" w:hAnsi="source serif 4"/>
                <w:color w:val="000000"/>
                <w:sz w:val="17"/>
                <w:vertAlign w:val="superscript"/>
              </w:rPr>
              <w:t xml:space="preserve">9][</w:t>
            </w:r>
            <w:r>
              <w:rPr>
                <w:rFonts w:eastAsia="source sans 3" w:cs="source sans 3" w:ascii="source sans 3" w:hAnsi="source sans 3"/>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Perception and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can newborns detect, discriminate, remember, and learn?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Preference, habituation, conditioning, and neuroimaging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preference or orientation is not equivalent to conscious understanding or social attachment.[</w:t>
            </w:r>
            <w:r>
              <w:rPr>
                <w:rFonts w:eastAsia="source serif 4" w:cs="source serif 4" w:ascii="source serif 4" w:hAnsi="source serif 4"/>
                <w:color w:val="000000"/>
                <w:sz w:val="17"/>
                <w:vertAlign w:val="superscript"/>
              </w:rPr>
              <w:t xml:space="preserve">9][</w:t>
            </w:r>
            <w:r>
              <w:rPr>
                <w:rFonts w:eastAsia="source sans 3" w:cs="source sans 3" w:ascii="source sans 3" w:hAnsi="source sans 3"/>
                <w:color w:val="000000"/>
                <w:sz w:val="17"/>
              </w:rPr>
              <w:t xml:space="preserve">11][^10]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Crying and feeding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 behavior and physiology communicate need?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Crying reviews; feeding coordination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Crying has multiple causes; feeding competence is maturational and variable.[</w:t>
            </w:r>
            <w:r>
              <w:rPr>
                <w:rFonts w:eastAsia="source serif 4" w:cs="source serif 4" w:ascii="source serif 4" w:hAnsi="source serif 4"/>
                <w:color w:val="000000"/>
                <w:sz w:val="17"/>
                <w:vertAlign w:val="superscript"/>
              </w:rPr>
              <w:t xml:space="preserve">12][</w:t>
            </w:r>
            <w:r>
              <w:rPr>
                <w:rFonts w:eastAsia="source sans 3" w:cs="source sans 3" w:ascii="source sans 3" w:hAnsi="source sans 3"/>
                <w:color w:val="000000"/>
                <w:sz w:val="17"/>
              </w:rPr>
              <w:t xml:space="preserve">13][^14]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Sleep and 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are sleep and arousal organized differently from adult patterns?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Neonatal sleep and circadian literature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use newborn sleep variation as a parenting-quality measure.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Contact and co-regulation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When does caregiving measurably support adaptation?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Trials, systematic reviews, implementation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physiological stabilization, feeding outcomes, bonding, and long-term development.[</w:t>
            </w:r>
            <w:r>
              <w:rPr>
                <w:rFonts w:eastAsia="source serif 4" w:cs="source serif 4" w:ascii="source serif 4" w:hAnsi="source serif 4"/>
                <w:color w:val="000000"/>
                <w:sz w:val="17"/>
                <w:vertAlign w:val="superscript"/>
              </w:rPr>
              <w:t xml:space="preserve">15][</w:t>
            </w:r>
            <w:r>
              <w:rPr>
                <w:rFonts w:eastAsia="source sans 3" w:cs="source sans 3" w:ascii="source sans 3" w:hAnsi="source sans 3"/>
                <w:color w:val="000000"/>
                <w:sz w:val="17"/>
              </w:rPr>
              <w:t xml:space="preserv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Prematurity and variation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does early birth reveal about developmental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Cohorts, meta-analyses, follow-up guidelines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Group differences are not individual forecasts; care, selection, and attrition matter.[</w:t>
            </w:r>
            <w:r>
              <w:rPr>
                <w:rFonts w:eastAsia="source serif 4" w:cs="source serif 4" w:ascii="source serif 4" w:hAnsi="source serif 4"/>
                <w:color w:val="000000"/>
                <w:sz w:val="17"/>
                <w:vertAlign w:val="superscript"/>
              </w:rPr>
              <w:t xml:space="preserve">17][</w:t>
            </w:r>
            <w:r>
              <w:rPr>
                <w:rFonts w:eastAsia="source sans 3" w:cs="source sans 3" w:ascii="source sans 3" w:hAnsi="source sans 3"/>
                <w:color w:val="000000"/>
                <w:sz w:val="17"/>
              </w:rPr>
              <w:t xml:space="preserve">18]</w:t>
            </w:r>
          </w:p>
        </w:tc>
      </w:tr>
    </w:tbl>
    <w:p>
      <w:pPr>
        <w:spacing w:lineRule="auto"/>
      </w:pPr>
    </w:p>
    <w:p>
      <w:pPr>
        <w:spacing w:line="360" w:before="315" w:after="105" w:lineRule="auto"/>
        <w:ind w:left="-30"/>
        <w:jc w:val="left"/>
      </w:pPr>
      <w:bookmarkStart w:id="3" w:name="evidence_cards"/>
      <w:r>
        <w:rPr>
          <w:rFonts w:eastAsia="source serif 4" w:cs="source serif 4" w:ascii="source serif 4" w:hAnsi="source serif 4"/>
          <w:b/>
          <w:color w:val="000000"/>
          <w:sz w:val="24"/>
        </w:rPr>
        <w:t xml:space="preserve">Evidence cards</w:t>
      </w:r>
      <w:bookmarkEnd w:id="3"/>
    </w:p>
    <w:p>
      <w:pPr>
        <w:spacing w:line="360" w:before="315" w:after="105" w:lineRule="auto"/>
        <w:ind w:left="-30"/>
        <w:jc w:val="left"/>
      </w:pPr>
      <w:bookmarkStart w:id="4" w:name="card_1_the_first_breath"/>
      <w:r>
        <w:rPr>
          <w:rFonts w:eastAsia="source serif 4" w:cs="source serif 4" w:ascii="source serif 4" w:hAnsi="source serif 4"/>
          <w:b/>
          <w:color w:val="000000"/>
          <w:sz w:val="24"/>
        </w:rPr>
        <w:t xml:space="preserve">Card 1 — The first breath</w:t>
      </w:r>
      <w:bookmarkEnd w:id="4"/>
    </w:p>
    <w:p>
      <w:pPr>
        <w:spacing w:line="360" w:before="315" w:after="105" w:lineRule="auto"/>
        <w:ind w:left="-30"/>
        <w:jc w:val="left"/>
      </w:pPr>
      <w:bookmarkStart w:id="5" w:name="what_we_know"/>
      <w:r>
        <w:rPr>
          <w:rFonts w:eastAsia="source serif 4" w:cs="source serif 4" w:ascii="source serif 4" w:hAnsi="source serif 4"/>
          <w:b/>
          <w:color w:val="000000"/>
          <w:sz w:val="24"/>
        </w:rPr>
        <w:t xml:space="preserve">What We Know</w:t>
      </w:r>
      <w:bookmarkEnd w:id="5"/>
    </w:p>
    <w:p>
      <w:pPr>
        <w:spacing w:line="360" w:after="210" w:lineRule="auto"/>
      </w:pPr>
      <w:r>
        <w:rPr>
          <w:rFonts w:eastAsia="source serif 4" w:cs="source serif 4" w:ascii="source serif 4" w:hAnsi="source serif 4"/>
          <w:color w:val="000000"/>
        </w:rPr>
        <w:t xml:space="preserve">Before birth, the placenta performs gas exchange while the fetal lungs contain fluid and receive relatively little blood flow. At birth, lung aeration and oxygenation lower pulmonary vascular resistance, while loss of the low-resistance placental circuit increases systemic vascular resistance; these changes redirect blood flow toward the lungs and establish neonatal gas exchange.[</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before="315" w:after="105" w:lineRule="auto"/>
        <w:ind w:left="-30"/>
        <w:jc w:val="left"/>
      </w:pPr>
      <w:bookmarkStart w:id="6" w:name="how_confident_we_are"/>
      <w:r>
        <w:rPr>
          <w:rFonts w:eastAsia="source serif 4" w:cs="source serif 4" w:ascii="source serif 4" w:hAnsi="source serif 4"/>
          <w:b/>
          <w:color w:val="000000"/>
          <w:sz w:val="24"/>
        </w:rPr>
        <w:t xml:space="preserve">How Confident We Are</w:t>
      </w:r>
      <w:bookmarkEnd w:id="6"/>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broad physiological sequence, based on convergent physiology, clinical observation, and experimental work.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precise timing and relative contribution of individual mechanisms in humans.</w:t>
      </w:r>
    </w:p>
    <w:p>
      <w:pPr>
        <w:spacing w:line="360" w:before="315" w:after="105" w:lineRule="auto"/>
        <w:ind w:left="-30"/>
        <w:jc w:val="left"/>
      </w:pPr>
      <w:bookmarkStart w:id="7" w:name="evidence_and_causal_assessment"/>
      <w:r>
        <w:rPr>
          <w:rFonts w:eastAsia="source serif 4" w:cs="source serif 4" w:ascii="source serif 4" w:hAnsi="source serif 4"/>
          <w:b/>
          <w:color w:val="000000"/>
          <w:sz w:val="24"/>
        </w:rPr>
        <w:t xml:space="preserve">Evidence and causal assessment</w:t>
      </w:r>
      <w:bookmarkEnd w:id="7"/>
    </w:p>
    <w:p>
      <w:pPr>
        <w:spacing w:line="360" w:after="210" w:lineRule="auto"/>
      </w:pPr>
      <w:r>
        <w:rPr>
          <w:rFonts w:eastAsia="source serif 4" w:cs="source serif 4" w:ascii="source serif 4" w:hAnsi="source serif 4"/>
          <w:color w:val="000000"/>
        </w:rPr>
        <w:t xml:space="preserve">The evidence is mechanistic and clinically anchored rather than randomized: human transition studies cannot ethically manipulate essential components of the first breath. Respiratory distress, delayed lung aeration, prematurity, and need for ventilation provide natural contrasts, but illness and treatment are tightly confounded.</w:t>
      </w:r>
    </w:p>
    <w:p>
      <w:pPr>
        <w:spacing w:line="360" w:before="315" w:after="105" w:lineRule="auto"/>
        <w:ind w:left="-30"/>
        <w:jc w:val="left"/>
      </w:pPr>
      <w:bookmarkStart w:id="8" w:name="effect_size_and_persistence"/>
      <w:r>
        <w:rPr>
          <w:rFonts w:eastAsia="source serif 4" w:cs="source serif 4" w:ascii="source serif 4" w:hAnsi="source serif 4"/>
          <w:b/>
          <w:color w:val="000000"/>
          <w:sz w:val="24"/>
        </w:rPr>
        <w:t xml:space="preserve">Effect size and persistence</w:t>
      </w:r>
      <w:bookmarkEnd w:id="8"/>
    </w:p>
    <w:p>
      <w:pPr>
        <w:spacing w:line="360" w:after="210" w:lineRule="auto"/>
      </w:pPr>
      <w:r>
        <w:rPr>
          <w:rFonts w:eastAsia="source serif 4" w:cs="source serif 4" w:ascii="source serif 4" w:hAnsi="source serif 4"/>
          <w:color w:val="000000"/>
        </w:rPr>
        <w:t xml:space="preserve">The immediate effect is potentially life-saving establishment of oxygenation, but the chapter should not infer that transient respiratory difficulty predicts lifelong outcome. Longer-term associations require separate follow-up evidence and are strongly modified by gestational age, disease severity, treatment, and post-discharge conditions.</w:t>
      </w:r>
    </w:p>
    <w:p>
      <w:pPr>
        <w:spacing w:line="360" w:before="315" w:after="105" w:lineRule="auto"/>
        <w:ind w:left="-30"/>
        <w:jc w:val="left"/>
      </w:pPr>
      <w:bookmarkStart w:id="9" w:name="what_this_does_not_mean"/>
      <w:r>
        <w:rPr>
          <w:rFonts w:eastAsia="source serif 4" w:cs="source serif 4" w:ascii="source serif 4" w:hAnsi="source serif 4"/>
          <w:b/>
          <w:color w:val="000000"/>
          <w:sz w:val="24"/>
        </w:rPr>
        <w:t xml:space="preserve">What This Does Not Mean</w:t>
      </w:r>
      <w:bookmarkEnd w:id="9"/>
    </w:p>
    <w:p>
      <w:pPr>
        <w:spacing w:line="360" w:after="210" w:lineRule="auto"/>
      </w:pPr>
      <w:r>
        <w:rPr>
          <w:rFonts w:eastAsia="source serif 4" w:cs="source serif 4" w:ascii="source serif 4" w:hAnsi="source serif 4"/>
          <w:color w:val="000000"/>
        </w:rPr>
        <w:t xml:space="preserve">A difficult first breath is not a developmental sentence, and a normal transition is not evidence of superior future cognition or temperament.</w:t>
      </w:r>
    </w:p>
    <w:p>
      <w:pPr>
        <w:spacing w:line="360" w:before="315" w:after="105" w:lineRule="auto"/>
        <w:ind w:left="-30"/>
        <w:jc w:val="left"/>
      </w:pPr>
      <w:bookmarkStart w:id="10" w:name="what_action_is_reasonably_justified"/>
      <w:r>
        <w:rPr>
          <w:rFonts w:eastAsia="source serif 4" w:cs="source serif 4" w:ascii="source serif 4" w:hAnsi="source serif 4"/>
          <w:b/>
          <w:color w:val="000000"/>
          <w:sz w:val="24"/>
        </w:rPr>
        <w:t xml:space="preserve">What Action Is Reasonably Justified</w:t>
      </w:r>
      <w:bookmarkEnd w:id="10"/>
    </w:p>
    <w:p>
      <w:pPr>
        <w:spacing w:line="360" w:after="210" w:lineRule="auto"/>
      </w:pPr>
      <w:r>
        <w:rPr>
          <w:rFonts w:eastAsia="source serif 4" w:cs="source serif 4" w:ascii="source serif 4" w:hAnsi="source serif 4"/>
          <w:color w:val="000000"/>
        </w:rPr>
        <w:t xml:space="preserve">Prioritize trained assessment of breathing, warmth, and timely resuscitation when indicated. WHO essential newborn care explicitly includes assessment of breathing and resuscitation when needed.[^19]</w:t>
      </w:r>
    </w:p>
    <w:p>
      <w:pPr>
        <w:spacing w:line="360" w:before="315" w:after="105" w:lineRule="auto"/>
        <w:ind w:left="-30"/>
        <w:jc w:val="left"/>
      </w:pPr>
      <w:bookmarkStart w:id="11" w:name="card_2_rewiring_the_circulation"/>
      <w:r>
        <w:rPr>
          <w:rFonts w:eastAsia="source serif 4" w:cs="source serif 4" w:ascii="source serif 4" w:hAnsi="source serif 4"/>
          <w:b/>
          <w:color w:val="000000"/>
          <w:sz w:val="24"/>
        </w:rPr>
        <w:t xml:space="preserve">Card 2 — Rewiring the circulation</w:t>
      </w:r>
      <w:bookmarkEnd w:id="11"/>
    </w:p>
    <w:p>
      <w:pPr>
        <w:spacing w:line="360" w:before="315" w:after="105" w:lineRule="auto"/>
        <w:ind w:left="-30"/>
        <w:jc w:val="left"/>
      </w:pPr>
      <w:bookmarkStart w:id="12" w:name="what_we_know_2"/>
      <w:r>
        <w:rPr>
          <w:rFonts w:eastAsia="source serif 4" w:cs="source serif 4" w:ascii="source serif 4" w:hAnsi="source serif 4"/>
          <w:b/>
          <w:color w:val="000000"/>
          <w:sz w:val="24"/>
        </w:rPr>
        <w:t xml:space="preserve">What We Know</w:t>
      </w:r>
      <w:bookmarkEnd w:id="12"/>
    </w:p>
    <w:p>
      <w:pPr>
        <w:spacing w:line="360" w:after="210" w:lineRule="auto"/>
      </w:pPr>
      <w:r>
        <w:rPr>
          <w:rFonts w:eastAsia="source serif 4" w:cs="source serif 4" w:ascii="source serif 4" w:hAnsi="source serif 4"/>
          <w:color w:val="000000"/>
        </w:rPr>
        <w:t xml:space="preserve">Umbilical blood flow ends when placental separation occurs; ventilation and increased oxygenation change pulmonary and systemic pressures, producing functional changes in the foramen ovale, ductus arteriosus, and ductus venosus. This is a reconfiguration of an existing system, not construction of a new cardiovascular system.[</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13" w:name="how_confident_we_are_2"/>
      <w:r>
        <w:rPr>
          <w:rFonts w:eastAsia="source serif 4" w:cs="source serif 4" w:ascii="source serif 4" w:hAnsi="source serif 4"/>
          <w:b/>
          <w:color w:val="000000"/>
          <w:sz w:val="24"/>
        </w:rPr>
        <w:t xml:space="preserve">How Confident We Are</w:t>
      </w:r>
      <w:bookmarkEnd w:id="13"/>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direction of change and the central role of lung aeration and placental separation.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exact timing of closure, because functional and anatomical closure differ and transition varies by gestational age and illness.</w:t>
      </w:r>
    </w:p>
    <w:p>
      <w:pPr>
        <w:spacing w:line="360" w:before="315" w:after="105" w:lineRule="auto"/>
        <w:ind w:left="-30"/>
        <w:jc w:val="left"/>
      </w:pPr>
      <w:bookmarkStart w:id="14" w:name="bias_and_uncertainty"/>
      <w:r>
        <w:rPr>
          <w:rFonts w:eastAsia="source serif 4" w:cs="source serif 4" w:ascii="source serif 4" w:hAnsi="source serif 4"/>
          <w:b/>
          <w:color w:val="000000"/>
          <w:sz w:val="24"/>
        </w:rPr>
        <w:t xml:space="preserve">Bias and uncertainty</w:t>
      </w:r>
      <w:bookmarkEnd w:id="14"/>
    </w:p>
    <w:p>
      <w:pPr>
        <w:spacing w:line="360" w:after="210" w:lineRule="auto"/>
      </w:pPr>
      <w:r>
        <w:rPr>
          <w:rFonts w:eastAsia="source serif 4" w:cs="source serif 4" w:ascii="source serif 4" w:hAnsi="source serif 4"/>
          <w:color w:val="000000"/>
        </w:rPr>
        <w:t xml:space="preserve">Clinical descriptions often simplify a dynamic process into a binary “before/after” diagram. The chapter should distinguish pressure-driven functional changes from later anatomical remodeling and explain that persistent fetal channels can be normal in some contexts or clinically important in others.</w:t>
      </w:r>
    </w:p>
    <w:p>
      <w:pPr>
        <w:spacing w:line="360" w:before="315" w:after="105" w:lineRule="auto"/>
        <w:ind w:left="-30"/>
        <w:jc w:val="left"/>
      </w:pPr>
      <w:bookmarkStart w:id="15" w:name="what_this_does_not_mean_2"/>
      <w:r>
        <w:rPr>
          <w:rFonts w:eastAsia="source serif 4" w:cs="source serif 4" w:ascii="source serif 4" w:hAnsi="source serif 4"/>
          <w:b/>
          <w:color w:val="000000"/>
          <w:sz w:val="24"/>
        </w:rPr>
        <w:t xml:space="preserve">What This Does Not Mean</w:t>
      </w:r>
      <w:bookmarkEnd w:id="15"/>
    </w:p>
    <w:p>
      <w:pPr>
        <w:spacing w:line="360" w:after="210" w:lineRule="auto"/>
      </w:pPr>
      <w:r>
        <w:rPr>
          <w:rFonts w:eastAsia="source serif 4" w:cs="source serif 4" w:ascii="source serif 4" w:hAnsi="source serif 4"/>
          <w:color w:val="000000"/>
        </w:rPr>
        <w:t xml:space="preserve">A transiently open shunt is not automatically pathology, and a neonatal cardiovascular difference should not be translated into a personality or developmental forecast.</w:t>
      </w:r>
    </w:p>
    <w:p>
      <w:pPr>
        <w:spacing w:line="360" w:before="315" w:after="105" w:lineRule="auto"/>
        <w:ind w:left="-30"/>
        <w:jc w:val="left"/>
      </w:pPr>
      <w:bookmarkStart w:id="16" w:name="card_3_the_newborn_brain"/>
      <w:r>
        <w:rPr>
          <w:rFonts w:eastAsia="source serif 4" w:cs="source serif 4" w:ascii="source serif 4" w:hAnsi="source serif 4"/>
          <w:b/>
          <w:color w:val="000000"/>
          <w:sz w:val="24"/>
        </w:rPr>
        <w:t xml:space="preserve">Card 3 — The newborn brain</w:t>
      </w:r>
      <w:bookmarkEnd w:id="16"/>
    </w:p>
    <w:p>
      <w:pPr>
        <w:spacing w:line="360" w:before="315" w:after="105" w:lineRule="auto"/>
        <w:ind w:left="-30"/>
        <w:jc w:val="left"/>
      </w:pPr>
      <w:bookmarkStart w:id="17" w:name="what_we_know_3"/>
      <w:r>
        <w:rPr>
          <w:rFonts w:eastAsia="source serif 4" w:cs="source serif 4" w:ascii="source serif 4" w:hAnsi="source serif 4"/>
          <w:b/>
          <w:color w:val="000000"/>
          <w:sz w:val="24"/>
        </w:rPr>
        <w:t xml:space="preserve">What We Know</w:t>
      </w:r>
      <w:bookmarkEnd w:id="17"/>
    </w:p>
    <w:p>
      <w:pPr>
        <w:spacing w:line="360" w:after="210" w:lineRule="auto"/>
      </w:pPr>
      <w:r>
        <w:rPr>
          <w:rFonts w:eastAsia="source serif 4" w:cs="source serif 4" w:ascii="source serif 4" w:hAnsi="source serif 4"/>
          <w:color w:val="000000"/>
        </w:rPr>
        <w:t xml:space="preserve">The newborn brain is organized enough to support arousal, sensory processing, reflexive action, autonomic regulation, learning, and social orientation, while remaining immature in connectivity, inhibitory control, sleep organization, and higher-order integration. Habituation research indicates that fetuses and newborns show measurable changes in response to repeated stimulation, providing evidence for early sensory processing and a basic learning mechanism.[^9]</w:t>
      </w:r>
    </w:p>
    <w:p>
      <w:pPr>
        <w:spacing w:line="360" w:before="315" w:after="105" w:lineRule="auto"/>
        <w:ind w:left="-30"/>
        <w:jc w:val="left"/>
      </w:pPr>
      <w:bookmarkStart w:id="18" w:name="how_confident_we_are_3"/>
      <w:r>
        <w:rPr>
          <w:rFonts w:eastAsia="source serif 4" w:cs="source serif 4" w:ascii="source serif 4" w:hAnsi="source serif 4"/>
          <w:b/>
          <w:color w:val="000000"/>
          <w:sz w:val="24"/>
        </w:rPr>
        <w:t xml:space="preserve">How Confident We Are</w:t>
      </w:r>
      <w:bookmarkEnd w:id="1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overall. Evidence for specific sensory and habituation responses is substantial, but interpretations about subjective experience, later cognition, and the meaning of individual neonatal responses remain uncertain.</w:t>
      </w:r>
    </w:p>
    <w:p>
      <w:pPr>
        <w:spacing w:line="360" w:before="315" w:after="105" w:lineRule="auto"/>
        <w:ind w:left="-30"/>
        <w:jc w:val="left"/>
      </w:pPr>
      <w:bookmarkStart w:id="19" w:name="evidence_and_causal_assessment_2"/>
      <w:r>
        <w:rPr>
          <w:rFonts w:eastAsia="source serif 4" w:cs="source serif 4" w:ascii="source serif 4" w:hAnsi="source serif 4"/>
          <w:b/>
          <w:color w:val="000000"/>
          <w:sz w:val="24"/>
        </w:rPr>
        <w:t xml:space="preserve">Evidence and causal assessment</w:t>
      </w:r>
      <w:bookmarkEnd w:id="19"/>
    </w:p>
    <w:p>
      <w:pPr>
        <w:spacing w:line="360" w:after="210" w:lineRule="auto"/>
      </w:pPr>
      <w:r>
        <w:rPr>
          <w:rFonts w:eastAsia="source serif 4" w:cs="source serif 4" w:ascii="source serif 4" w:hAnsi="source serif 4"/>
          <w:color w:val="000000"/>
        </w:rPr>
        <w:t xml:space="preserve">Preference and habituation paradigms are useful but indirect. Looking time, sucking changes, heart-rate responses, and cortical measures can index discrimination or novelty response; they do not by themselves establish conscious recognition, language comprehension, or stable traits.</w:t>
      </w:r>
    </w:p>
    <w:p>
      <w:pPr>
        <w:spacing w:line="360" w:before="315" w:after="105" w:lineRule="auto"/>
        <w:ind w:left="-30"/>
        <w:jc w:val="left"/>
      </w:pPr>
      <w:bookmarkStart w:id="20" w:name="what_this_does_not_mean_3"/>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Newborn competence is neither a blank slate nor a finished adult-like mind. Early capacity should not be treated as evidence that later development is predetermined.</w:t>
      </w:r>
    </w:p>
    <w:p>
      <w:pPr>
        <w:spacing w:line="360" w:before="315" w:after="105" w:lineRule="auto"/>
        <w:ind w:left="-30"/>
        <w:jc w:val="left"/>
      </w:pPr>
      <w:bookmarkStart w:id="21" w:name="card_4_what_newborns_can_perceive"/>
      <w:r>
        <w:rPr>
          <w:rFonts w:eastAsia="source serif 4" w:cs="source serif 4" w:ascii="source serif 4" w:hAnsi="source serif 4"/>
          <w:b/>
          <w:color w:val="000000"/>
          <w:sz w:val="24"/>
        </w:rPr>
        <w:t xml:space="preserve">Card 4 — What newborns can perceive</w:t>
      </w:r>
      <w:bookmarkEnd w:id="21"/>
    </w:p>
    <w:p>
      <w:pPr>
        <w:spacing w:line="360" w:before="315" w:after="105" w:lineRule="auto"/>
        <w:ind w:left="-30"/>
        <w:jc w:val="left"/>
      </w:pPr>
      <w:bookmarkStart w:id="22" w:name="what_we_know_4"/>
      <w:r>
        <w:rPr>
          <w:rFonts w:eastAsia="source serif 4" w:cs="source serif 4" w:ascii="source serif 4" w:hAnsi="source serif 4"/>
          <w:b/>
          <w:color w:val="000000"/>
          <w:sz w:val="24"/>
        </w:rPr>
        <w:t xml:space="preserve">What We Know</w:t>
      </w:r>
      <w:bookmarkEnd w:id="22"/>
    </w:p>
    <w:p>
      <w:pPr>
        <w:spacing w:line="360" w:after="210" w:lineRule="auto"/>
      </w:pPr>
      <w:r>
        <w:rPr>
          <w:rFonts w:eastAsia="source serif 4" w:cs="source serif 4" w:ascii="source serif 4" w:hAnsi="source serif 4"/>
          <w:color w:val="000000"/>
        </w:rPr>
        <w:t xml:space="preserve">Newborns orient to faces and other socially meaningful stimuli, and evidence supports recognition of the mother’s voice at birth; the evidence for visual recognition of the mother’s face is more dependent on conditions and may be facilitated by accompanying speech. Auditory and olfactory continuity from prenatal life provides a plausible route by which familiar inputs can support early orientation, but the strength of evidence differs by modality.[</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10][^20]</w:t>
      </w:r>
    </w:p>
    <w:p>
      <w:pPr>
        <w:spacing w:line="360" w:before="315" w:after="105" w:lineRule="auto"/>
        <w:ind w:left="-30"/>
        <w:jc w:val="left"/>
      </w:pPr>
      <w:bookmarkStart w:id="23" w:name="how_confident_we_are_4"/>
      <w:r>
        <w:rPr>
          <w:rFonts w:eastAsia="source serif 4" w:cs="source serif 4" w:ascii="source serif 4" w:hAnsi="source serif 4"/>
          <w:b/>
          <w:color w:val="000000"/>
          <w:sz w:val="24"/>
        </w:rPr>
        <w:t xml:space="preserve">How Confident We Are</w:t>
      </w:r>
      <w:bookmarkEnd w:id="2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early auditory, tactile, olfactory, and basic visual capacities;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claims about specific face recognition and the subjective meaning of these responses.</w:t>
      </w:r>
    </w:p>
    <w:p>
      <w:pPr>
        <w:spacing w:line="360" w:before="315" w:after="105" w:lineRule="auto"/>
        <w:ind w:left="-30"/>
        <w:jc w:val="left"/>
      </w:pPr>
      <w:bookmarkStart w:id="24" w:name="boundary_conditions"/>
      <w:r>
        <w:rPr>
          <w:rFonts w:eastAsia="source serif 4" w:cs="source serif 4" w:ascii="source serif 4" w:hAnsi="source serif 4"/>
          <w:b/>
          <w:color w:val="000000"/>
          <w:sz w:val="24"/>
        </w:rPr>
        <w:t xml:space="preserve">Boundary conditions</w:t>
      </w:r>
      <w:bookmarkEnd w:id="24"/>
    </w:p>
    <w:p>
      <w:pPr>
        <w:spacing w:line="360" w:after="210" w:lineRule="auto"/>
      </w:pPr>
      <w:r>
        <w:rPr>
          <w:rFonts w:eastAsia="source serif 4" w:cs="source serif 4" w:ascii="source serif 4" w:hAnsi="source serif 4"/>
          <w:color w:val="000000"/>
        </w:rPr>
        <w:t xml:space="preserve">Vision is limited by acuity, contrast, distance, and immature visual processing. Hearing is not equivalent to adult speech comprehension. The chapter should report task, timing, stimulus, gestational age, and behavioral measure rather than saying simply that a newborn “recognizes” a person.</w:t>
      </w:r>
    </w:p>
    <w:p>
      <w:pPr>
        <w:spacing w:line="360" w:before="315" w:after="105" w:lineRule="auto"/>
        <w:ind w:left="-30"/>
        <w:jc w:val="left"/>
      </w:pPr>
      <w:bookmarkStart w:id="25" w:name="what_this_does_not_mean_4"/>
      <w:r>
        <w:rPr>
          <w:rFonts w:eastAsia="source serif 4" w:cs="source serif 4" w:ascii="source serif 4" w:hAnsi="source serif 4"/>
          <w:b/>
          <w:color w:val="000000"/>
          <w:sz w:val="24"/>
        </w:rPr>
        <w:t xml:space="preserve">What This Does Not Mean</w:t>
      </w:r>
      <w:bookmarkEnd w:id="25"/>
    </w:p>
    <w:p>
      <w:pPr>
        <w:spacing w:line="360" w:after="210" w:lineRule="auto"/>
      </w:pPr>
      <w:r>
        <w:rPr>
          <w:rFonts w:eastAsia="source serif 4" w:cs="source serif 4" w:ascii="source serif 4" w:hAnsi="source serif 4"/>
          <w:color w:val="000000"/>
        </w:rPr>
        <w:t xml:space="preserve">A newborn’s orientation to a face or voice is not proof of attachment, preference in the adult sense, or a fixed social disposition.</w:t>
      </w:r>
    </w:p>
    <w:p>
      <w:pPr>
        <w:spacing w:line="360" w:before="315" w:after="105" w:lineRule="auto"/>
        <w:ind w:left="-30"/>
        <w:jc w:val="left"/>
      </w:pPr>
      <w:bookmarkStart w:id="26" w:name="card_5_can_newborns_learn"/>
      <w:r>
        <w:rPr>
          <w:rFonts w:eastAsia="source serif 4" w:cs="source serif 4" w:ascii="source serif 4" w:hAnsi="source serif 4"/>
          <w:b/>
          <w:color w:val="000000"/>
          <w:sz w:val="24"/>
        </w:rPr>
        <w:t xml:space="preserve">Card 5 — Can newborns learn?</w:t>
      </w:r>
      <w:bookmarkEnd w:id="26"/>
    </w:p>
    <w:p>
      <w:pPr>
        <w:spacing w:line="360" w:before="315" w:after="105" w:lineRule="auto"/>
        <w:ind w:left="-30"/>
        <w:jc w:val="left"/>
      </w:pPr>
      <w:bookmarkStart w:id="27" w:name="what_we_know_5"/>
      <w:r>
        <w:rPr>
          <w:rFonts w:eastAsia="source serif 4" w:cs="source serif 4" w:ascii="source serif 4" w:hAnsi="source serif 4"/>
          <w:b/>
          <w:color w:val="000000"/>
          <w:sz w:val="24"/>
        </w:rPr>
        <w:t xml:space="preserve">What We Know</w:t>
      </w:r>
      <w:bookmarkEnd w:id="27"/>
    </w:p>
    <w:p>
      <w:pPr>
        <w:spacing w:line="360" w:after="210" w:lineRule="auto"/>
      </w:pPr>
      <w:r>
        <w:rPr>
          <w:rFonts w:eastAsia="source serif 4" w:cs="source serif 4" w:ascii="source serif 4" w:hAnsi="source serif 4"/>
          <w:color w:val="000000"/>
        </w:rPr>
        <w:t xml:space="preserve">Newborns can habituate to repeated stimulation and show forms of discrimination, recognition, preference learning, and conditioning under specific experimental conditions. The strongest interpretation is that learning processes are present early, not that newborns possess mature memory, reasoning, or symbolic understanding.[</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9]</w:t>
      </w:r>
    </w:p>
    <w:p>
      <w:pPr>
        <w:spacing w:line="360" w:before="315" w:after="105" w:lineRule="auto"/>
        <w:ind w:left="-30"/>
        <w:jc w:val="left"/>
      </w:pPr>
      <w:bookmarkStart w:id="28" w:name="how_confident_we_are_5"/>
      <w:r>
        <w:rPr>
          <w:rFonts w:eastAsia="source serif 4" w:cs="source serif 4" w:ascii="source serif 4" w:hAnsi="source serif 4"/>
          <w:b/>
          <w:color w:val="000000"/>
          <w:sz w:val="24"/>
        </w:rPr>
        <w:t xml:space="preserve">How Confident We Are</w:t>
      </w:r>
      <w:bookmarkEnd w:id="2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basic learning capacities;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translating laboratory responses into broad claims about everyday learning or later intelligence. Preterm infants may show less mature habituation, but this is a group-level vulnerability and not an individual forecast.[^9]</w:t>
      </w:r>
    </w:p>
    <w:p>
      <w:pPr>
        <w:spacing w:line="360" w:before="315" w:after="105" w:lineRule="auto"/>
        <w:ind w:left="-30"/>
        <w:jc w:val="left"/>
      </w:pPr>
      <w:bookmarkStart w:id="29" w:name="research_design_priorities"/>
      <w:r>
        <w:rPr>
          <w:rFonts w:eastAsia="source serif 4" w:cs="source serif 4" w:ascii="source serif 4" w:hAnsi="source serif 4"/>
          <w:b/>
          <w:color w:val="000000"/>
          <w:sz w:val="24"/>
        </w:rPr>
        <w:t xml:space="preserve">Research design priorities</w:t>
      </w:r>
      <w:bookmarkEnd w:id="29"/>
    </w:p>
    <w:p>
      <w:pPr>
        <w:spacing w:line="360" w:after="210" w:lineRule="auto"/>
      </w:pPr>
      <w:r>
        <w:rPr>
          <w:rFonts w:eastAsia="source serif 4" w:cs="source serif 4" w:ascii="source serif 4" w:hAnsi="source serif 4"/>
          <w:color w:val="000000"/>
        </w:rPr>
        <w:t xml:space="preserve">Separate prenatal exposure from postnatal exposure, novelty from preference, and short-term retention from durable memory. Give priority to preregistered or replicated paradigms and to studies that report gestational age, alertness, medication, sensory state, and attrition.</w:t>
      </w:r>
    </w:p>
    <w:p>
      <w:pPr>
        <w:spacing w:line="360" w:before="315" w:after="105" w:lineRule="auto"/>
        <w:ind w:left="-30"/>
        <w:jc w:val="left"/>
      </w:pPr>
      <w:bookmarkStart w:id="30" w:name="what_this_does_not_mean_5"/>
      <w:r>
        <w:rPr>
          <w:rFonts w:eastAsia="source serif 4" w:cs="source serif 4" w:ascii="source serif 4" w:hAnsi="source serif 4"/>
          <w:b/>
          <w:color w:val="000000"/>
          <w:sz w:val="24"/>
        </w:rPr>
        <w:t xml:space="preserve">What This Does Not Mean</w:t>
      </w:r>
      <w:bookmarkEnd w:id="30"/>
    </w:p>
    <w:p>
      <w:pPr>
        <w:spacing w:line="360" w:after="210" w:lineRule="auto"/>
      </w:pPr>
      <w:r>
        <w:rPr>
          <w:rFonts w:eastAsia="source serif 4" w:cs="source serif 4" w:ascii="source serif 4" w:hAnsi="source serif 4"/>
          <w:color w:val="000000"/>
        </w:rPr>
        <w:t xml:space="preserve">Newborn learning does not justify intensive instruction, performance comparison, or claims that early stimulation determines educational achievement.</w:t>
      </w:r>
    </w:p>
    <w:p>
      <w:pPr>
        <w:spacing w:line="360" w:before="315" w:after="105" w:lineRule="auto"/>
        <w:ind w:left="-30"/>
        <w:jc w:val="left"/>
      </w:pPr>
      <w:bookmarkStart w:id="31" w:name="card_6_crying_as_communication"/>
      <w:r>
        <w:rPr>
          <w:rFonts w:eastAsia="source serif 4" w:cs="source serif 4" w:ascii="source serif 4" w:hAnsi="source serif 4"/>
          <w:b/>
          <w:color w:val="000000"/>
          <w:sz w:val="24"/>
        </w:rPr>
        <w:t xml:space="preserve">Card 6 — Crying as communication</w:t>
      </w:r>
      <w:bookmarkEnd w:id="31"/>
    </w:p>
    <w:p>
      <w:pPr>
        <w:spacing w:line="360" w:before="315" w:after="105" w:lineRule="auto"/>
        <w:ind w:left="-30"/>
        <w:jc w:val="left"/>
      </w:pPr>
      <w:bookmarkStart w:id="32" w:name="what_we_know_6"/>
      <w:r>
        <w:rPr>
          <w:rFonts w:eastAsia="source serif 4" w:cs="source serif 4" w:ascii="source serif 4" w:hAnsi="source serif 4"/>
          <w:b/>
          <w:color w:val="000000"/>
          <w:sz w:val="24"/>
        </w:rPr>
        <w:t xml:space="preserve">What We Know</w:t>
      </w:r>
      <w:bookmarkEnd w:id="32"/>
    </w:p>
    <w:p>
      <w:pPr>
        <w:spacing w:line="360" w:after="210" w:lineRule="auto"/>
      </w:pPr>
      <w:r>
        <w:rPr>
          <w:rFonts w:eastAsia="source serif 4" w:cs="source serif 4" w:ascii="source serif 4" w:hAnsi="source serif 4"/>
          <w:color w:val="000000"/>
        </w:rPr>
        <w:t xml:space="preserve">Crying is an adaptive distress signal that can recruit caregiver behavior, but it is not a one-to-one code for hunger, pain, fatigue, or parental error. A review of the field describes crying as a signal that usually elicits care while also emphasizing maladaptive responses and important research gaps, including fathers’ responses and relationship quality.[^12]</w:t>
      </w:r>
    </w:p>
    <w:p>
      <w:pPr>
        <w:spacing w:line="360" w:before="315" w:after="105" w:lineRule="auto"/>
        <w:ind w:left="-30"/>
        <w:jc w:val="left"/>
      </w:pPr>
      <w:bookmarkStart w:id="33" w:name="how_confident_we_are_6"/>
      <w:r>
        <w:rPr>
          <w:rFonts w:eastAsia="source serif 4" w:cs="source serif 4" w:ascii="source serif 4" w:hAnsi="source serif 4"/>
          <w:b/>
          <w:color w:val="000000"/>
          <w:sz w:val="24"/>
        </w:rPr>
        <w:t xml:space="preserve">How Confident We Are</w:t>
      </w:r>
      <w:bookmarkEnd w:id="3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crying’s signaling and recruiting function;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decoding specific meanings from acoustic features in ordinary home settings.</w:t>
      </w:r>
    </w:p>
    <w:p>
      <w:pPr>
        <w:spacing w:line="360" w:before="315" w:after="105" w:lineRule="auto"/>
        <w:ind w:left="-30"/>
        <w:jc w:val="left"/>
      </w:pPr>
      <w:bookmarkStart w:id="34" w:name="bias_and_heterogeneity"/>
      <w:r>
        <w:rPr>
          <w:rFonts w:eastAsia="source serif 4" w:cs="source serif 4" w:ascii="source serif 4" w:hAnsi="source serif 4"/>
          <w:b/>
          <w:color w:val="000000"/>
          <w:sz w:val="24"/>
        </w:rPr>
        <w:t xml:space="preserve">Bias and heterogeneity</w:t>
      </w:r>
      <w:bookmarkEnd w:id="34"/>
    </w:p>
    <w:p>
      <w:pPr>
        <w:spacing w:line="360" w:after="210" w:lineRule="auto"/>
      </w:pPr>
      <w:r>
        <w:rPr>
          <w:rFonts w:eastAsia="source serif 4" w:cs="source serif 4" w:ascii="source serif 4" w:hAnsi="source serif 4"/>
          <w:color w:val="000000"/>
        </w:rPr>
        <w:t xml:space="preserve">Crying varies with age, prematurity, illness, feeding, sleep, sensory load, temperament, caregiver context, and measurement method. Studies that treat crying duration as a simple child or parenting trait risk reverse causation and parent-blaming.</w:t>
      </w:r>
    </w:p>
    <w:p>
      <w:pPr>
        <w:spacing w:line="360" w:before="315" w:after="105" w:lineRule="auto"/>
        <w:ind w:left="-30"/>
        <w:jc w:val="left"/>
      </w:pPr>
      <w:bookmarkStart w:id="35" w:name="what_action_is_reasonably_justified_2"/>
      <w:r>
        <w:rPr>
          <w:rFonts w:eastAsia="source serif 4" w:cs="source serif 4" w:ascii="source serif 4" w:hAnsi="source serif 4"/>
          <w:b/>
          <w:color w:val="000000"/>
          <w:sz w:val="24"/>
        </w:rPr>
        <w:t xml:space="preserve">What Action Is Reasonably Justified</w:t>
      </w:r>
      <w:bookmarkEnd w:id="35"/>
    </w:p>
    <w:p>
      <w:pPr>
        <w:spacing w:line="360" w:after="210" w:lineRule="auto"/>
      </w:pPr>
      <w:r>
        <w:rPr>
          <w:rFonts w:eastAsia="source serif 4" w:cs="source serif 4" w:ascii="source serif 4" w:hAnsi="source serif 4"/>
          <w:color w:val="000000"/>
        </w:rPr>
        <w:t xml:space="preserve">Provide caregivers with support, realistic expectations, safe soothing strategies, and clear advice about danger signs. The goal is not to eliminate crying but to protect the infant and caregiver when distress is prolonged or overwhelming.</w:t>
      </w:r>
    </w:p>
    <w:p>
      <w:pPr>
        <w:spacing w:line="360" w:before="315" w:after="105" w:lineRule="auto"/>
        <w:ind w:left="-30"/>
        <w:jc w:val="left"/>
      </w:pPr>
      <w:bookmarkStart w:id="36" w:name="card_7_the_feeding_transition"/>
      <w:r>
        <w:rPr>
          <w:rFonts w:eastAsia="source serif 4" w:cs="source serif 4" w:ascii="source serif 4" w:hAnsi="source serif 4"/>
          <w:b/>
          <w:color w:val="000000"/>
          <w:sz w:val="24"/>
        </w:rPr>
        <w:t xml:space="preserve">Card 7 — The feeding transition</w:t>
      </w:r>
      <w:bookmarkEnd w:id="36"/>
    </w:p>
    <w:p>
      <w:pPr>
        <w:spacing w:line="360" w:before="315" w:after="105" w:lineRule="auto"/>
        <w:ind w:left="-30"/>
        <w:jc w:val="left"/>
      </w:pPr>
      <w:bookmarkStart w:id="37" w:name="what_we_know_7"/>
      <w:r>
        <w:rPr>
          <w:rFonts w:eastAsia="source serif 4" w:cs="source serif 4" w:ascii="source serif 4" w:hAnsi="source serif 4"/>
          <w:b/>
          <w:color w:val="000000"/>
          <w:sz w:val="24"/>
        </w:rPr>
        <w:t xml:space="preserve">What We Know</w:t>
      </w:r>
      <w:bookmarkEnd w:id="37"/>
    </w:p>
    <w:p>
      <w:pPr>
        <w:spacing w:line="360" w:after="210" w:lineRule="auto"/>
      </w:pPr>
      <w:r>
        <w:rPr>
          <w:rFonts w:eastAsia="source serif 4" w:cs="source serif 4" w:ascii="source serif 4" w:hAnsi="source serif 4"/>
          <w:color w:val="000000"/>
        </w:rPr>
        <w:t xml:space="preserve">After birth, nutrition shifts from placental transfer to oral feeding, which requires coordinated sucking, swallowing, breathing, arousal, and gastrointestinal function. Safe feeding is a maturational achievement; the coordination is less reliable in preterm infants and can be altered by illness, congenital differences, arousal, posture, and intervention.[</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before="315" w:after="105" w:lineRule="auto"/>
        <w:ind w:left="-30"/>
        <w:jc w:val="left"/>
      </w:pPr>
      <w:bookmarkStart w:id="38" w:name="how_confident_we_are_7"/>
      <w:r>
        <w:rPr>
          <w:rFonts w:eastAsia="source serif 4" w:cs="source serif 4" w:ascii="source serif 4" w:hAnsi="source serif 4"/>
          <w:b/>
          <w:color w:val="000000"/>
          <w:sz w:val="24"/>
        </w:rPr>
        <w:t xml:space="preserve">How Confident We Are</w:t>
      </w:r>
      <w:bookmarkEnd w:id="38"/>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existence and developmental importance of suck–swallow–breathing coordination;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effects of particular feeding practices on longer-term outcomes because breastfeeding studies are difficult to randomize and heavily confounded by social and clinical conditions.[^21]</w:t>
      </w:r>
    </w:p>
    <w:p>
      <w:pPr>
        <w:spacing w:line="360" w:before="315" w:after="105" w:lineRule="auto"/>
        <w:ind w:left="-30"/>
        <w:jc w:val="left"/>
      </w:pPr>
      <w:bookmarkStart w:id="39" w:name="interpretation"/>
      <w:r>
        <w:rPr>
          <w:rFonts w:eastAsia="source serif 4" w:cs="source serif 4" w:ascii="source serif 4" w:hAnsi="source serif 4"/>
          <w:b/>
          <w:color w:val="000000"/>
          <w:sz w:val="24"/>
        </w:rPr>
        <w:t xml:space="preserve">Interpretation</w:t>
      </w:r>
      <w:bookmarkEnd w:id="39"/>
    </w:p>
    <w:p>
      <w:pPr>
        <w:spacing w:line="360" w:after="210" w:lineRule="auto"/>
      </w:pPr>
      <w:r>
        <w:rPr>
          <w:rFonts w:eastAsia="source serif 4" w:cs="source serif 4" w:ascii="source serif 4" w:hAnsi="source serif 4"/>
          <w:color w:val="000000"/>
        </w:rPr>
        <w:t xml:space="preserve">Colostrum, breast milk, formula, expressed milk, donor milk, and medically assisted feeding should be treated as distinct clinical and social situations. Feeding success is not a proxy for parental worth, and population-level breastfeeding associations should not be read as causal estimates for every family.</w:t>
      </w:r>
    </w:p>
    <w:p>
      <w:pPr>
        <w:spacing w:line="360" w:before="315" w:after="105" w:lineRule="auto"/>
        <w:ind w:left="-30"/>
        <w:jc w:val="left"/>
      </w:pPr>
      <w:bookmarkStart w:id="40" w:name="what_action_is_reasonably_justified_3"/>
      <w:r>
        <w:rPr>
          <w:rFonts w:eastAsia="source serif 4" w:cs="source serif 4" w:ascii="source serif 4" w:hAnsi="source serif 4"/>
          <w:b/>
          <w:color w:val="000000"/>
          <w:sz w:val="24"/>
        </w:rPr>
        <w:t xml:space="preserve">What Action Is Reasonably Justified</w:t>
      </w:r>
      <w:bookmarkEnd w:id="40"/>
    </w:p>
    <w:p>
      <w:pPr>
        <w:spacing w:line="360" w:after="210" w:lineRule="auto"/>
      </w:pPr>
      <w:r>
        <w:rPr>
          <w:rFonts w:eastAsia="source serif 4" w:cs="source serif 4" w:ascii="source serif 4" w:hAnsi="source serif 4"/>
          <w:color w:val="000000"/>
        </w:rPr>
        <w:t xml:space="preserve">Support informed feeding choices, skilled lactation or feeding assessment where wanted or needed, monitoring of hydration and growth, and rapid evaluation of unsafe feeding or dehydration.</w:t>
      </w:r>
    </w:p>
    <w:p>
      <w:pPr>
        <w:spacing w:line="360" w:before="315" w:after="105" w:lineRule="auto"/>
        <w:ind w:left="-30"/>
        <w:jc w:val="left"/>
      </w:pPr>
      <w:bookmarkStart w:id="41" w:name="card_8_skin_to_skin_care"/>
      <w:r>
        <w:rPr>
          <w:rFonts w:eastAsia="source serif 4" w:cs="source serif 4" w:ascii="source serif 4" w:hAnsi="source serif 4"/>
          <w:b/>
          <w:color w:val="000000"/>
          <w:sz w:val="24"/>
        </w:rPr>
        <w:t xml:space="preserve">Card 8 — Skin-to-skin care</w:t>
      </w:r>
      <w:bookmarkEnd w:id="41"/>
    </w:p>
    <w:p>
      <w:pPr>
        <w:spacing w:line="360" w:before="315" w:after="105" w:lineRule="auto"/>
        <w:ind w:left="-30"/>
        <w:jc w:val="left"/>
      </w:pPr>
      <w:bookmarkStart w:id="42" w:name="what_we_know_8"/>
      <w:r>
        <w:rPr>
          <w:rFonts w:eastAsia="source serif 4" w:cs="source serif 4" w:ascii="source serif 4" w:hAnsi="source serif 4"/>
          <w:b/>
          <w:color w:val="000000"/>
          <w:sz w:val="24"/>
        </w:rPr>
        <w:t xml:space="preserve">What We Know</w:t>
      </w:r>
      <w:bookmarkEnd w:id="42"/>
    </w:p>
    <w:p>
      <w:pPr>
        <w:spacing w:line="360" w:after="210" w:lineRule="auto"/>
      </w:pPr>
      <w:r>
        <w:rPr>
          <w:rFonts w:eastAsia="source serif 4" w:cs="source serif 4" w:ascii="source serif 4" w:hAnsi="source serif 4"/>
          <w:color w:val="000000"/>
        </w:rPr>
        <w:t xml:space="preserve">Skin-to-skin contact can support warmth, selected vital signs, early breastfeeding, and physiological stabilization, particularly when the infant is clinically stable and the practice is implemented safely. In preterm and very-low-birth-weight infants, a recent review of four randomized trials involving 1,679 infants found lower mortality with early kangaroo care, RR 0.81, 95% CI 0.67–0.98, while infection effects crossed the null and hypothermia findings were mixed.[</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15][^16]</w:t>
      </w:r>
    </w:p>
    <w:p>
      <w:pPr>
        <w:spacing w:line="360" w:before="315" w:after="105" w:lineRule="auto"/>
        <w:ind w:left="-30"/>
        <w:jc w:val="left"/>
      </w:pPr>
      <w:bookmarkStart w:id="43" w:name="how_confident_we_are_8"/>
      <w:r>
        <w:rPr>
          <w:rFonts w:eastAsia="source serif 4" w:cs="source serif 4" w:ascii="source serif 4" w:hAnsi="source serif 4"/>
          <w:b/>
          <w:color w:val="000000"/>
          <w:sz w:val="24"/>
        </w:rPr>
        <w:t xml:space="preserve">How Confident We Are</w:t>
      </w:r>
      <w:bookmarkEnd w:id="43"/>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selected short-term outcomes in appropriate populations;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mortality effects in preterm care because implementation, baseline care, clinical stability, and health-system context matter.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universal long-term neurodevelopmental claims.</w:t>
      </w:r>
    </w:p>
    <w:p>
      <w:pPr>
        <w:spacing w:line="360" w:before="315" w:after="105" w:lineRule="auto"/>
        <w:ind w:left="-30"/>
        <w:jc w:val="left"/>
      </w:pPr>
      <w:bookmarkStart w:id="44" w:name="bias_heterogeneity_and_implementation"/>
      <w:r>
        <w:rPr>
          <w:rFonts w:eastAsia="source serif 4" w:cs="source serif 4" w:ascii="source serif 4" w:hAnsi="source serif 4"/>
          <w:b/>
          <w:color w:val="000000"/>
          <w:sz w:val="24"/>
        </w:rPr>
        <w:t xml:space="preserve">Bias, heterogeneity, and implementation</w:t>
      </w:r>
      <w:bookmarkEnd w:id="44"/>
    </w:p>
    <w:p>
      <w:pPr>
        <w:spacing w:line="360" w:after="210" w:lineRule="auto"/>
      </w:pPr>
      <w:r>
        <w:rPr>
          <w:rFonts w:eastAsia="source serif 4" w:cs="source serif 4" w:ascii="source serif 4" w:hAnsi="source serif 4"/>
          <w:color w:val="000000"/>
        </w:rPr>
        <w:t xml:space="preserve">“Skin-to-skin” is not one dose or protocol. Timing, duration, caregiver, infant stability, monitoring, breastfeeding co-intervention, and NICU resources differ. Benefits cannot be assigned to parental affection alone when warmth, feeding support, infection control, staffing, and continuity of care are bundled.</w:t>
      </w:r>
    </w:p>
    <w:p>
      <w:pPr>
        <w:spacing w:line="360" w:before="315" w:after="105" w:lineRule="auto"/>
        <w:ind w:left="-30"/>
        <w:jc w:val="left"/>
      </w:pPr>
      <w:bookmarkStart w:id="45" w:name="what_action_is_reasonably_justified_4"/>
      <w:r>
        <w:rPr>
          <w:rFonts w:eastAsia="source serif 4" w:cs="source serif 4" w:ascii="source serif 4" w:hAnsi="source serif 4"/>
          <w:b/>
          <w:color w:val="000000"/>
          <w:sz w:val="24"/>
        </w:rPr>
        <w:t xml:space="preserve">What Action Is Reasonably Justified</w:t>
      </w:r>
      <w:bookmarkEnd w:id="45"/>
    </w:p>
    <w:p>
      <w:pPr>
        <w:spacing w:line="360" w:after="210" w:lineRule="auto"/>
      </w:pPr>
      <w:r>
        <w:rPr>
          <w:rFonts w:eastAsia="source serif 4" w:cs="source serif 4" w:ascii="source serif 4" w:hAnsi="source serif 4"/>
          <w:color w:val="000000"/>
        </w:rPr>
        <w:t xml:space="preserve">Make safe, supported contact available rather than mandatory or moralized. WHO essential newborn care includes immediate skin-to-skin contact, thermal care, breastfeeding support, and assessment for danger signs.[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19]</w:t>
      </w:r>
    </w:p>
    <w:p>
      <w:pPr>
        <w:spacing w:line="360" w:before="315" w:after="105" w:lineRule="auto"/>
        <w:ind w:left="-30"/>
        <w:jc w:val="left"/>
      </w:pPr>
      <w:bookmarkStart w:id="46" w:name="card_9_prematurity_and_developmen_1d4f72"/>
      <w:r>
        <w:rPr>
          <w:rFonts w:eastAsia="source serif 4" w:cs="source serif 4" w:ascii="source serif 4" w:hAnsi="source serif 4"/>
          <w:b/>
          <w:color w:val="000000"/>
          <w:sz w:val="24"/>
        </w:rPr>
        <w:t xml:space="preserve">Card 9 — Prematurity and developmental timing</w:t>
      </w:r>
      <w:bookmarkEnd w:id="46"/>
    </w:p>
    <w:p>
      <w:pPr>
        <w:spacing w:line="360" w:before="315" w:after="105" w:lineRule="auto"/>
        <w:ind w:left="-30"/>
        <w:jc w:val="left"/>
      </w:pPr>
      <w:bookmarkStart w:id="47" w:name="what_we_know_9"/>
      <w:r>
        <w:rPr>
          <w:rFonts w:eastAsia="source serif 4" w:cs="source serif 4" w:ascii="source serif 4" w:hAnsi="source serif 4"/>
          <w:b/>
          <w:color w:val="000000"/>
          <w:sz w:val="24"/>
        </w:rPr>
        <w:t xml:space="preserve">What We Know</w:t>
      </w:r>
      <w:bookmarkEnd w:id="47"/>
    </w:p>
    <w:p>
      <w:pPr>
        <w:spacing w:line="360" w:after="210" w:lineRule="auto"/>
      </w:pPr>
      <w:r>
        <w:rPr>
          <w:rFonts w:eastAsia="source serif 4" w:cs="source serif 4" w:ascii="source serif 4" w:hAnsi="source serif 4"/>
          <w:color w:val="000000"/>
        </w:rPr>
        <w:t xml:space="preserve">Prematurity exposes infants to extrauterine conditions before some physiological and neural systems are ready for them. A 2024 meta-analysis of 161 studies and 39,799 children found group-level differences in global cognition and several domains among children born preterm, with greater risks concentrated among the most immature infants and those with pulmonary morbidity; contemporary neonatal care was associated with transient early improvements that were not evident after age 2–3 years.[^17]</w:t>
      </w:r>
    </w:p>
    <w:p>
      <w:pPr>
        <w:spacing w:line="360" w:before="315" w:after="105" w:lineRule="auto"/>
        <w:ind w:left="-30"/>
        <w:jc w:val="left"/>
      </w:pPr>
      <w:bookmarkStart w:id="48" w:name="how_confident_we_are_9"/>
      <w:r>
        <w:rPr>
          <w:rFonts w:eastAsia="source serif 4" w:cs="source serif 4" w:ascii="source serif 4" w:hAnsi="source serif 4"/>
          <w:b/>
          <w:color w:val="000000"/>
          <w:sz w:val="24"/>
        </w:rPr>
        <w:t xml:space="preserve">How Confident We Are</w:t>
      </w:r>
      <w:bookmarkEnd w:id="48"/>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elevated population risk and the importance of gestational age, illness, and care environment; </w:t>
      </w:r>
      <w:r>
        <w:rPr>
          <w:rFonts w:eastAsia="source serif 4" w:cs="source serif 4" w:ascii="source serif 4" w:hAnsi="source serif 4"/>
          <w:b/>
          <w:color w:val="000000"/>
        </w:rPr>
        <w:t xml:space="preserve">low</w:t>
      </w:r>
      <w:r>
        <w:rPr>
          <w:rFonts w:eastAsia="source serif 4" w:cs="source serif 4" w:ascii="source serif 4" w:hAnsi="source serif 4"/>
          <w:color w:val="000000"/>
        </w:rPr>
        <w:t xml:space="preserve"> for individual prediction. The observational literature cannot fully separate biological immaturity from medical complications, NICU exposures, socioeconomic conditions, and selective follow-up.</w:t>
      </w:r>
    </w:p>
    <w:p>
      <w:pPr>
        <w:spacing w:line="360" w:before="315" w:after="105" w:lineRule="auto"/>
        <w:ind w:left="-30"/>
        <w:jc w:val="left"/>
      </w:pPr>
      <w:bookmarkStart w:id="49" w:name="effect_size_and_interpretation"/>
      <w:r>
        <w:rPr>
          <w:rFonts w:eastAsia="source serif 4" w:cs="source serif 4" w:ascii="source serif 4" w:hAnsi="source serif 4"/>
          <w:b/>
          <w:color w:val="000000"/>
          <w:sz w:val="24"/>
        </w:rPr>
        <w:t xml:space="preserve">Effect size and interpretation</w:t>
      </w:r>
      <w:bookmarkEnd w:id="49"/>
    </w:p>
    <w:p>
      <w:pPr>
        <w:spacing w:line="360" w:after="210" w:lineRule="auto"/>
      </w:pPr>
      <w:r>
        <w:rPr>
          <w:rFonts w:eastAsia="source serif 4" w:cs="source serif 4" w:ascii="source serif 4" w:hAnsi="source serif 4"/>
          <w:color w:val="000000"/>
        </w:rPr>
        <w:t xml:space="preserve">The reported global cognitive difference was standardized mean difference -0.57, but an average group difference is not a destiny estimate for a particular child. Corrected age is important in early assessment; NICE recommends using corrected age for the first two years when assessing functional and developmental skills in children born preterm.[^18]</w:t>
      </w:r>
    </w:p>
    <w:p>
      <w:pPr>
        <w:spacing w:line="360" w:before="315" w:after="105" w:lineRule="auto"/>
        <w:ind w:left="-30"/>
        <w:jc w:val="left"/>
      </w:pPr>
      <w:bookmarkStart w:id="50" w:name="what_action_is_reasonably_justified_5"/>
      <w:r>
        <w:rPr>
          <w:rFonts w:eastAsia="source serif 4" w:cs="source serif 4" w:ascii="source serif 4" w:hAnsi="source serif 4"/>
          <w:b/>
          <w:color w:val="000000"/>
          <w:sz w:val="24"/>
        </w:rPr>
        <w:t xml:space="preserve">What Action Is Reasonably Justified</w:t>
      </w:r>
      <w:bookmarkEnd w:id="50"/>
    </w:p>
    <w:p>
      <w:pPr>
        <w:spacing w:line="360" w:after="210" w:lineRule="auto"/>
      </w:pPr>
      <w:r>
        <w:rPr>
          <w:rFonts w:eastAsia="source serif 4" w:cs="source serif 4" w:ascii="source serif 4" w:hAnsi="source serif 4"/>
          <w:color w:val="000000"/>
        </w:rPr>
        <w:t xml:space="preserve">Provide risk-sensitive follow-up, developmental surveillance, family support, and high-quality neonatal care without reducing the child to gestational age. Do not use prematurity as a deterministic label.</w:t>
      </w:r>
    </w:p>
    <w:p>
      <w:pPr>
        <w:spacing w:line="360" w:before="315" w:after="105" w:lineRule="auto"/>
        <w:ind w:left="-30"/>
        <w:jc w:val="left"/>
      </w:pPr>
      <w:bookmarkStart w:id="51" w:name="card_10_co_regulation_and_caregiv_fb1b9b"/>
      <w:r>
        <w:rPr>
          <w:rFonts w:eastAsia="source serif 4" w:cs="source serif 4" w:ascii="source serif 4" w:hAnsi="source serif 4"/>
          <w:b/>
          <w:color w:val="000000"/>
          <w:sz w:val="24"/>
        </w:rPr>
        <w:t xml:space="preserve">Card 10 — Co-regulation and caregiver buffering</w:t>
      </w:r>
      <w:bookmarkEnd w:id="51"/>
    </w:p>
    <w:p>
      <w:pPr>
        <w:spacing w:line="360" w:before="315" w:after="105" w:lineRule="auto"/>
        <w:ind w:left="-30"/>
        <w:jc w:val="left"/>
      </w:pPr>
      <w:bookmarkStart w:id="52" w:name="what_we_know_10"/>
      <w:r>
        <w:rPr>
          <w:rFonts w:eastAsia="source serif 4" w:cs="source serif 4" w:ascii="source serif 4" w:hAnsi="source serif 4"/>
          <w:b/>
          <w:color w:val="000000"/>
          <w:sz w:val="24"/>
        </w:rPr>
        <w:t xml:space="preserve">What We Know</w:t>
      </w:r>
      <w:bookmarkEnd w:id="52"/>
    </w:p>
    <w:p>
      <w:pPr>
        <w:spacing w:line="360" w:after="210" w:lineRule="auto"/>
      </w:pPr>
      <w:r>
        <w:rPr>
          <w:rFonts w:eastAsia="source serif 4" w:cs="source serif 4" w:ascii="source serif 4" w:hAnsi="source serif 4"/>
          <w:color w:val="000000"/>
        </w:rPr>
        <w:t xml:space="preserve">Newborn regulation is distributed across infant physiology, caregiving, clinical care, and the physical environment. Warmth, touch, feeding, vocal and behavioral responsiveness, and protection from excessive stress can support stabilization; this justifies describing caregiving as participating in regulation, not as literally replacing placental function.[</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16][^12]</w:t>
      </w:r>
    </w:p>
    <w:p>
      <w:pPr>
        <w:spacing w:line="360" w:before="315" w:after="105" w:lineRule="auto"/>
        <w:ind w:left="-30"/>
        <w:jc w:val="left"/>
      </w:pPr>
      <w:bookmarkStart w:id="53" w:name="how_confident_we_are_10"/>
      <w:r>
        <w:rPr>
          <w:rFonts w:eastAsia="source serif 4" w:cs="source serif 4" w:ascii="source serif 4" w:hAnsi="source serif 4"/>
          <w:b/>
          <w:color w:val="000000"/>
          <w:sz w:val="24"/>
        </w:rPr>
        <w:t xml:space="preserve">How Confident We Are</w:t>
      </w:r>
      <w:bookmarkEnd w:id="5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short-term physiological effects of specific practices such as skin-to-skin care;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broad claims about caregiver–infant physiological synchrony and long-term developmental effects. The evidence is heterogeneous, and synchrony may be a consequence of infant state as well as a cause of later regulation.</w:t>
      </w:r>
    </w:p>
    <w:p>
      <w:pPr>
        <w:spacing w:line="360" w:before="315" w:after="105" w:lineRule="auto"/>
        <w:ind w:left="-30"/>
        <w:jc w:val="left"/>
      </w:pPr>
      <w:bookmarkStart w:id="54" w:name="causal_assessment"/>
      <w:r>
        <w:rPr>
          <w:rFonts w:eastAsia="source serif 4" w:cs="source serif 4" w:ascii="source serif 4" w:hAnsi="source serif 4"/>
          <w:b/>
          <w:color w:val="000000"/>
          <w:sz w:val="24"/>
        </w:rPr>
        <w:t xml:space="preserve">Causal assessment</w:t>
      </w:r>
      <w:bookmarkEnd w:id="54"/>
    </w:p>
    <w:p>
      <w:pPr>
        <w:spacing w:line="360" w:after="210" w:lineRule="auto"/>
      </w:pPr>
      <w:r>
        <w:rPr>
          <w:rFonts w:eastAsia="source serif 4" w:cs="source serif 4" w:ascii="source serif 4" w:hAnsi="source serif 4"/>
          <w:color w:val="000000"/>
        </w:rPr>
        <w:t xml:space="preserve">Use transactional diagrams rather than one-way arrows. Infant distress can evoke caregiver response; caregiver response can alter infant state; infant characteristics, parental mental health, staffing, housing, income, and cultural practices can alter both. The chapter should distinguish caregiver behavior from the material and institutional conditions that make responsive care possible.</w:t>
      </w:r>
    </w:p>
    <w:p>
      <w:pPr>
        <w:spacing w:line="360" w:before="315" w:after="105" w:lineRule="auto"/>
        <w:ind w:left="-30"/>
        <w:jc w:val="left"/>
      </w:pPr>
      <w:bookmarkStart w:id="55" w:name="what_this_does_not_mean_6"/>
      <w:r>
        <w:rPr>
          <w:rFonts w:eastAsia="source serif 4" w:cs="source serif 4" w:ascii="source serif 4" w:hAnsi="source serif 4"/>
          <w:b/>
          <w:color w:val="000000"/>
          <w:sz w:val="24"/>
        </w:rPr>
        <w:t xml:space="preserve">What This Does Not Mean</w:t>
      </w:r>
      <w:bookmarkEnd w:id="55"/>
    </w:p>
    <w:p>
      <w:pPr>
        <w:spacing w:line="360" w:after="210" w:lineRule="auto"/>
      </w:pPr>
      <w:r>
        <w:rPr>
          <w:rFonts w:eastAsia="source serif 4" w:cs="source serif 4" w:ascii="source serif 4" w:hAnsi="source serif 4"/>
          <w:color w:val="000000"/>
        </w:rPr>
        <w:t xml:space="preserve">A caregiver cannot and need not regulate every infant state perfectly. Crying, feeding difficulty, or dysregulation should not be used as evidence of deficient parenting.</w:t>
      </w:r>
    </w:p>
    <w:p>
      <w:pPr>
        <w:spacing w:line="360" w:before="315" w:after="105" w:lineRule="auto"/>
        <w:ind w:left="-30"/>
        <w:jc w:val="left"/>
      </w:pPr>
      <w:bookmarkStart w:id="56" w:name="causal_diagrams_to_retain_and_revise"/>
      <w:r>
        <w:rPr>
          <w:rFonts w:eastAsia="source serif 4" w:cs="source serif 4" w:ascii="source serif 4" w:hAnsi="source serif 4"/>
          <w:b/>
          <w:color w:val="000000"/>
          <w:sz w:val="24"/>
        </w:rPr>
        <w:t xml:space="preserve">Causal diagrams to retain and revise</w:t>
      </w:r>
      <w:bookmarkEnd w:id="56"/>
    </w:p>
    <w:p>
      <w:pPr>
        <w:spacing w:line="360" w:before="315" w:after="105" w:lineRule="auto"/>
        <w:ind w:left="-30"/>
        <w:jc w:val="left"/>
      </w:pPr>
      <w:bookmarkStart w:id="57" w:name="map_a_physiological_transition"/>
      <w:r>
        <w:rPr>
          <w:rFonts w:eastAsia="source serif 4" w:cs="source serif 4" w:ascii="source serif 4" w:hAnsi="source serif 4"/>
          <w:b/>
          <w:color w:val="000000"/>
          <w:sz w:val="24"/>
        </w:rPr>
        <w:t xml:space="preserve">Map A — Physiological transition</w:t>
      </w:r>
      <w:bookmarkEnd w:id="57"/>
    </w:p>
    <w:p>
      <w:pPr>
        <w:spacing w:line="360" w:after="210" w:lineRule="auto"/>
      </w:pPr>
      <w:r>
        <w:rPr>
          <w:rFonts w:eastAsia="source serif 4" w:cs="source serif 4" w:ascii="source serif 4" w:hAnsi="source serif 4"/>
          <w:color w:val="000000"/>
        </w:rPr>
        <w:t xml:space="preserve">Placental separation + lung aeration → changes in vascular resistance and gas exchange → altered cardiac pathways → independent oxygenation and circulation. This should be drawn as a sequence with feedback and branching, not as a single linear chain, because delayed adaptation, respiratory disease, cord-management practices, gestational age, and resuscitation can alter the pathway.[</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5]</w:t>
      </w:r>
    </w:p>
    <w:p>
      <w:pPr>
        <w:spacing w:line="360" w:before="315" w:after="105" w:lineRule="auto"/>
        <w:ind w:left="-30"/>
        <w:jc w:val="left"/>
      </w:pPr>
      <w:bookmarkStart w:id="58" w:name="map_b_distributed_regulation"/>
      <w:r>
        <w:rPr>
          <w:rFonts w:eastAsia="source serif 4" w:cs="source serif 4" w:ascii="source serif 4" w:hAnsi="source serif 4"/>
          <w:b/>
          <w:color w:val="000000"/>
          <w:sz w:val="24"/>
        </w:rPr>
        <w:t xml:space="preserve">Map B — Distributed regulation</w:t>
      </w:r>
      <w:bookmarkEnd w:id="58"/>
    </w:p>
    <w:p>
      <w:pPr>
        <w:spacing w:line="360" w:after="210" w:lineRule="auto"/>
      </w:pPr>
      <w:r>
        <w:rPr>
          <w:rFonts w:eastAsia="source serif 4" w:cs="source serif 4" w:ascii="source serif 4" w:hAnsi="source serif 4"/>
          <w:color w:val="000000"/>
        </w:rPr>
        <w:t xml:space="preserve">Infant state ↔ caregiver contact, feeding, voice, and soothing ↔ thermal, autonomic, and behavioral regulation. Add clinical care, housing, social support, and caregiver mental health as upstream conditions. The arrows should be bidirectional to represent child-to-caregiver and caregiver-to-child effects.</w:t>
      </w:r>
    </w:p>
    <w:p>
      <w:pPr>
        <w:spacing w:line="360" w:before="315" w:after="105" w:lineRule="auto"/>
        <w:ind w:left="-30"/>
        <w:jc w:val="left"/>
      </w:pPr>
      <w:bookmarkStart w:id="59" w:name="map_c_feeding"/>
      <w:r>
        <w:rPr>
          <w:rFonts w:eastAsia="source serif 4" w:cs="source serif 4" w:ascii="source serif 4" w:hAnsi="source serif 4"/>
          <w:b/>
          <w:color w:val="000000"/>
          <w:sz w:val="24"/>
        </w:rPr>
        <w:t xml:space="preserve">Map C — Feeding</w:t>
      </w:r>
      <w:bookmarkEnd w:id="59"/>
    </w:p>
    <w:p>
      <w:pPr>
        <w:spacing w:line="360" w:after="210" w:lineRule="auto"/>
      </w:pPr>
      <w:r>
        <w:rPr>
          <w:rFonts w:eastAsia="source serif 4" w:cs="source serif 4" w:ascii="source serif 4" w:hAnsi="source serif 4"/>
          <w:color w:val="000000"/>
        </w:rPr>
        <w:t xml:space="preserve">Oral feeding opportunity + maturational readiness + caregiver/clinical support → coordinated intake and cardiorespiratory stability → growth and recovery. Separate breastfeeding initiation from breastfeeding duration, and separate feeding method from the quality and availability of support.[</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21]</w:t>
      </w:r>
    </w:p>
    <w:p>
      <w:pPr>
        <w:spacing w:line="360" w:before="315" w:after="105" w:lineRule="auto"/>
        <w:ind w:left="-30"/>
        <w:jc w:val="left"/>
      </w:pPr>
      <w:bookmarkStart w:id="60" w:name="map_d_prematurity"/>
      <w:r>
        <w:rPr>
          <w:rFonts w:eastAsia="source serif 4" w:cs="source serif 4" w:ascii="source serif 4" w:hAnsi="source serif 4"/>
          <w:b/>
          <w:color w:val="000000"/>
          <w:sz w:val="24"/>
        </w:rPr>
        <w:t xml:space="preserve">Map D — Prematurity</w:t>
      </w:r>
      <w:bookmarkEnd w:id="60"/>
    </w:p>
    <w:p>
      <w:pPr>
        <w:spacing w:line="360" w:after="210" w:lineRule="auto"/>
      </w:pPr>
      <w:r>
        <w:rPr>
          <w:rFonts w:eastAsia="source serif 4" w:cs="source serif 4" w:ascii="source serif 4" w:hAnsi="source serif 4"/>
          <w:color w:val="000000"/>
        </w:rPr>
        <w:t xml:space="preserve">Earlier birth → greater probability of immature systems and medical complications → neonatal care and environmental exposures → variable developmental trajectories. Use probability and branching, not a deterministic arrow; include corrected age and follow-up attrition.[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before="315" w:after="105" w:lineRule="auto"/>
        <w:ind w:left="-30"/>
        <w:jc w:val="left"/>
      </w:pPr>
      <w:bookmarkStart w:id="61" w:name="claim_register_recommended_wording"/>
      <w:r>
        <w:rPr>
          <w:rFonts w:eastAsia="source serif 4" w:cs="source serif 4" w:ascii="source serif 4" w:hAnsi="source serif 4"/>
          <w:b/>
          <w:color w:val="000000"/>
          <w:sz w:val="24"/>
        </w:rPr>
        <w:t xml:space="preserve">Claim register: recommended wording</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claim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Birth is a transition in developmental environment, not the beginning of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continuity and transition; interpretive wording should remain bounded.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Newborn adaptation requires rapid respiratory, circulatory, metabolic, thermal, and feeding reorganization.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Newborns possess measurable sensory, regulatory, and basic learning capacities.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Newborn behavior can communicate state and recruit care, but its specific meaning is context-dependent.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Caregiving can participate in infant regulation through specific physiological and behavioral pathways.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for selected pathways; avoid literal placenta-replacement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 skin-to-skin care improves selected short-term outcomes, with strongest evidence in stable preterm or low-birth-weight care.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to 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Prematurity demonstrates the importance of developmental timing and is associated with elevated group-level developmental 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adaptation affects immediate risk but does not determine developmental destiny.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as an interpretive and causal boundary; individual prediction remains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Neonatal variation is substantial and expected across gestational age, health, sensory state, family, and care context.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caregiving operates partly through co-regulation, but effects are transactional and institutionally conditioned.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for near-term regulation; low to moderate for long-term claims.</w:t>
            </w:r>
          </w:p>
        </w:tc>
      </w:tr>
    </w:tbl>
    <w:p>
      <w:pPr>
        <w:spacing w:lineRule="auto"/>
      </w:pPr>
    </w:p>
    <w:p>
      <w:pPr>
        <w:spacing w:line="360" w:before="315" w:after="105" w:lineRule="auto"/>
        <w:ind w:left="-30"/>
        <w:jc w:val="left"/>
      </w:pPr>
      <w:bookmarkStart w:id="62" w:name="bias_audit"/>
      <w:r>
        <w:rPr>
          <w:rFonts w:eastAsia="source serif 4" w:cs="source serif 4" w:ascii="source serif 4" w:hAnsi="source serif 4"/>
          <w:b/>
          <w:color w:val="000000"/>
          <w:sz w:val="24"/>
        </w:rPr>
        <w:t xml:space="preserve">Bias audit</w:t>
      </w:r>
      <w:bookmarkEnd w:id="62"/>
    </w:p>
    <w:p>
      <w:pPr>
        <w:spacing w:line="360" w:after="210" w:lineRule="auto"/>
      </w:pPr>
      <w:r>
        <w:rPr>
          <w:rFonts w:eastAsia="source serif 4" w:cs="source serif 4" w:ascii="source serif 4" w:hAnsi="source serif 4"/>
          <w:color w:val="000000"/>
        </w:rPr>
        <w:t xml:space="preserve">The chapter should make the following risks explicit:</w:t>
      </w:r>
    </w:p>
    <w:p>
      <w:pPr>
        <w:numPr>
          <w:ilvl w:val="0"/>
          <w:numId w:val="2"/>
        </w:numPr>
        <w:spacing w:line="360" w:before="105" w:after="105" w:lineRule="auto"/>
      </w:pPr>
      <w:r>
        <w:rPr>
          <w:rFonts w:eastAsia="source serif 4" w:cs="source serif 4" w:ascii="source serif 4" w:hAnsi="source serif 4"/>
          <w:b/>
          <w:color w:val="000000"/>
          <w:sz w:val="21"/>
        </w:rPr>
        <w:t xml:space="preserve">Survival and referral bias:</w:t>
      </w:r>
      <w:r>
        <w:rPr>
          <w:rFonts w:eastAsia="source serif 4" w:cs="source serif 4" w:ascii="source serif 4" w:hAnsi="source serif 4"/>
          <w:color w:val="000000"/>
          <w:sz w:val="21"/>
        </w:rPr>
        <w:t xml:space="preserve"> studies of NICU survivors do not describe all preterm births, and tertiary-care cohorts may not generalize.</w:t>
      </w:r>
    </w:p>
    <w:p>
      <w:pPr>
        <w:numPr>
          <w:ilvl w:val="0"/>
          <w:numId w:val="2"/>
        </w:numPr>
        <w:spacing w:line="360" w:before="105" w:after="105" w:lineRule="auto"/>
      </w:pPr>
      <w:r>
        <w:rPr>
          <w:rFonts w:eastAsia="source serif 4" w:cs="source serif 4" w:ascii="source serif 4" w:hAnsi="source serif 4"/>
          <w:b/>
          <w:color w:val="000000"/>
          <w:sz w:val="21"/>
        </w:rPr>
        <w:t xml:space="preserve">Historical-treatment bias:</w:t>
      </w:r>
      <w:r>
        <w:rPr>
          <w:rFonts w:eastAsia="source serif 4" w:cs="source serif 4" w:ascii="source serif 4" w:hAnsi="source serif 4"/>
          <w:color w:val="000000"/>
          <w:sz w:val="21"/>
        </w:rPr>
        <w:t xml:space="preserve"> neonatal care, resuscitation, feeding support, and survival have changed across cohorts.</w:t>
      </w:r>
    </w:p>
    <w:p>
      <w:pPr>
        <w:numPr>
          <w:ilvl w:val="0"/>
          <w:numId w:val="2"/>
        </w:numPr>
        <w:spacing w:line="360" w:before="105" w:after="105" w:lineRule="auto"/>
      </w:pPr>
      <w:r>
        <w:rPr>
          <w:rFonts w:eastAsia="source serif 4" w:cs="source serif 4" w:ascii="source serif 4" w:hAnsi="source serif 4"/>
          <w:b/>
          <w:color w:val="000000"/>
          <w:sz w:val="21"/>
        </w:rPr>
        <w:t xml:space="preserve">Confounding by indication:</w:t>
      </w:r>
      <w:r>
        <w:rPr>
          <w:rFonts w:eastAsia="source serif 4" w:cs="source serif 4" w:ascii="source serif 4" w:hAnsi="source serif 4"/>
          <w:color w:val="000000"/>
          <w:sz w:val="21"/>
        </w:rPr>
        <w:t xml:space="preserve"> the sickest infants receive the most treatment, making treatment effects difficult to estimate observationally.</w:t>
      </w:r>
    </w:p>
    <w:p>
      <w:pPr>
        <w:numPr>
          <w:ilvl w:val="0"/>
          <w:numId w:val="2"/>
        </w:numPr>
        <w:spacing w:line="360" w:before="105" w:after="105" w:lineRule="auto"/>
      </w:pPr>
      <w:r>
        <w:rPr>
          <w:rFonts w:eastAsia="source serif 4" w:cs="source serif 4" w:ascii="source serif 4" w:hAnsi="source serif 4"/>
          <w:b/>
          <w:color w:val="000000"/>
          <w:sz w:val="21"/>
        </w:rPr>
        <w:t xml:space="preserve">NICU exposure confounding:</w:t>
      </w:r>
      <w:r>
        <w:rPr>
          <w:rFonts w:eastAsia="source serif 4" w:cs="source serif 4" w:ascii="source serif 4" w:hAnsi="source serif 4"/>
          <w:color w:val="000000"/>
          <w:sz w:val="21"/>
        </w:rPr>
        <w:t xml:space="preserve"> prematurity, illness, procedures, separation, parental access, noise, light, and staffing are intertwined.</w:t>
      </w:r>
    </w:p>
    <w:p>
      <w:pPr>
        <w:numPr>
          <w:ilvl w:val="0"/>
          <w:numId w:val="2"/>
        </w:numPr>
        <w:spacing w:line="360" w:before="105" w:after="105" w:lineRule="auto"/>
      </w:pPr>
      <w:r>
        <w:rPr>
          <w:rFonts w:eastAsia="source serif 4" w:cs="source serif 4" w:ascii="source serif 4" w:hAnsi="source serif 4"/>
          <w:b/>
          <w:color w:val="000000"/>
          <w:sz w:val="21"/>
        </w:rPr>
        <w:t xml:space="preserve">Measurement bias:</w:t>
      </w:r>
      <w:r>
        <w:rPr>
          <w:rFonts w:eastAsia="source serif 4" w:cs="source serif 4" w:ascii="source serif 4" w:hAnsi="source serif 4"/>
          <w:color w:val="000000"/>
          <w:sz w:val="21"/>
        </w:rPr>
        <w:t xml:space="preserve"> newborn behavior is state-dependent and easily overinterpreted; parent report of crying or feeding is not equivalent to device or physiological measurement.</w:t>
      </w:r>
    </w:p>
    <w:p>
      <w:pPr>
        <w:numPr>
          <w:ilvl w:val="0"/>
          <w:numId w:val="2"/>
        </w:numPr>
        <w:spacing w:line="360" w:before="105" w:after="105" w:lineRule="auto"/>
      </w:pPr>
      <w:r>
        <w:rPr>
          <w:rFonts w:eastAsia="source serif 4" w:cs="source serif 4" w:ascii="source serif 4" w:hAnsi="source serif 4"/>
          <w:b/>
          <w:color w:val="000000"/>
          <w:sz w:val="21"/>
        </w:rPr>
        <w:t xml:space="preserve">Attrition and selective follow-up:</w:t>
      </w:r>
      <w:r>
        <w:rPr>
          <w:rFonts w:eastAsia="source serif 4" w:cs="source serif 4" w:ascii="source serif 4" w:hAnsi="source serif 4"/>
          <w:color w:val="000000"/>
          <w:sz w:val="21"/>
        </w:rPr>
        <w:t xml:space="preserve"> families facing greater material strain may be less likely to remain in longitudinal studies.</w:t>
      </w:r>
    </w:p>
    <w:p>
      <w:pPr>
        <w:numPr>
          <w:ilvl w:val="0"/>
          <w:numId w:val="2"/>
        </w:numPr>
        <w:spacing w:line="360" w:before="105" w:after="105" w:lineRule="auto"/>
      </w:pPr>
      <w:r>
        <w:rPr>
          <w:rFonts w:eastAsia="source serif 4" w:cs="source serif 4" w:ascii="source serif 4" w:hAnsi="source serif 4"/>
          <w:b/>
          <w:color w:val="000000"/>
          <w:sz w:val="21"/>
        </w:rPr>
        <w:t xml:space="preserve">Translation bias:</w:t>
      </w:r>
      <w:r>
        <w:rPr>
          <w:rFonts w:eastAsia="source serif 4" w:cs="source serif 4" w:ascii="source serif 4" w:hAnsi="source serif 4"/>
          <w:color w:val="000000"/>
          <w:sz w:val="21"/>
        </w:rPr>
        <w:t xml:space="preserve"> a short-term physiological effect may be rhetorically inflated into a long-term cognitive or relational guarantee.</w:t>
      </w:r>
    </w:p>
    <w:p>
      <w:pPr>
        <w:numPr>
          <w:ilvl w:val="0"/>
          <w:numId w:val="2"/>
        </w:numPr>
        <w:spacing w:line="360" w:before="105" w:after="105" w:lineRule="auto"/>
      </w:pPr>
      <w:r>
        <w:rPr>
          <w:rFonts w:eastAsia="source serif 4" w:cs="source serif 4" w:ascii="source serif 4" w:hAnsi="source serif 4"/>
          <w:b/>
          <w:color w:val="000000"/>
          <w:sz w:val="21"/>
        </w:rPr>
        <w:t xml:space="preserve">Parent-blaming bias:</w:t>
      </w:r>
      <w:r>
        <w:rPr>
          <w:rFonts w:eastAsia="source serif 4" w:cs="source serif 4" w:ascii="source serif 4" w:hAnsi="source serif 4"/>
          <w:color w:val="000000"/>
          <w:sz w:val="21"/>
        </w:rPr>
        <w:t xml:space="preserve"> studies may treat caregiving as an individual exposure while undermeasuring income, leave, housing, healthcare access, discrimination, and institutional support.</w:t>
      </w:r>
    </w:p>
    <w:p>
      <w:pPr>
        <w:spacing w:line="360" w:before="315" w:after="105" w:lineRule="auto"/>
        <w:ind w:left="-30"/>
        <w:jc w:val="left"/>
      </w:pPr>
      <w:bookmarkStart w:id="63" w:name="research_protocol"/>
      <w:r>
        <w:rPr>
          <w:rFonts w:eastAsia="source serif 4" w:cs="source serif 4" w:ascii="source serif 4" w:hAnsi="source serif 4"/>
          <w:b/>
          <w:color w:val="000000"/>
          <w:sz w:val="24"/>
        </w:rPr>
        <w:t xml:space="preserve">Research protocol</w:t>
      </w:r>
      <w:bookmarkEnd w:id="63"/>
    </w:p>
    <w:p>
      <w:pPr>
        <w:spacing w:line="360" w:after="210" w:lineRule="auto"/>
      </w:pPr>
      <w:r>
        <w:rPr>
          <w:rFonts w:eastAsia="source serif 4" w:cs="source serif 4" w:ascii="source serif 4" w:hAnsi="source serif 4"/>
          <w:color w:val="000000"/>
        </w:rPr>
        <w:t xml:space="preserve">Each module should be searched in four passes:</w:t>
      </w:r>
    </w:p>
    <w:p>
      <w:pPr>
        <w:numPr>
          <w:ilvl w:val="0"/>
          <w:numId w:val="3"/>
        </w:numPr>
        <w:spacing w:line="360" w:before="105" w:after="105" w:lineRule="auto"/>
      </w:pPr>
      <w:r>
        <w:rPr>
          <w:rFonts w:eastAsia="source serif 4" w:cs="source serif 4" w:ascii="source serif 4" w:hAnsi="source serif 4"/>
          <w:b/>
          <w:color w:val="000000"/>
          <w:sz w:val="21"/>
        </w:rPr>
        <w:t xml:space="preserve">Foundational physiology:</w:t>
      </w:r>
      <w:r>
        <w:rPr>
          <w:rFonts w:eastAsia="source serif 4" w:cs="source serif 4" w:ascii="source serif 4" w:hAnsi="source serif 4"/>
          <w:color w:val="000000"/>
          <w:sz w:val="21"/>
        </w:rPr>
        <w:t xml:space="preserve"> landmark reviews, textbooks from authoritative medical bodies, and primary mechanistic studies.</w:t>
      </w:r>
    </w:p>
    <w:p>
      <w:pPr>
        <w:numPr>
          <w:ilvl w:val="0"/>
          <w:numId w:val="3"/>
        </w:numPr>
        <w:spacing w:line="360" w:before="105" w:after="105" w:lineRule="auto"/>
      </w:pPr>
      <w:r>
        <w:rPr>
          <w:rFonts w:eastAsia="source serif 4" w:cs="source serif 4" w:ascii="source serif 4" w:hAnsi="source serif 4"/>
          <w:b/>
          <w:color w:val="000000"/>
          <w:sz w:val="21"/>
        </w:rPr>
        <w:t xml:space="preserve">Causal and intervention evidence:</w:t>
      </w:r>
      <w:r>
        <w:rPr>
          <w:rFonts w:eastAsia="source serif 4" w:cs="source serif 4" w:ascii="source serif 4" w:hAnsi="source serif 4"/>
          <w:color w:val="000000"/>
          <w:sz w:val="21"/>
        </w:rPr>
        <w:t xml:space="preserve"> randomized trials, systematic reviews, natural experiments, and implementation studies.</w:t>
      </w:r>
    </w:p>
    <w:p>
      <w:pPr>
        <w:numPr>
          <w:ilvl w:val="0"/>
          <w:numId w:val="3"/>
        </w:numPr>
        <w:spacing w:line="360" w:before="105" w:after="105" w:lineRule="auto"/>
      </w:pPr>
      <w:r>
        <w:rPr>
          <w:rFonts w:eastAsia="source serif 4" w:cs="source serif 4" w:ascii="source serif 4" w:hAnsi="source serif 4"/>
          <w:b/>
          <w:color w:val="000000"/>
          <w:sz w:val="21"/>
        </w:rPr>
        <w:t xml:space="preserve">Contradiction and critique:</w:t>
      </w:r>
      <w:r>
        <w:rPr>
          <w:rFonts w:eastAsia="source serif 4" w:cs="source serif 4" w:ascii="source serif 4" w:hAnsi="source serif 4"/>
          <w:color w:val="000000"/>
          <w:sz w:val="21"/>
        </w:rPr>
        <w:t xml:space="preserve"> studies that attenuate, fail to replicate, or identify publication, measurement, or confounding problems.</w:t>
      </w:r>
    </w:p>
    <w:p>
      <w:pPr>
        <w:numPr>
          <w:ilvl w:val="0"/>
          <w:numId w:val="3"/>
        </w:numPr>
        <w:spacing w:line="360" w:before="105" w:after="105" w:lineRule="auto"/>
      </w:pPr>
      <w:r>
        <w:rPr>
          <w:rFonts w:eastAsia="source serif 4" w:cs="source serif 4" w:ascii="source serif 4" w:hAnsi="source serif 4"/>
          <w:b/>
          <w:color w:val="000000"/>
          <w:sz w:val="21"/>
        </w:rPr>
        <w:t xml:space="preserve">Boundary conditions:</w:t>
      </w:r>
      <w:r>
        <w:rPr>
          <w:rFonts w:eastAsia="source serif 4" w:cs="source serif 4" w:ascii="source serif 4" w:hAnsi="source serif 4"/>
          <w:color w:val="000000"/>
          <w:sz w:val="21"/>
        </w:rPr>
        <w:t xml:space="preserve"> gestational age, birth mode, illness, socioeconomic conditions, family structure, culture, clinical setting, and child characteristics.</w:t>
      </w:r>
    </w:p>
    <w:p>
      <w:pPr>
        <w:spacing w:line="360" w:after="210" w:lineRule="auto"/>
      </w:pPr>
      <w:r>
        <w:rPr>
          <w:rFonts w:eastAsia="source serif 4" w:cs="source serif 4" w:ascii="source serif 4" w:hAnsi="source serif 4"/>
          <w:color w:val="000000"/>
        </w:rPr>
        <w:t xml:space="preserve">For every included study, record population, gestational age, exposure definition, comparator, outcome, timing, design, effect estimate and confidence interval, attrition, missing data, and whether examiners were blinded. Do not pool randomized, observational, mechanistic, and genetically informed evidence into a single undifferentiated “evidence base.”</w:t>
      </w:r>
    </w:p>
    <w:p>
      <w:pPr>
        <w:spacing w:line="360" w:after="210" w:lineRule="auto"/>
      </w:pPr>
      <w:r>
        <w:rPr>
          <w:rFonts w:eastAsia="source serif 4" w:cs="source serif 4" w:ascii="source serif 4" w:hAnsi="source serif 4"/>
          <w:color w:val="000000"/>
        </w:rPr>
        <w:t xml:space="preserve">The chapter should prioritize primary studies and authoritative syntheses for the first breath, circulation, neonatal sensory learning, skin-to-skin care, prematurity, and newborn care. WHO guidance supports immediate newborn care involving drying, breathing assessment, skin-to-skin contact, thermal care, breastfeeding support, resuscitation when needed, infection prevention, and recognition of danger signs. The intervention section should distinguish </w:t>
      </w:r>
      <w:r>
        <w:rPr>
          <w:rFonts w:eastAsia="source serif 4" w:cs="source serif 4" w:ascii="source serif 4" w:hAnsi="source serif 4"/>
          <w:b/>
          <w:color w:val="000000"/>
        </w:rPr>
        <w:t xml:space="preserve">efficacy</w:t>
      </w:r>
      <w:r>
        <w:rPr>
          <w:rFonts w:eastAsia="source serif 4" w:cs="source serif 4" w:ascii="source serif 4" w:hAnsi="source serif 4"/>
          <w:color w:val="000000"/>
        </w:rPr>
        <w:t xml:space="preserve"> under controlled conditions, </w:t>
      </w:r>
      <w:r>
        <w:rPr>
          <w:rFonts w:eastAsia="source serif 4" w:cs="source serif 4" w:ascii="source serif 4" w:hAnsi="source serif 4"/>
          <w:b/>
          <w:color w:val="000000"/>
        </w:rPr>
        <w:t xml:space="preserve">effectiveness</w:t>
      </w:r>
      <w:r>
        <w:rPr>
          <w:rFonts w:eastAsia="source serif 4" w:cs="source serif 4" w:ascii="source serif 4" w:hAnsi="source serif 4"/>
          <w:color w:val="000000"/>
        </w:rPr>
        <w:t xml:space="preserve"> in ordinary services, </w:t>
      </w:r>
      <w:r>
        <w:rPr>
          <w:rFonts w:eastAsia="source serif 4" w:cs="source serif 4" w:ascii="source serif 4" w:hAnsi="source serif 4"/>
          <w:b/>
          <w:color w:val="000000"/>
        </w:rPr>
        <w:t xml:space="preserve">scalability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institutional dependence</w:t>
      </w:r>
      <w:r>
        <w:rPr>
          <w:rFonts w:eastAsia="source serif 4" w:cs="source serif 4" w:ascii="source serif 4" w:hAnsi="source serif 4"/>
          <w:color w:val="000000"/>
        </w:rPr>
        <w:t xml:space="preserve">.[^19]</w:t>
      </w:r>
    </w:p>
    <w:p>
      <w:pPr>
        <w:spacing w:line="360" w:before="315" w:after="105" w:lineRule="auto"/>
        <w:ind w:left="-30"/>
        <w:jc w:val="left"/>
      </w:pPr>
      <w:bookmarkStart w:id="64" w:name="prohibited_inferences"/>
      <w:r>
        <w:rPr>
          <w:rFonts w:eastAsia="source serif 4" w:cs="source serif 4" w:ascii="source serif 4" w:hAnsi="source serif 4"/>
          <w:b/>
          <w:color w:val="000000"/>
          <w:sz w:val="24"/>
        </w:rPr>
        <w:t xml:space="preserve">Prohibited inferences</w:t>
      </w:r>
      <w:bookmarkEnd w:id="64"/>
    </w:p>
    <w:p>
      <w:pPr>
        <w:spacing w:line="360" w:after="210" w:lineRule="auto"/>
      </w:pPr>
      <w:r>
        <w:rPr>
          <w:rFonts w:eastAsia="source serif 4" w:cs="source serif 4" w:ascii="source serif 4" w:hAnsi="source serif 4"/>
          <w:color w:val="000000"/>
        </w:rPr>
        <w:t xml:space="preserve">The final draft should explicitly reject the following conclusions:</w:t>
      </w:r>
    </w:p>
    <w:p>
      <w:pPr>
        <w:numPr>
          <w:ilvl w:val="0"/>
          <w:numId w:val="4"/>
        </w:numPr>
        <w:spacing w:line="360" w:before="105" w:after="105" w:lineRule="auto"/>
      </w:pPr>
      <w:r>
        <w:rPr>
          <w:rFonts w:eastAsia="source serif 4" w:cs="source serif 4" w:ascii="source serif 4" w:hAnsi="source serif 4"/>
          <w:color w:val="000000"/>
          <w:sz w:val="21"/>
        </w:rPr>
        <w:t xml:space="preserve">A difficult birth, cesarean birth, induction, or assisted delivery determines later personality or intelligence.</w:t>
      </w:r>
    </w:p>
    <w:p>
      <w:pPr>
        <w:numPr>
          <w:ilvl w:val="0"/>
          <w:numId w:val="4"/>
        </w:numPr>
        <w:spacing w:line="360" w:before="105" w:after="105" w:lineRule="auto"/>
      </w:pPr>
      <w:r>
        <w:rPr>
          <w:rFonts w:eastAsia="source serif 4" w:cs="source serif 4" w:ascii="source serif 4" w:hAnsi="source serif 4"/>
          <w:color w:val="000000"/>
          <w:sz w:val="21"/>
        </w:rPr>
        <w:t xml:space="preserve">A neonatal biomarker predicts an individual’s destiny.</w:t>
      </w:r>
    </w:p>
    <w:p>
      <w:pPr>
        <w:numPr>
          <w:ilvl w:val="0"/>
          <w:numId w:val="4"/>
        </w:numPr>
        <w:spacing w:line="360" w:before="105" w:after="105" w:lineRule="auto"/>
      </w:pPr>
      <w:r>
        <w:rPr>
          <w:rFonts w:eastAsia="source serif 4" w:cs="source serif 4" w:ascii="source serif 4" w:hAnsi="source serif 4"/>
          <w:color w:val="000000"/>
          <w:sz w:val="21"/>
        </w:rPr>
        <w:t xml:space="preserve">Crying demonstrates poor parenting or a single underlying need.</w:t>
      </w:r>
    </w:p>
    <w:p>
      <w:pPr>
        <w:numPr>
          <w:ilvl w:val="0"/>
          <w:numId w:val="4"/>
        </w:numPr>
        <w:spacing w:line="360" w:before="105" w:after="105" w:lineRule="auto"/>
      </w:pPr>
      <w:r>
        <w:rPr>
          <w:rFonts w:eastAsia="source serif 4" w:cs="source serif 4" w:ascii="source serif 4" w:hAnsi="source serif 4"/>
          <w:color w:val="000000"/>
          <w:sz w:val="21"/>
        </w:rPr>
        <w:t xml:space="preserve">Prematurity is a developmental sentence.</w:t>
      </w:r>
    </w:p>
    <w:p>
      <w:pPr>
        <w:numPr>
          <w:ilvl w:val="0"/>
          <w:numId w:val="4"/>
        </w:numPr>
        <w:spacing w:line="360" w:before="105" w:after="105" w:lineRule="auto"/>
      </w:pPr>
      <w:r>
        <w:rPr>
          <w:rFonts w:eastAsia="source serif 4" w:cs="source serif 4" w:ascii="source serif 4" w:hAnsi="source serif 4"/>
          <w:color w:val="000000"/>
          <w:sz w:val="21"/>
        </w:rPr>
        <w:t xml:space="preserve">Breastfeeding outcomes measure parental worth.</w:t>
      </w:r>
    </w:p>
    <w:p>
      <w:pPr>
        <w:numPr>
          <w:ilvl w:val="0"/>
          <w:numId w:val="4"/>
        </w:numPr>
        <w:spacing w:line="360" w:before="105" w:after="105" w:lineRule="auto"/>
      </w:pPr>
      <w:r>
        <w:rPr>
          <w:rFonts w:eastAsia="source serif 4" w:cs="source serif 4" w:ascii="source serif 4" w:hAnsi="source serif 4"/>
          <w:color w:val="000000"/>
          <w:sz w:val="21"/>
        </w:rPr>
        <w:t xml:space="preserve">Skin-to-skin contact guarantees bonding, breastfeeding, or long-term cognitive advantage.</w:t>
      </w:r>
    </w:p>
    <w:p>
      <w:pPr>
        <w:numPr>
          <w:ilvl w:val="0"/>
          <w:numId w:val="4"/>
        </w:numPr>
        <w:spacing w:line="360" w:before="105" w:after="105" w:lineRule="auto"/>
      </w:pPr>
      <w:r>
        <w:rPr>
          <w:rFonts w:eastAsia="source serif 4" w:cs="source serif 4" w:ascii="source serif 4" w:hAnsi="source serif 4"/>
          <w:color w:val="000000"/>
          <w:sz w:val="21"/>
        </w:rPr>
        <w:t xml:space="preserve">Early sensory preference proves mature recognition, attachment, or conscious preference.</w:t>
      </w:r>
    </w:p>
    <w:p>
      <w:pPr>
        <w:numPr>
          <w:ilvl w:val="0"/>
          <w:numId w:val="4"/>
        </w:numPr>
        <w:spacing w:line="360" w:before="105" w:after="105" w:lineRule="auto"/>
      </w:pPr>
      <w:r>
        <w:rPr>
          <w:rFonts w:eastAsia="source serif 4" w:cs="source serif 4" w:ascii="source serif 4" w:hAnsi="source serif 4"/>
          <w:color w:val="000000"/>
          <w:sz w:val="21"/>
        </w:rPr>
        <w:t xml:space="preserve">Population-level risk differences are individual forecasts.</w:t>
      </w:r>
    </w:p>
    <w:p>
      <w:pPr>
        <w:numPr>
          <w:ilvl w:val="0"/>
          <w:numId w:val="4"/>
        </w:numPr>
        <w:spacing w:line="360" w:before="105" w:after="105" w:lineRule="auto"/>
      </w:pPr>
      <w:r>
        <w:rPr>
          <w:rFonts w:eastAsia="source serif 4" w:cs="source serif 4" w:ascii="source serif 4" w:hAnsi="source serif 4"/>
          <w:color w:val="000000"/>
          <w:sz w:val="21"/>
        </w:rPr>
        <w:t xml:space="preserve">A caregiver can fully control neonatal regulation through technique alone.</w:t>
      </w:r>
    </w:p>
    <w:p>
      <w:pPr>
        <w:spacing w:line="360" w:before="315" w:after="105" w:lineRule="auto"/>
        <w:ind w:left="-30"/>
        <w:jc w:val="left"/>
      </w:pPr>
      <w:bookmarkStart w:id="65" w:name="drafting_endpoint"/>
      <w:r>
        <w:rPr>
          <w:rFonts w:eastAsia="source serif 4" w:cs="source serif 4" w:ascii="source serif 4" w:hAnsi="source serif 4"/>
          <w:b/>
          <w:color w:val="000000"/>
          <w:sz w:val="24"/>
        </w:rPr>
        <w:t xml:space="preserve">Drafting endpoint</w:t>
      </w:r>
      <w:bookmarkEnd w:id="65"/>
    </w:p>
    <w:p>
      <w:pPr>
        <w:spacing w:line="360" w:after="210" w:lineRule="auto"/>
      </w:pPr>
      <w:r>
        <w:rPr>
          <w:rFonts w:eastAsia="source serif 4" w:cs="source serif 4" w:ascii="source serif 4" w:hAnsi="source serif 4"/>
          <w:color w:val="000000"/>
        </w:rPr>
        <w:t xml:space="preserve">The chapter can close with a bounded proposition: birth is among the most consequential physiological transitions in human development because placental gas exchange, circulation, thermal buffering, nutrient transfer, and waste exchange must be reorganized rapidly. Yet the transition does not create a new developmental subject; it changes the conditions under which an already developing organism continues. The newborn arrives with developmental history, capacities, and vulnerabilities, and then enters a regulatory system distributed across infant physiology, caregivers, clinical services, and the material environment. The strongest evidence supports this as a physiological and relational framework, not as a deterministic narrative about birth experience or parental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references"/>
      <w:r>
        <w:rPr>
          <w:rFonts w:eastAsia="source serif 4" w:cs="source serif 4" w:ascii="source serif 4" w:hAnsi="source serif 4"/>
          <w:b/>
          <w:color w:val="000000"/>
          <w:sz w:val="24"/>
        </w:rPr>
        <w:t xml:space="preserve">References</w:t>
      </w:r>
      <w:bookmarkEnd w:id="66"/>
    </w:p>
    <w:p>
      <w:pPr>
        <w:numPr>
          <w:ilvl w:val="0"/>
          <w:numId w:val="5"/>
        </w:numPr>
        <w:spacing w:line="360" w:after="210" w:lineRule="auto"/>
      </w:pPr>
      <w:hyperlink r:id="rId5">
        <w:r>
          <w:rPr>
            <w:rFonts w:eastAsia="source sans 3" w:cs="source sans 3" w:ascii="source sans 3" w:hAnsi="source sans 3"/>
            <w:color w:val="#000"/>
            <w:sz w:val="21"/>
            <w:u w:val="single"/>
          </w:rPr>
          <w:t xml:space="preserve">Fetal Physiology and the Transition to Extrauterine Life - PMC</w:t>
        </w:r>
      </w:hyperlink>
      <w:r>
        <w:rPr>
          <w:rFonts w:eastAsia="source serif 4" w:cs="source serif 4" w:ascii="source serif 4" w:hAnsi="source serif 4"/>
          <w:color w:val="000000"/>
          <w:sz w:val="21"/>
        </w:rPr>
        <w:t xml:space="preserve"> - The physiology of the fetus is fundamentally different from the neonate with both structural and fun...</w:t>
      </w:r>
    </w:p>
    <w:p>
      <w:pPr>
        <w:numPr>
          <w:ilvl w:val="0"/>
          <w:numId w:val="5"/>
        </w:numPr>
        <w:spacing w:line="360" w:after="210" w:lineRule="auto"/>
      </w:pPr>
      <w:hyperlink r:id="rId6">
        <w:r>
          <w:rPr>
            <w:rFonts w:eastAsia="source sans 3" w:cs="source sans 3" w:ascii="source sans 3" w:hAnsi="source sans 3"/>
            <w:color w:val="#000"/>
            <w:sz w:val="21"/>
            <w:u w:val="single"/>
          </w:rPr>
          <w:t xml:space="preserve">The Transitional Heart: From Early Embryonic and Fetal ... - PMC - NIH</w:t>
        </w:r>
      </w:hyperlink>
      <w:r>
        <w:rPr>
          <w:rFonts w:eastAsia="source serif 4" w:cs="source serif 4" w:ascii="source serif 4" w:hAnsi="source serif 4"/>
          <w:color w:val="000000"/>
          <w:sz w:val="21"/>
        </w:rPr>
        <w:t xml:space="preserve"> - Formation of the human heart involves complex biological signals, interactions, specification of myo...</w:t>
      </w:r>
    </w:p>
    <w:p>
      <w:pPr>
        <w:numPr>
          <w:ilvl w:val="0"/>
          <w:numId w:val="5"/>
        </w:numPr>
        <w:spacing w:line="360" w:after="210" w:lineRule="auto"/>
      </w:pPr>
      <w:hyperlink r:id="rId7">
        <w:r>
          <w:rPr>
            <w:rFonts w:eastAsia="source sans 3" w:cs="source sans 3" w:ascii="source sans 3" w:hAnsi="source sans 3"/>
            <w:color w:val="#000"/>
            <w:sz w:val="21"/>
            <w:u w:val="single"/>
          </w:rPr>
          <w:t xml:space="preserve">Executive Summary of Hormonal Physiology of Childbearing</w:t>
        </w:r>
      </w:hyperlink>
      <w:r>
        <w:rPr>
          <w:rFonts w:eastAsia="source serif 4" w:cs="source serif 4" w:ascii="source serif 4" w:hAnsi="source serif 4"/>
          <w:color w:val="000000"/>
          <w:sz w:val="21"/>
        </w:rPr>
        <w:t xml:space="preserve"> - This report synthesizes evidence about innate hormonally mediated physiologic processes in women and...</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The transition from fetus to neonate--an endocrine ...</w:t>
        </w:r>
      </w:hyperlink>
      <w:r>
        <w:rPr>
          <w:rFonts w:eastAsia="source serif 4" w:cs="source serif 4" w:ascii="source serif 4" w:hAnsi="source serif 4"/>
          <w:color w:val="000000"/>
          <w:sz w:val="21"/>
        </w:rPr>
        <w:t xml:space="preserve"> - The transition from fetus to neonate involves three phases: late gestation, parturition and the proc...</w:t>
      </w:r>
    </w:p>
    <w:p>
      <w:pPr>
        <w:numPr>
          <w:ilvl w:val="0"/>
          <w:numId w:val="5"/>
        </w:numPr>
        <w:spacing w:line="360" w:after="210" w:lineRule="auto"/>
      </w:pPr>
      <w:hyperlink r:id="rId9">
        <w:r>
          <w:rPr>
            <w:rFonts w:eastAsia="source sans 3" w:cs="source sans 3" w:ascii="source sans 3" w:hAnsi="source sans 3"/>
            <w:color w:val="#000"/>
            <w:sz w:val="21"/>
            <w:u w:val="single"/>
          </w:rPr>
          <w:t xml:space="preserve">Cardiopulmonary changes with aeration of the newborn lung - PMC</w:t>
        </w:r>
      </w:hyperlink>
      <w:r>
        <w:rPr>
          <w:rFonts w:eastAsia="source serif 4" w:cs="source serif 4" w:ascii="source serif 4" w:hAnsi="source serif 4"/>
          <w:color w:val="000000"/>
          <w:sz w:val="21"/>
        </w:rPr>
        <w:t xml:space="preserve"> - The newborns transition from fetal to neonatal life includes aeration of the lungs, establishment of...</w:t>
      </w:r>
    </w:p>
    <w:p>
      <w:pPr>
        <w:numPr>
          <w:ilvl w:val="0"/>
          <w:numId w:val="5"/>
        </w:numPr>
        <w:spacing w:line="360" w:after="210" w:lineRule="auto"/>
      </w:pPr>
      <w:hyperlink r:id="rId10">
        <w:r>
          <w:rPr>
            <w:rFonts w:eastAsia="source sans 3" w:cs="source sans 3" w:ascii="source sans 3" w:hAnsi="source sans 3"/>
            <w:color w:val="#000"/>
            <w:sz w:val="21"/>
            <w:u w:val="single"/>
          </w:rPr>
          <w:t xml:space="preserve">Cardiovascular transition at birth: a physiological sequence</w:t>
        </w:r>
      </w:hyperlink>
    </w:p>
    <w:p>
      <w:pPr>
        <w:numPr>
          <w:ilvl w:val="0"/>
          <w:numId w:val="5"/>
        </w:numPr>
        <w:spacing w:line="360" w:after="210" w:lineRule="auto"/>
      </w:pPr>
      <w:hyperlink r:id="rId11">
        <w:r>
          <w:rPr>
            <w:rFonts w:eastAsia="source sans 3" w:cs="source sans 3" w:ascii="source sans 3" w:hAnsi="source sans 3"/>
            <w:color w:val="#000"/>
            <w:sz w:val="21"/>
            <w:u w:val="single"/>
          </w:rPr>
          <w:t xml:space="preserve">Does thermoregulatory feeding occur in newborn infants? A novel ...</w:t>
        </w:r>
      </w:hyperlink>
      <w:r>
        <w:rPr>
          <w:rFonts w:eastAsia="source serif 4" w:cs="source serif 4" w:ascii="source serif 4" w:hAnsi="source serif 4"/>
          <w:color w:val="000000"/>
          <w:sz w:val="21"/>
        </w:rPr>
        <w:t xml:space="preserve"> - The physiological significance of the extensive deposits of brown adipose tissue (BAT) in newborn hu...</w:t>
      </w:r>
    </w:p>
    <w:p>
      <w:pPr>
        <w:numPr>
          <w:ilvl w:val="0"/>
          <w:numId w:val="5"/>
        </w:numPr>
        <w:spacing w:line="360" w:after="210" w:lineRule="auto"/>
      </w:pPr>
      <w:hyperlink r:id="rId12">
        <w:r>
          <w:rPr>
            <w:rFonts w:eastAsia="source sans 3" w:cs="source sans 3" w:ascii="source sans 3" w:hAnsi="source sans 3"/>
            <w:color w:val="#000"/>
            <w:sz w:val="21"/>
            <w:u w:val="single"/>
          </w:rPr>
          <w:t xml:space="preserve">Thermal management in newborn babies</w:t>
        </w:r>
      </w:hyperlink>
    </w:p>
    <w:p>
      <w:pPr>
        <w:numPr>
          <w:ilvl w:val="0"/>
          <w:numId w:val="5"/>
        </w:numPr>
        <w:spacing w:line="360" w:after="210" w:lineRule="auto"/>
      </w:pPr>
      <w:hyperlink r:id="rId13">
        <w:r>
          <w:rPr>
            <w:rFonts w:eastAsia="source sans 3" w:cs="source sans 3" w:ascii="source sans 3" w:hAnsi="source sans 3"/>
            <w:color w:val="#000"/>
            <w:sz w:val="21"/>
            <w:u w:val="single"/>
          </w:rPr>
          <w:t xml:space="preserve">A review of the characteristics, mechanisms and clinical significance of habituation in foetuses and newborn infants - PubMed</w:t>
        </w:r>
      </w:hyperlink>
      <w:r>
        <w:rPr>
          <w:rFonts w:eastAsia="source serif 4" w:cs="source serif 4" w:ascii="source serif 4" w:hAnsi="source serif 4"/>
          <w:color w:val="000000"/>
          <w:sz w:val="21"/>
        </w:rPr>
        <w:t xml:space="preserve"> - Habituation has been a topic of interest since the early 20th century. We summarise the characterist...</w:t>
      </w:r>
    </w:p>
    <w:p>
      <w:pPr>
        <w:numPr>
          <w:ilvl w:val="0"/>
          <w:numId w:val="5"/>
        </w:numPr>
        <w:spacing w:line="360" w:after="210" w:lineRule="auto"/>
      </w:pPr>
      <w:hyperlink r:id="rId14">
        <w:r>
          <w:rPr>
            <w:rFonts w:eastAsia="source sans 3" w:cs="source sans 3" w:ascii="source sans 3" w:hAnsi="source sans 3"/>
            <w:color w:val="#000"/>
            <w:sz w:val="21"/>
            <w:u w:val="single"/>
          </w:rPr>
          <w:t xml:space="preserve">Tabula Rasa? A History of Fetal Learning and Neonatal Perception</w:t>
        </w:r>
      </w:hyperlink>
      <w:r>
        <w:rPr>
          <w:rFonts w:eastAsia="source serif 4" w:cs="source serif 4" w:ascii="source serif 4" w:hAnsi="source serif 4"/>
          <w:color w:val="000000"/>
          <w:sz w:val="21"/>
        </w:rPr>
        <w:t xml:space="preserve"> - Fetal sensory organs are developed by mid-gestation. Neonates know their mother's voice and smell, w...</w:t>
      </w:r>
    </w:p>
    <w:p>
      <w:pPr>
        <w:numPr>
          <w:ilvl w:val="0"/>
          <w:numId w:val="5"/>
        </w:numPr>
        <w:spacing w:line="360" w:after="210" w:lineRule="auto"/>
      </w:pPr>
      <w:hyperlink r:id="rId15">
        <w:r>
          <w:rPr>
            <w:rFonts w:eastAsia="source sans 3" w:cs="source sans 3" w:ascii="source sans 3" w:hAnsi="source sans 3"/>
            <w:color w:val="#000"/>
            <w:sz w:val="21"/>
            <w:u w:val="single"/>
          </w:rPr>
          <w:t xml:space="preserve">Frontiers | Face Processing in Early Development: A Systematic Review of Behavioral Studies and Considerations in Times of COVID-19 Pandemic</w:t>
        </w:r>
      </w:hyperlink>
      <w:r>
        <w:rPr>
          <w:rFonts w:eastAsia="source serif 4" w:cs="source serif 4" w:ascii="source serif 4" w:hAnsi="source serif 4"/>
          <w:color w:val="000000"/>
          <w:sz w:val="21"/>
        </w:rPr>
        <w:t xml:space="preserve"> - Human faces are one of the most prominent stimuli infants in the visual environment of young infants...</w:t>
      </w:r>
    </w:p>
    <w:p>
      <w:pPr>
        <w:numPr>
          <w:ilvl w:val="0"/>
          <w:numId w:val="5"/>
        </w:numPr>
        <w:spacing w:line="360" w:after="210" w:lineRule="auto"/>
      </w:pPr>
      <w:hyperlink r:id="rId16">
        <w:r>
          <w:rPr>
            <w:rFonts w:eastAsia="source sans 3" w:cs="source sans 3" w:ascii="source sans 3" w:hAnsi="source sans 3"/>
            <w:color w:val="#000"/>
            <w:sz w:val="21"/>
            <w:u w:val="single"/>
          </w:rPr>
          <w:t xml:space="preserve">A Scientometric Review of Infant Cry and Caregiver ...</w:t>
        </w:r>
      </w:hyperlink>
      <w:r>
        <w:rPr>
          <w:rFonts w:eastAsia="source serif 4" w:cs="source serif 4" w:ascii="source serif 4" w:hAnsi="source serif 4"/>
          <w:color w:val="000000"/>
          <w:sz w:val="21"/>
        </w:rPr>
        <w:t xml:space="preserve"> - Infant cry is an adaptive signal of distress that elicits timely and mostly appropriate caring behav...</w:t>
      </w:r>
    </w:p>
    <w:p>
      <w:pPr>
        <w:numPr>
          <w:ilvl w:val="0"/>
          <w:numId w:val="5"/>
        </w:numPr>
        <w:spacing w:line="360" w:after="210" w:lineRule="auto"/>
      </w:pPr>
      <w:hyperlink r:id="rId17">
        <w:r>
          <w:rPr>
            <w:rFonts w:eastAsia="source sans 3" w:cs="source sans 3" w:ascii="source sans 3" w:hAnsi="source sans 3"/>
            <w:color w:val="#000"/>
            <w:sz w:val="21"/>
            <w:u w:val="single"/>
          </w:rPr>
          <w:t xml:space="preserve">Central pattern generation involved in oral and respiratory control for feeding in the term infant - PubMed</w:t>
        </w:r>
      </w:hyperlink>
      <w:r>
        <w:rPr>
          <w:rFonts w:eastAsia="source serif 4" w:cs="source serif 4" w:ascii="source serif 4" w:hAnsi="source serif 4"/>
          <w:color w:val="000000"/>
          <w:sz w:val="21"/>
        </w:rPr>
        <w:t xml:space="preserve"> - The genesis of within-system CPG control for rate and amplitude scaling matures differentially for s...</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Development of suck and swallow mechanisms in infants - PMC - NIH</w:t>
        </w:r>
      </w:hyperlink>
      <w:r>
        <w:rPr>
          <w:rFonts w:eastAsia="source serif 4" w:cs="source serif 4" w:ascii="source serif 4" w:hAnsi="source serif 4"/>
          <w:color w:val="000000"/>
          <w:sz w:val="21"/>
        </w:rPr>
        <w:t xml:space="preserve"> - Preterm infants’ hospital discharge is often delayed due to their inability to feed by mouth safely ...</w:t>
      </w:r>
    </w:p>
    <w:p>
      <w:pPr>
        <w:numPr>
          <w:ilvl w:val="0"/>
          <w:numId w:val="5"/>
        </w:numPr>
        <w:spacing w:line="360" w:after="210" w:lineRule="auto"/>
      </w:pPr>
      <w:hyperlink r:id="rId19">
        <w:r>
          <w:rPr>
            <w:rFonts w:eastAsia="source sans 3" w:cs="source sans 3" w:ascii="source sans 3" w:hAnsi="source sans 3"/>
            <w:color w:val="#000"/>
            <w:sz w:val="21"/>
            <w:u w:val="single"/>
          </w:rPr>
          <w:t xml:space="preserve">Early skin-to-skin contact for mothers and their healthy ...</w:t>
        </w:r>
      </w:hyperlink>
      <w:r>
        <w:rPr>
          <w:rFonts w:eastAsia="source serif 4" w:cs="source serif 4" w:ascii="source serif 4" w:hAnsi="source serif 4"/>
          <w:color w:val="000000"/>
          <w:sz w:val="21"/>
        </w:rPr>
        <w:t xml:space="preserve"> - This document is a summary of findings and some data presented in the systematic review may therefor...</w:t>
      </w:r>
    </w:p>
    <w:p>
      <w:pPr>
        <w:numPr>
          <w:ilvl w:val="0"/>
          <w:numId w:val="5"/>
        </w:numPr>
        <w:spacing w:line="360" w:after="210" w:lineRule="auto"/>
      </w:pPr>
      <w:hyperlink r:id="rId20">
        <w:r>
          <w:rPr>
            <w:rFonts w:eastAsia="source sans 3" w:cs="source sans 3" w:ascii="source sans 3" w:hAnsi="source sans 3"/>
            <w:color w:val="#000"/>
            <w:sz w:val="21"/>
            <w:u w:val="single"/>
          </w:rPr>
          <w:t xml:space="preserve">Early Essential Newborn Care - World Health Organization (WHO)</w:t>
        </w:r>
      </w:hyperlink>
    </w:p>
    <w:p>
      <w:pPr>
        <w:numPr>
          <w:ilvl w:val="0"/>
          <w:numId w:val="5"/>
        </w:numPr>
        <w:spacing w:line="360" w:after="210" w:lineRule="auto"/>
      </w:pPr>
      <w:hyperlink r:id="rId21">
        <w:r>
          <w:rPr>
            <w:rFonts w:eastAsia="source sans 3" w:cs="source sans 3" w:ascii="source sans 3" w:hAnsi="source sans 3"/>
            <w:color w:val="#000"/>
            <w:sz w:val="21"/>
            <w:u w:val="single"/>
          </w:rPr>
          <w:t xml:space="preserve">Neonatal care and developmental outcomes following preterm birth: A systematic review and meta-analysis - PubMed</w:t>
        </w:r>
      </w:hyperlink>
      <w:r>
        <w:rPr>
          <w:rFonts w:eastAsia="source serif 4" w:cs="source serif 4" w:ascii="source serif 4" w:hAnsi="source serif 4"/>
          <w:color w:val="000000"/>
          <w:sz w:val="21"/>
        </w:rPr>
        <w:t xml:space="preserve"> - Major amendments in neonatal care have been introduced in recent decades. It is important to underst...</w:t>
      </w:r>
    </w:p>
    <w:p>
      <w:pPr>
        <w:numPr>
          <w:ilvl w:val="0"/>
          <w:numId w:val="5"/>
        </w:numPr>
        <w:spacing w:line="360" w:after="210" w:lineRule="auto"/>
      </w:pPr>
      <w:hyperlink r:id="rId22">
        <w:r>
          <w:rPr>
            <w:rFonts w:eastAsia="source sans 3" w:cs="source sans 3" w:ascii="source sans 3" w:hAnsi="source sans 3"/>
            <w:color w:val="#000"/>
            <w:sz w:val="21"/>
            <w:u w:val="single"/>
          </w:rPr>
          <w:t xml:space="preserve">Developmental follow-up of children and young people ...</w:t>
        </w:r>
      </w:hyperlink>
      <w:r>
        <w:rPr>
          <w:rFonts w:eastAsia="source serif 4" w:cs="source serif 4" w:ascii="source serif 4" w:hAnsi="source serif 4"/>
          <w:color w:val="000000"/>
          <w:sz w:val="21"/>
        </w:rPr>
        <w:t xml:space="preserve"> - This guideline covers the developmental follow-up of babies, children and young people under 18 year...</w:t>
      </w:r>
    </w:p>
    <w:p>
      <w:pPr>
        <w:numPr>
          <w:ilvl w:val="0"/>
          <w:numId w:val="5"/>
        </w:numPr>
        <w:spacing w:line="360" w:after="210" w:lineRule="auto"/>
      </w:pPr>
      <w:hyperlink r:id="rId23">
        <w:r>
          <w:rPr>
            <w:rFonts w:eastAsia="source sans 3" w:cs="source sans 3" w:ascii="source sans 3" w:hAnsi="source sans 3"/>
            <w:color w:val="#000"/>
            <w:sz w:val="21"/>
            <w:u w:val="single"/>
          </w:rPr>
          <w:t xml:space="preserve">Essential newborn care</w:t>
        </w:r>
      </w:hyperlink>
      <w:r>
        <w:rPr>
          <w:rFonts w:eastAsia="source serif 4" w:cs="source serif 4" w:ascii="source serif 4" w:hAnsi="source serif 4"/>
          <w:color w:val="000000"/>
          <w:sz w:val="21"/>
        </w:rPr>
        <w:t xml:space="preserve"> - Essential newborn care</w:t>
      </w:r>
    </w:p>
    <w:p>
      <w:pPr>
        <w:numPr>
          <w:ilvl w:val="0"/>
          <w:numId w:val="5"/>
        </w:numPr>
        <w:spacing w:line="360" w:after="210" w:lineRule="auto"/>
      </w:pPr>
      <w:hyperlink r:id="rId24">
        <w:r>
          <w:rPr>
            <w:rFonts w:eastAsia="source sans 3" w:cs="source sans 3" w:ascii="source sans 3" w:hAnsi="source sans 3"/>
            <w:color w:val="#000"/>
            <w:sz w:val="21"/>
            <w:u w:val="single"/>
          </w:rPr>
          <w:t xml:space="preserve">Visual recognition of mother by young infants: facilitation by ...</w:t>
        </w:r>
      </w:hyperlink>
      <w:r>
        <w:rPr>
          <w:rFonts w:eastAsia="source serif 4" w:cs="source serif 4" w:ascii="source serif 4" w:hAnsi="source serif 4"/>
          <w:color w:val="000000"/>
          <w:sz w:val="21"/>
        </w:rPr>
        <w:t xml:space="preserve"> - Infants recognise their mother's voice at birth but appear not to recognise visual-only presentation...</w:t>
      </w:r>
    </w:p>
    <w:p>
      <w:pPr>
        <w:numPr>
          <w:ilvl w:val="0"/>
          <w:numId w:val="5"/>
        </w:numPr>
        <w:spacing w:line="360" w:after="210" w:lineRule="auto"/>
      </w:pPr>
      <w:hyperlink r:id="rId25">
        <w:r>
          <w:rPr>
            <w:rFonts w:eastAsia="source sans 3" w:cs="source sans 3" w:ascii="source sans 3" w:hAnsi="source sans 3"/>
            <w:color w:val="#000"/>
            <w:sz w:val="21"/>
            <w:u w:val="single"/>
          </w:rPr>
          <w:t xml:space="preserve">Suck-Swallow-Breathe Dynamics in Breastfed Infants</w:t>
        </w:r>
      </w:hyperlink>
      <w:r>
        <w:rPr>
          <w:rFonts w:eastAsia="source serif 4" w:cs="source serif 4" w:ascii="source serif 4" w:hAnsi="source serif 4"/>
          <w:color w:val="000000"/>
          <w:sz w:val="21"/>
        </w:rPr>
        <w:t xml:space="preserve"> - Despite the importance of the suck-swallow-breathe reflex during breastfeeding, a large proportion o...</w:t>
      </w:r>
    </w:p>
    <w:p>
      <w:pPr>
        <w:numPr>
          <w:ilvl w:val="0"/>
          <w:numId w:val="5"/>
        </w:numPr>
        <w:spacing w:line="360" w:after="210" w:lineRule="auto"/>
      </w:pPr>
      <w:hyperlink r:id="rId26">
        <w:r>
          <w:rPr>
            <w:rFonts w:eastAsia="source sans 3" w:cs="source sans 3" w:ascii="source sans 3" w:hAnsi="source sans 3"/>
            <w:color w:val="#000"/>
            <w:sz w:val="21"/>
            <w:u w:val="single"/>
          </w:rPr>
          <w:t xml:space="preserve">Early kangaroo care in preterm ≤32 weeks and very low birth weight infants: a systematic review and meta-analysis - PubMed</w:t>
        </w:r>
      </w:hyperlink>
      <w:r>
        <w:rPr>
          <w:rFonts w:eastAsia="source serif 4" w:cs="source serif 4" w:ascii="source serif 4" w:hAnsi="source serif 4"/>
          <w:color w:val="000000"/>
          <w:sz w:val="21"/>
        </w:rPr>
        <w:t xml:space="preserve"> - Early KC may reduce mortality and morbidity in very preterm and VLBW infants although its effects 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4987541/" TargetMode="External"/><Relationship Id="rId6" Type="http://schemas.openxmlformats.org/officeDocument/2006/relationships/hyperlink" Target="https://pmc.ncbi.nlm.nih.gov/articles/PMC7265763/" TargetMode="External"/><Relationship Id="rId7" Type="http://schemas.openxmlformats.org/officeDocument/2006/relationships/hyperlink" Target="https://pmc.ncbi.nlm.nih.gov/articles/PMC4720867/" TargetMode="External"/><Relationship Id="rId8" Type="http://schemas.openxmlformats.org/officeDocument/2006/relationships/hyperlink" Target="https://pubmed.ncbi.nlm.nih.gov/10102045/" TargetMode="External"/><Relationship Id="rId9" Type="http://schemas.openxmlformats.org/officeDocument/2006/relationships/hyperlink" Target="https://pmc.ncbi.nlm.nih.gov/articles/PMC4526381/" TargetMode="External"/><Relationship Id="rId10" Type="http://schemas.openxmlformats.org/officeDocument/2006/relationships/hyperlink" Target="https://www.nature.com/articles/pr201521.pdf" TargetMode="External"/><Relationship Id="rId11" Type="http://schemas.openxmlformats.org/officeDocument/2006/relationships/hyperlink" Target="https://pubmed.ncbi.nlm.nih.gov/8521153/" TargetMode="External"/><Relationship Id="rId12" Type="http://schemas.openxmlformats.org/officeDocument/2006/relationships/hyperlink" Target="https://www.gfcni.org/fileadmin/www.gfcni.org/GFCNI_Academy/Temperature_Management/Thermal_Management_in_Newborn_Babies_Training_Module_2023.pdf" TargetMode="External"/><Relationship Id="rId13" Type="http://schemas.openxmlformats.org/officeDocument/2006/relationships/hyperlink" Target="https://pubmed.ncbi.nlm.nih.gov/34537978/" TargetMode="External"/><Relationship Id="rId14" Type="http://schemas.openxmlformats.org/officeDocument/2006/relationships/hyperlink" Target="https://pubmed.ncbi.nlm.nih.gov/40562022/" TargetMode="External"/><Relationship Id="rId15" Type="http://schemas.openxmlformats.org/officeDocument/2006/relationships/hyperlink" Target="https://www.frontiersin.org/journals/psychology/articles/10.3389/fpsyg.2022.778247/full" TargetMode="External"/><Relationship Id="rId16" Type="http://schemas.openxmlformats.org/officeDocument/2006/relationships/hyperlink" Target="https://pubmed.ncbi.nlm.nih.gov/37371273/" TargetMode="External"/><Relationship Id="rId17" Type="http://schemas.openxmlformats.org/officeDocument/2006/relationships/hyperlink" Target="https://pubmed.ncbi.nlm.nih.gov/19417662/" TargetMode="External"/><Relationship Id="rId18" Type="http://schemas.openxmlformats.org/officeDocument/2006/relationships/hyperlink" Target="https://pmc.ncbi.nlm.nih.gov/articles/PMC4530609/" TargetMode="External"/><Relationship Id="rId19" Type="http://schemas.openxmlformats.org/officeDocument/2006/relationships/hyperlink" Target="https://www.who.int/tools/elena/review-summaries/implementation-bfhi--early-skin-to-skin-contact-for-mothers-and-their-healthy-newborn-infants" TargetMode="External"/><Relationship Id="rId20" Type="http://schemas.openxmlformats.org/officeDocument/2006/relationships/hyperlink" Target="https://www.who.int/news-room/questions-and-answers/item/early-essential-newborn-care" TargetMode="External"/><Relationship Id="rId21" Type="http://schemas.openxmlformats.org/officeDocument/2006/relationships/hyperlink" Target="https://pubmed.ncbi.nlm.nih.gov/39480317/" TargetMode="External"/><Relationship Id="rId22" Type="http://schemas.openxmlformats.org/officeDocument/2006/relationships/hyperlink" Target="https://www.nice.org.uk/guidance/ng72/chapter/recommendations" TargetMode="External"/><Relationship Id="rId23" Type="http://schemas.openxmlformats.org/officeDocument/2006/relationships/hyperlink" Target="https://www.who.int/teams/maternal-newborn-child-adolescent-health-and-ageing/newborn-health/essential-newborn-care" TargetMode="External"/><Relationship Id="rId24" Type="http://schemas.openxmlformats.org/officeDocument/2006/relationships/hyperlink" Target="https://pubmed.ncbi.nlm.nih.gov/8047405/" TargetMode="External"/><Relationship Id="rId25" Type="http://schemas.openxmlformats.org/officeDocument/2006/relationships/hyperlink" Target="https://pubmed.ncbi.nlm.nih.gov/26319112/" TargetMode="External"/><Relationship Id="rId26" Type="http://schemas.openxmlformats.org/officeDocument/2006/relationships/hyperlink" Target="https://pubmed.ncbi.nlm.nih.gov/4176267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2026-09-01T12:54:34.627Z</dcterms:created>
  <dcterms:modified xsi:type="dcterms:W3CDTF">2026-09-01T12:54:34.627Z</dcterms:modified>
</cp:coreProperties>
</file>