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ecoming_a_mind"/>
      <w:r>
        <w:rPr>
          <w:rFonts w:eastAsia="source serif 4" w:cs="source serif 4" w:ascii="source serif 4" w:hAnsi="source serif 4"/>
          <w:b/>
          <w:color w:val="000000"/>
          <w:sz w:val="39"/>
        </w:rPr>
        <w:t xml:space="preserve">Becoming a Mind</w:t>
      </w:r>
      <w:bookmarkEnd w:id="0"/>
    </w:p>
    <w:p>
      <w:pPr>
        <w:spacing w:line="360" w:before="315" w:after="105" w:lineRule="auto"/>
        <w:ind w:left="-30"/>
        <w:jc w:val="left"/>
      </w:pPr>
      <w:bookmarkStart w:id="1" w:name="preliminary_research_dossier_for_a5f45f"/>
      <w:r>
        <w:rPr>
          <w:rFonts w:eastAsia="source serif 4" w:cs="source serif 4" w:ascii="source serif 4" w:hAnsi="source serif 4"/>
          <w:b/>
          <w:color w:val="000000"/>
          <w:sz w:val="24"/>
        </w:rPr>
        <w:t xml:space="preserve">Preliminary research dossier for Chapter 5</w:t>
      </w:r>
      <w:bookmarkEnd w:id="1"/>
    </w:p>
    <w:p>
      <w:pPr>
        <w:spacing w:line="360" w:before="315" w:after="105" w:lineRule="auto"/>
        <w:ind w:left="-30"/>
        <w:jc w:val="left"/>
      </w:pPr>
      <w:bookmarkStart w:id="2" w:name="executive_orientation"/>
      <w:r>
        <w:rPr>
          <w:rFonts w:eastAsia="source serif 4" w:cs="source serif 4" w:ascii="source serif 4" w:hAnsi="source serif 4"/>
          <w:b/>
          <w:color w:val="000000"/>
          <w:sz w:val="24"/>
        </w:rPr>
        <w:t xml:space="preserve">Executive orientation</w:t>
      </w:r>
      <w:bookmarkEnd w:id="2"/>
    </w:p>
    <w:p>
      <w:pPr>
        <w:spacing w:line="360" w:after="210" w:lineRule="auto"/>
      </w:pPr>
      <w:r>
        <w:rPr>
          <w:rFonts w:eastAsia="source serif 4" w:cs="source serif 4" w:ascii="source serif 4" w:hAnsi="source serif 4"/>
          <w:color w:val="000000"/>
        </w:rPr>
        <w:t xml:space="preserve">Chapter 5 should make a bounded claim: human infants are neither blank slates nor miniature adults. They begin life with organized perceptual and learning capacities, biases, and constraints; experience then calibrates, expands, coordinates, and sometimes limits those capacities. The strongest evidence supports an interactionist account, but not a single theory of “the infant mind.” Different systems—vision, speech perception, attention, memory, physical reasoning, social cognition, and temperament—develop on different schedules and respond differently to experience.</w:t>
      </w:r>
    </w:p>
    <w:p>
      <w:pPr>
        <w:spacing w:line="360" w:after="210" w:lineRule="auto"/>
      </w:pPr>
      <w:r>
        <w:rPr>
          <w:rFonts w:eastAsia="source serif 4" w:cs="source serif 4" w:ascii="source serif 4" w:hAnsi="source serif 4"/>
          <w:color w:val="000000"/>
        </w:rPr>
        <w:t xml:space="preserve">A useful narrative arc is </w:t>
      </w:r>
      <w:r>
        <w:rPr>
          <w:rFonts w:eastAsia="source serif 4" w:cs="source serif 4" w:ascii="source serif 4" w:hAnsi="source serif 4"/>
          <w:b/>
          <w:color w:val="000000"/>
        </w:rPr>
        <w:t xml:space="preserve">sensation → selection → pattern detection → memory → prediction → coordinated action → shared meaning</w:t>
      </w:r>
      <w:r>
        <w:rPr>
          <w:rFonts w:eastAsia="source serif 4" w:cs="source serif 4" w:ascii="source serif 4" w:hAnsi="source serif 4"/>
          <w:color w:val="000000"/>
        </w:rPr>
        <w:t xml:space="preserve">. This preserves the chapter’s movement from Chapter 4’s co-regulation to cognition without implying that cognition replaces relationship. In infancy, social interaction is one of the environments through which attention, learning, communication, and action become organized.</w:t>
      </w:r>
    </w:p>
    <w:p>
      <w:pPr>
        <w:spacing w:line="360" w:after="210" w:lineRule="auto"/>
      </w:pPr>
      <w:r>
        <w:rPr>
          <w:rFonts w:eastAsia="source serif 4" w:cs="source serif 4" w:ascii="source serif 4" w:hAnsi="source serif 4"/>
          <w:color w:val="000000"/>
        </w:rPr>
        <w:t xml:space="preserve">The central proposition is therefore supportable if “actively construct” is defined carefully: infants select information, detect regularities, form expectations, update representations, and use action to test contingencies. It should not be taken to mean that infants consciously theorize like adults, that every observed preference reflects explicit knowledge, or that early performance predicts a fixed future.</w:t>
      </w:r>
    </w:p>
    <w:p>
      <w:pPr>
        <w:spacing w:line="360" w:before="315" w:after="105" w:lineRule="auto"/>
        <w:ind w:left="-30"/>
        <w:jc w:val="left"/>
      </w:pPr>
      <w:bookmarkStart w:id="3" w:name="research_architecture"/>
      <w:r>
        <w:rPr>
          <w:rFonts w:eastAsia="source serif 4" w:cs="source serif 4" w:ascii="source serif 4" w:hAnsi="source serif 4"/>
          <w:b/>
          <w:color w:val="000000"/>
          <w:sz w:val="24"/>
        </w:rPr>
        <w:t xml:space="preserve">Research architecture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neural systems and maturational processes support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neuroimaging, sensory physiology, longitudinal neuroscience, clinical natural experiments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Neural maturation is not a direct readout of a mental capacity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do infants perceive, remember, predict, and learn?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Pre-registered behavioral experiments, eye tracking, habituation, preferential looking, deferred imitation, active-learning tasks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Indirect measures require convergent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input is available, and what is selected by the infant?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Naturalistic observation, head-mounted cameras, cross-cultural samples, home-language measures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“Stimulation” is not a unitary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does learning become visible?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across trials, transfer, retention, imitation, action selection, communication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Competence and performance can diverge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environments improve developmental opportunity?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trials, implementation studies, follow-up, mediation analyses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Efficacy does not guarantee persistence, scalability, or equity</w:t>
            </w:r>
          </w:p>
        </w:tc>
      </w:tr>
    </w:tbl>
    <w:p>
      <w:pPr>
        <w:spacing w:lineRule="auto"/>
      </w:pPr>
    </w:p>
    <w:p>
      <w:pPr>
        <w:spacing w:line="360" w:before="315" w:after="105" w:lineRule="auto"/>
        <w:ind w:left="-30"/>
        <w:jc w:val="left"/>
      </w:pPr>
      <w:bookmarkStart w:id="4" w:name="claim_register"/>
      <w:r>
        <w:rPr>
          <w:rFonts w:eastAsia="source serif 4" w:cs="source serif 4" w:ascii="source serif 4" w:hAnsi="source serif 4"/>
          <w:b/>
          <w:color w:val="000000"/>
          <w:sz w:val="24"/>
        </w:rPr>
        <w:t xml:space="preserve">Claim register</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claim to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Preliminary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Causal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actively select information and update expectations rather than merely absorb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Supported by convergent behavioral paradigms; not a claim about adult-like conscious 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Perception reflects interaction between early biological organization and experience-dependent calibration.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to 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mechanistic and experimental support; developmental timing differs by modality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Attention shapes which information is encoded and therefore which learning opportunities are available.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Predictive evidence is substantial; causal effects in everyday settings are harder to isolate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can extract statistical regularities across sensory domains.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Experimental causal evidence for learning under controlled input; ecological generalization remains conditional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is multiple and developing: recognition, procedural/implicit learning, working memory, and recall do not mature together.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experimental evidence; retention depends on age, task, context, and reminder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information is a major source of attention direction, prediction, communication, and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correlational and experimental evidence; social motivation and cultural context moderate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contingent interaction can support learning, but effects belong to relational and institutional systems, not parental technique 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Randomized intervention evidence is promising but small and context-dependent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plasticity permits experience-dependent adaptation and also creates vulnerability.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biological evidence; translating circuit changes into individual outcomes is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Sensitive periods are windows of heightened experience–maturation interaction, not universal deadlines.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the general principle; variable by 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for some perceptual systems; timing and reversibility vary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pathways vary substantially, and early differences are not equivalent to failure or destiny.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a developmental principle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Supported by heterogeneity, longitudinal instability, and context-dependent prediction</w:t>
            </w:r>
          </w:p>
        </w:tc>
      </w:tr>
    </w:tbl>
    <w:p>
      <w:pPr>
        <w:spacing w:lineRule="auto"/>
      </w:pPr>
    </w:p>
    <w:p>
      <w:pPr>
        <w:spacing w:line="360" w:before="315" w:after="105" w:lineRule="auto"/>
        <w:ind w:left="-30"/>
        <w:jc w:val="left"/>
      </w:pPr>
      <w:bookmarkStart w:id="5" w:name="evidence_matrix"/>
      <w:r>
        <w:rPr>
          <w:rFonts w:eastAsia="source serif 4" w:cs="source serif 4" w:ascii="source serif 4" w:hAnsi="source serif 4"/>
          <w:b/>
          <w:color w:val="000000"/>
          <w:sz w:val="24"/>
        </w:rPr>
        <w:t xml:space="preserve">Evidence matrix</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appears early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changes with experience or maturation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measures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interpretive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Sensitivity to contrast, motion, faces, and structured visual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Acuity, object processing, depth and multisensory coordination become more specialized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Eye tracking, preferential looking, visual evoked responses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Looking is ambiguous without discrimination, retention, or transfer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Hearing and speech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sensitivity to speech contrasts and rhythm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Experience supports native-language specialization and perceptual narrowing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Head-turn, habituation, ERP/EEG, eye tracking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Narrowing is specialization, not simply loss; multilingual exposure complicates simple benchmarks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Orienting to salient and socially relevant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Sustained attention, disengagement, endogenous control, and executive regulation improve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Eye tracking, infant-controlled habituation, longitudinal observation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Attention is affected by arousal, fatigue, task demands, and caregiver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Statistical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Extraction of transitional and distributional regularities under controlled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becomes more flexible, input-specific, and embedded in action and social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Segmentation tasks, artificial grammars, head cameras, eye tracking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Laboratory regularities may be simpler than natural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Recognition and procedural learning can be observed early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Retention, recall, working memory, flexibility, and transfer increase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Familiarity/novelty, deferred imitation, conditioned responses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to retrieve is not proof of absent representation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knowledge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Expectations about persistence, continuity, solidity, support, and occlusion appear early in some paradigms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Representations become more differentiated and usable in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Violation-of-expectation, manual search, reaching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Looking-time surprise may indicate violated expectation, attention, or perceptual salience rather than a complete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Causality and agency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Sensitivity to contingency and self-generated effects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understanding, goal prediction, and causal representation become more differentiated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Contingency learning, action observation, active exploration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Contingency detection is not equivalent to mature causal 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cognition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Face, voice, gaze, and contingent social signals attract 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Gaze following, joint attention, intention understanding, and social referencing develop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Eye tracking, interaction coding, gaze following, imitation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Social behavior is culturally organized and relationally contingent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Temperament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Individual differences in reactivity, approach, affect, and 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Regulation and behavioral expression change with maturation and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observation, parent report, laboratory challenge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 report and child behavior are partly transactional, not independent measures</w:t>
            </w:r>
          </w:p>
        </w:tc>
      </w:tr>
    </w:tbl>
    <w:p>
      <w:pPr>
        <w:spacing w:lineRule="auto"/>
      </w:pPr>
    </w:p>
    <w:p>
      <w:pPr>
        <w:spacing w:line="360" w:before="315" w:after="105" w:lineRule="auto"/>
        <w:ind w:left="-30"/>
        <w:jc w:val="left"/>
      </w:pPr>
      <w:bookmarkStart w:id="6" w:name="module_findings_and_research_priorities"/>
      <w:r>
        <w:rPr>
          <w:rFonts w:eastAsia="source serif 4" w:cs="source serif 4" w:ascii="source serif 4" w:hAnsi="source serif 4"/>
          <w:b/>
          <w:color w:val="000000"/>
          <w:sz w:val="24"/>
        </w:rPr>
        <w:t xml:space="preserve">Module findings and research priorities</w:t>
      </w:r>
      <w:bookmarkEnd w:id="6"/>
    </w:p>
    <w:p>
      <w:pPr>
        <w:spacing w:line="360" w:before="315" w:after="105" w:lineRule="auto"/>
        <w:ind w:left="-30"/>
        <w:jc w:val="left"/>
      </w:pPr>
      <w:bookmarkStart w:id="7" w:name="bm_1_how_infant_minds_are_studied"/>
      <w:r>
        <w:rPr>
          <w:rFonts w:eastAsia="source serif 4" w:cs="source serif 4" w:ascii="source serif 4" w:hAnsi="source serif 4"/>
          <w:b/>
          <w:color w:val="000000"/>
          <w:sz w:val="24"/>
        </w:rPr>
        <w:t xml:space="preserve">1. How infant minds are studied</w:t>
      </w:r>
      <w:bookmarkEnd w:id="7"/>
    </w:p>
    <w:p>
      <w:pPr>
        <w:spacing w:line="360" w:after="210" w:lineRule="auto"/>
      </w:pPr>
      <w:r>
        <w:rPr>
          <w:rFonts w:eastAsia="source serif 4" w:cs="source serif 4" w:ascii="source serif 4" w:hAnsi="source serif 4"/>
          <w:color w:val="000000"/>
        </w:rPr>
        <w:t xml:space="preserve">Infant research became possible because researchers learned to treat behavior other than speech—especially orientation, looking, sucking, reaching, kicking, and imitation—as structured responses. Habituation paradigms infer discrimination and memory from declining response to repetition and renewed response to novelty; they can be powerful across infancy but require careful controls and adequate trial-level analysis. Looking-time methods are therefore measurement instruments, not transparent windows into thought. Their interpretation improves when paired with eye tracking, physiological measures, active behavior, replication, and transfer tasks.</w:t>
      </w:r>
    </w:p>
    <w:p>
      <w:pPr>
        <w:spacing w:line="360" w:after="210" w:lineRule="auto"/>
      </w:pPr>
      <w:r>
        <w:rPr>
          <w:rFonts w:eastAsia="source serif 4" w:cs="source serif 4" w:ascii="source serif 4" w:hAnsi="source serif 4"/>
          <w:color w:val="000000"/>
        </w:rPr>
        <w:t xml:space="preserve">The methodological history should move from Piagetian observation and behaviorist learning paradigms to information-processing models and contemporary developmental cognitive science. The lesson is not that earlier theories were simply wrong. It is that different methods reveal different layers: action-based tasks may show later competence than violation-of-expectation tasks, while looking-time tasks may reveal sensitivity without proving a rich, usable concept.</w:t>
      </w:r>
    </w:p>
    <w:p>
      <w:pPr>
        <w:spacing w:line="360" w:before="315" w:after="105" w:lineRule="auto"/>
        <w:ind w:left="-30"/>
        <w:jc w:val="left"/>
      </w:pPr>
      <w:bookmarkStart w:id="8" w:name="bm_2_perception_as_construction"/>
      <w:r>
        <w:rPr>
          <w:rFonts w:eastAsia="source serif 4" w:cs="source serif 4" w:ascii="source serif 4" w:hAnsi="source serif 4"/>
          <w:b/>
          <w:color w:val="000000"/>
          <w:sz w:val="24"/>
        </w:rPr>
        <w:t xml:space="preserve">2. Perception as construction</w:t>
      </w:r>
      <w:bookmarkEnd w:id="8"/>
    </w:p>
    <w:p>
      <w:pPr>
        <w:spacing w:line="360" w:after="210" w:lineRule="auto"/>
      </w:pPr>
      <w:r>
        <w:rPr>
          <w:rFonts w:eastAsia="source serif 4" w:cs="source serif 4" w:ascii="source serif 4" w:hAnsi="source serif 4"/>
          <w:color w:val="000000"/>
        </w:rPr>
        <w:t xml:space="preserve">Newborn perception is organized enough to support learning, but it is not finished. Reviews describe early multisensory processing as prepared for external input while also emphasizing that postnatal experience shapes and reinforces the relevant circuits. Perceptual narrowing illustrates this interaction: infants initially discriminate some non-native speech contrasts and later become more specialized for the language environments they hear. Similar processes have been studied for faces, vocalizations, and music. This should be described as adaptive calibration, not a one-way deterioration of capacity.</w:t>
      </w:r>
    </w:p>
    <w:p>
      <w:pPr>
        <w:spacing w:line="360" w:after="210" w:lineRule="auto"/>
      </w:pPr>
      <w:r>
        <w:rPr>
          <w:rFonts w:eastAsia="source serif 4" w:cs="source serif 4" w:ascii="source serif 4" w:hAnsi="source serif 4"/>
          <w:color w:val="000000"/>
        </w:rPr>
        <w:t xml:space="preserve">The chapter should distinguish </w:t>
      </w:r>
      <w:r>
        <w:rPr>
          <w:rFonts w:eastAsia="source serif 4" w:cs="source serif 4" w:ascii="source serif 4" w:hAnsi="source serif 4"/>
          <w:b/>
          <w:color w:val="000000"/>
        </w:rPr>
        <w:t xml:space="preserve">sensation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perceptual discrimination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object representation</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meaning</w:t>
      </w:r>
      <w:r>
        <w:rPr>
          <w:rFonts w:eastAsia="source serif 4" w:cs="source serif 4" w:ascii="source serif 4" w:hAnsi="source serif 4"/>
          <w:color w:val="000000"/>
        </w:rPr>
        <w:t xml:space="preserve">. A newborn may detect a difference without understanding its source; an older infant may represent an occluded object without being able to retrieve it manually. Cross-modal matching also need not imply a fully integrated world model.</w:t>
      </w:r>
    </w:p>
    <w:p>
      <w:pPr>
        <w:spacing w:line="360" w:before="315" w:after="105" w:lineRule="auto"/>
        <w:ind w:left="-30"/>
        <w:jc w:val="left"/>
      </w:pPr>
      <w:bookmarkStart w:id="9" w:name="bm_3_attention_as_a_bottleneck"/>
      <w:r>
        <w:rPr>
          <w:rFonts w:eastAsia="source serif 4" w:cs="source serif 4" w:ascii="source serif 4" w:hAnsi="source serif 4"/>
          <w:b/>
          <w:color w:val="000000"/>
          <w:sz w:val="24"/>
        </w:rPr>
        <w:t xml:space="preserve">3. Attention as a bottleneck</w:t>
      </w:r>
      <w:bookmarkEnd w:id="9"/>
    </w:p>
    <w:p>
      <w:pPr>
        <w:spacing w:line="360" w:after="210" w:lineRule="auto"/>
      </w:pPr>
      <w:r>
        <w:rPr>
          <w:rFonts w:eastAsia="source serif 4" w:cs="source serif 4" w:ascii="source serif 4" w:hAnsi="source serif 4"/>
          <w:color w:val="000000"/>
        </w:rPr>
        <w:t xml:space="preserve">Attention determines which parts of a continuous environment receive sustained processing. Novelty preference and habituation show that infants can allocate attention selectively; developmental work increasingly treats attention as a family of processes—orienting, disengagement, sustained attention, and control—rather than a single capacity. Early orienting and later social engagement can predict some later joint-attention behaviors, but prediction is not determination and effects vary by age and outcome.</w:t>
      </w:r>
    </w:p>
    <w:p>
      <w:pPr>
        <w:spacing w:line="360" w:after="210" w:lineRule="auto"/>
      </w:pPr>
      <w:r>
        <w:rPr>
          <w:rFonts w:eastAsia="source serif 4" w:cs="source serif 4" w:ascii="source serif 4" w:hAnsi="source serif 4"/>
          <w:color w:val="000000"/>
        </w:rPr>
        <w:t xml:space="preserve">Attention should be framed as a developmental bottleneck, not a moral trait. A tired, distressed, hungry, overstimulated, or poorly positioned infant may show less attention without lacking the underlying capacity. The causal question is whether changes in attention alter learning under realistic conditions, not merely whether attention correlates with later test scores.</w:t>
      </w:r>
    </w:p>
    <w:p>
      <w:pPr>
        <w:spacing w:line="360" w:before="315" w:after="105" w:lineRule="auto"/>
        <w:ind w:left="-30"/>
        <w:jc w:val="left"/>
      </w:pPr>
      <w:bookmarkStart w:id="10" w:name="bm_4_learning_and_statistical_learning"/>
      <w:r>
        <w:rPr>
          <w:rFonts w:eastAsia="source serif 4" w:cs="source serif 4" w:ascii="source serif 4" w:hAnsi="source serif 4"/>
          <w:b/>
          <w:color w:val="000000"/>
          <w:sz w:val="24"/>
        </w:rPr>
        <w:t xml:space="preserve">4. Learning and statistical learning</w:t>
      </w:r>
      <w:bookmarkEnd w:id="10"/>
    </w:p>
    <w:p>
      <w:pPr>
        <w:spacing w:line="360" w:after="210" w:lineRule="auto"/>
      </w:pPr>
      <w:r>
        <w:rPr>
          <w:rFonts w:eastAsia="source serif 4" w:cs="source serif 4" w:ascii="source serif 4" w:hAnsi="source serif 4"/>
          <w:color w:val="000000"/>
        </w:rPr>
        <w:t xml:space="preserve">Infants can extract regularities from auditory and visual sequences, including transitional probabilities relevant to speech segmentation. Reviews characterize statistical learning as broad and flexible but also input-specific: the computation depends on the structure of the input and the learner’s goal. Naturalistic head-camera and eye-tracking work is important because infants do not encounter laboratory streams in isolation; their own attention and action help create the “curriculum” from which regularities are learned.</w:t>
      </w:r>
    </w:p>
    <w:p>
      <w:pPr>
        <w:spacing w:line="360" w:after="210" w:lineRule="auto"/>
      </w:pPr>
      <w:r>
        <w:rPr>
          <w:rFonts w:eastAsia="source serif 4" w:cs="source serif 4" w:ascii="source serif 4" w:hAnsi="source serif 4"/>
          <w:color w:val="000000"/>
        </w:rPr>
        <w:t xml:space="preserve">“Powerful statistical learner” is useful shorthand only if bounded. Statistical learning can detect structure; it does not by itself explain goals, social meaning, causal understanding, memory consolidation, or cultural learning. The plan should compare associative learning, contingency learning, imitation, observational learning, reinforcement, and statistical learning rather than treating them as competing total theories.</w:t>
      </w:r>
    </w:p>
    <w:p>
      <w:pPr>
        <w:spacing w:line="360" w:before="315" w:after="105" w:lineRule="auto"/>
        <w:ind w:left="-30"/>
        <w:jc w:val="left"/>
      </w:pPr>
      <w:bookmarkStart w:id="11" w:name="bm_5_memory"/>
      <w:r>
        <w:rPr>
          <w:rFonts w:eastAsia="source serif 4" w:cs="source serif 4" w:ascii="source serif 4" w:hAnsi="source serif 4"/>
          <w:b/>
          <w:color w:val="000000"/>
          <w:sz w:val="24"/>
        </w:rPr>
        <w:t xml:space="preserve">5. Memory</w:t>
      </w:r>
      <w:bookmarkEnd w:id="11"/>
    </w:p>
    <w:p>
      <w:pPr>
        <w:spacing w:line="360" w:after="210" w:lineRule="auto"/>
      </w:pPr>
      <w:r>
        <w:rPr>
          <w:rFonts w:eastAsia="source serif 4" w:cs="source serif 4" w:ascii="source serif 4" w:hAnsi="source serif 4"/>
          <w:color w:val="000000"/>
        </w:rPr>
        <w:t xml:space="preserve">Infant memory is not one system. Recognition of a familiar stimulus, procedural learning, conditioned responding, working memory, and recall of an event have different developmental trajectories and task demands. Deferred-imitation research provides evidence that infants can recall and reproduce past actions across delays, including multiple acts; other work shows that context change and reminders affect retrieval. Infantile amnesia therefore cannot be interpreted as absence of early memory.</w:t>
      </w:r>
    </w:p>
    <w:p>
      <w:pPr>
        <w:spacing w:line="360" w:after="210" w:lineRule="auto"/>
      </w:pPr>
      <w:r>
        <w:rPr>
          <w:rFonts w:eastAsia="source serif 4" w:cs="source serif 4" w:ascii="source serif 4" w:hAnsi="source serif 4"/>
          <w:color w:val="000000"/>
        </w:rPr>
        <w:t xml:space="preserve">The chapter should use a three-part distinction: </w:t>
      </w:r>
      <w:r>
        <w:rPr>
          <w:rFonts w:eastAsia="source serif 4" w:cs="source serif 4" w:ascii="source serif 4" w:hAnsi="source serif 4"/>
          <w:b/>
          <w:color w:val="000000"/>
        </w:rPr>
        <w:t xml:space="preserve">encoding</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retention</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retrieval</w:t>
      </w:r>
      <w:r>
        <w:rPr>
          <w:rFonts w:eastAsia="source serif 4" w:cs="source serif 4" w:ascii="source serif 4" w:hAnsi="source serif 4"/>
          <w:color w:val="000000"/>
        </w:rPr>
        <w:t xml:space="preserve">. An infant may encode an event but fail to retrieve it when the cue, context, or motor demands change. Report duration and conditions of retention where available, and avoid converting laboratory memory into claims about autobiographical memory or adult-like conscious recollection.</w:t>
      </w:r>
    </w:p>
    <w:p>
      <w:pPr>
        <w:spacing w:line="360" w:before="315" w:after="105" w:lineRule="auto"/>
        <w:ind w:left="-30"/>
        <w:jc w:val="left"/>
      </w:pPr>
      <w:bookmarkStart w:id="12" w:name="bm_6_object_knowledge_and_causality"/>
      <w:r>
        <w:rPr>
          <w:rFonts w:eastAsia="source serif 4" w:cs="source serif 4" w:ascii="source serif 4" w:hAnsi="source serif 4"/>
          <w:b/>
          <w:color w:val="000000"/>
          <w:sz w:val="24"/>
        </w:rPr>
        <w:t xml:space="preserve">6. Object knowledge and causality</w:t>
      </w:r>
      <w:bookmarkEnd w:id="12"/>
    </w:p>
    <w:p>
      <w:pPr>
        <w:spacing w:line="360" w:after="210" w:lineRule="auto"/>
      </w:pPr>
      <w:r>
        <w:rPr>
          <w:rFonts w:eastAsia="source serif 4" w:cs="source serif 4" w:ascii="source serif 4" w:hAnsi="source serif 4"/>
          <w:color w:val="000000"/>
        </w:rPr>
        <w:t xml:space="preserve">Research on object permanence revises the simple textbook story. Violation-of-expectation studies reported expectations about persistence, continuity, and solidity in young infants, while manual-search studies show that usable object representations develop unevenly and depend on the type of occlusion, number of objects, event structure, and action demands. Object permanence is therefore not a single staircase-like achievement acquired once and for all.</w:t>
      </w:r>
    </w:p>
    <w:p>
      <w:pPr>
        <w:spacing w:line="360" w:after="210" w:lineRule="auto"/>
      </w:pPr>
      <w:r>
        <w:rPr>
          <w:rFonts w:eastAsia="source serif 4" w:cs="source serif 4" w:ascii="source serif 4" w:hAnsi="source serif 4"/>
          <w:color w:val="000000"/>
        </w:rPr>
        <w:t xml:space="preserve">Similarly, infants can detect contingencies between their actions and outcomes and form expectations about physical events, but this should not be equated with adult causal theory. A reasonable developmental sequence is sensitivity to regularity and agency, prediction of event outcomes, differentiation of agents and objects, and increasingly explicit causal models supported by language and action.</w:t>
      </w:r>
    </w:p>
    <w:p>
      <w:pPr>
        <w:spacing w:line="360" w:before="315" w:after="105" w:lineRule="auto"/>
        <w:ind w:left="-30"/>
        <w:jc w:val="left"/>
      </w:pPr>
      <w:bookmarkStart w:id="13" w:name="bm_7_social_cognition_and_shared_55ed6a"/>
      <w:r>
        <w:rPr>
          <w:rFonts w:eastAsia="source serif 4" w:cs="source serif 4" w:ascii="source serif 4" w:hAnsi="source serif 4"/>
          <w:b/>
          <w:color w:val="000000"/>
          <w:sz w:val="24"/>
        </w:rPr>
        <w:t xml:space="preserve">7. Social cognition and shared attention</w:t>
      </w:r>
      <w:bookmarkEnd w:id="13"/>
    </w:p>
    <w:p>
      <w:pPr>
        <w:spacing w:line="360" w:after="210" w:lineRule="auto"/>
      </w:pPr>
      <w:r>
        <w:rPr>
          <w:rFonts w:eastAsia="source serif 4" w:cs="source serif 4" w:ascii="source serif 4" w:hAnsi="source serif 4"/>
          <w:color w:val="000000"/>
        </w:rPr>
        <w:t xml:space="preserve">Social information is not merely another input channel. Faces, voices, gaze, gestures, affect, and contingent responses help organize what infants attend to and how they interpret events. Gaze following has been observed to emerge during the first half-year in some longitudinal studies; responding to joint attention develops later, and initiating joint attention later still. Joint attention integrates information about the infant’s own attention, another person’s attention, and a shared referent.</w:t>
      </w:r>
    </w:p>
    <w:p>
      <w:pPr>
        <w:spacing w:line="360" w:after="210" w:lineRule="auto"/>
      </w:pPr>
      <w:r>
        <w:rPr>
          <w:rFonts w:eastAsia="source serif 4" w:cs="source serif 4" w:ascii="source serif 4" w:hAnsi="source serif 4"/>
          <w:color w:val="000000"/>
        </w:rPr>
        <w:t xml:space="preserve">The chapter should resist a purely parent-training interpretation. Social cognition develops through repeated relationships, but also through infant characteristics, cultural practices, language, opportunity, and broader stressors. Associations between joint attention and language are informative but do not establish that increasing one isolated behavior will produce language gains.</w:t>
      </w:r>
    </w:p>
    <w:p>
      <w:pPr>
        <w:spacing w:line="360" w:before="315" w:after="105" w:lineRule="auto"/>
        <w:ind w:left="-30"/>
        <w:jc w:val="left"/>
      </w:pPr>
      <w:bookmarkStart w:id="14" w:name="bm_8_temperament_and_developmenta_b15140"/>
      <w:r>
        <w:rPr>
          <w:rFonts w:eastAsia="source serif 4" w:cs="source serif 4" w:ascii="source serif 4" w:hAnsi="source serif 4"/>
          <w:b/>
          <w:color w:val="000000"/>
          <w:sz w:val="24"/>
        </w:rPr>
        <w:t xml:space="preserve">8. Temperament and developmental diversity</w:t>
      </w:r>
      <w:bookmarkEnd w:id="14"/>
    </w:p>
    <w:p>
      <w:pPr>
        <w:spacing w:line="360" w:after="210" w:lineRule="auto"/>
      </w:pPr>
      <w:r>
        <w:rPr>
          <w:rFonts w:eastAsia="source serif 4" w:cs="source serif 4" w:ascii="source serif 4" w:hAnsi="source serif 4"/>
          <w:color w:val="000000"/>
        </w:rPr>
        <w:t xml:space="preserve">Infants differ in reactivity, approach, activity, affect, attention, and regulation. Some temperament dimensions show short-interval stability, but stability is not immutability and depends on the measure, interval, context, and developmental period. Child characteristics influence caregiver behavior, while caregiver behavior and context influence the expression and regulation of child characteristics.</w:t>
      </w:r>
    </w:p>
    <w:p>
      <w:pPr>
        <w:spacing w:line="360" w:after="210" w:lineRule="auto"/>
      </w:pPr>
      <w:r>
        <w:rPr>
          <w:rFonts w:eastAsia="source serif 4" w:cs="source serif 4" w:ascii="source serif 4" w:hAnsi="source serif 4"/>
          <w:color w:val="000000"/>
        </w:rPr>
        <w:t xml:space="preserve">“Normal development” should be represented as a range of pathways rather than a single timetable. Variation may reflect biology, experience, opportunity, disability, language environment, culture, health, or measurement mismatch. Neurodiversity should not be reduced to a deficit model, and atypical development should be discussed with attention to support needs rather than as evidence of failed parenting.</w:t>
      </w:r>
    </w:p>
    <w:p>
      <w:pPr>
        <w:spacing w:line="360" w:before="315" w:after="105" w:lineRule="auto"/>
        <w:ind w:left="-30"/>
        <w:jc w:val="left"/>
      </w:pPr>
      <w:bookmarkStart w:id="15" w:name="bm_9_the_developing_brain"/>
      <w:r>
        <w:rPr>
          <w:rFonts w:eastAsia="source serif 4" w:cs="source serif 4" w:ascii="source serif 4" w:hAnsi="source serif 4"/>
          <w:b/>
          <w:color w:val="000000"/>
          <w:sz w:val="24"/>
        </w:rPr>
        <w:t xml:space="preserve">9. The developing brain</w:t>
      </w:r>
      <w:bookmarkEnd w:id="15"/>
    </w:p>
    <w:p>
      <w:pPr>
        <w:spacing w:line="360" w:after="210" w:lineRule="auto"/>
      </w:pPr>
      <w:r>
        <w:rPr>
          <w:rFonts w:eastAsia="source serif 4" w:cs="source serif 4" w:ascii="source serif 4" w:hAnsi="source serif 4"/>
          <w:color w:val="000000"/>
        </w:rPr>
        <w:t xml:space="preserve">Synaptogenesis, myelination, pruning, network specialization, and experience-dependent plasticity are relevant mechanisms, but none is a direct synonym for intelligence or learning. Plasticity is bidirectional: it permits adaptation and recovery while also creating vulnerability to deprivation, inflammation, injury, severe stress, or sensory disruption. The correct translation is that early experience can alter developmental probabilities and system organization—not that every experience permanently rewires the child.</w:t>
      </w:r>
    </w:p>
    <w:p>
      <w:pPr>
        <w:spacing w:line="360" w:after="210" w:lineRule="auto"/>
      </w:pPr>
      <w:r>
        <w:rPr>
          <w:rFonts w:eastAsia="source serif 4" w:cs="source serif 4" w:ascii="source serif 4" w:hAnsi="source serif 4"/>
          <w:color w:val="000000"/>
        </w:rPr>
        <w:t xml:space="preserve">Brain evidence should be used to explain constraints and mechanisms, not to decorate ordinary developmental claims with authority. Avoid “hard-wired,” “rewired,” “critical window” as a universal metaphor, and age-specific claims unsupported by the relevant modality and study design.</w:t>
      </w:r>
    </w:p>
    <w:p>
      <w:pPr>
        <w:spacing w:line="360" w:before="315" w:after="105" w:lineRule="auto"/>
        <w:ind w:left="-30"/>
        <w:jc w:val="left"/>
      </w:pPr>
      <w:bookmarkStart w:id="16" w:name="bm_10_sensitive_periods"/>
      <w:r>
        <w:rPr>
          <w:rFonts w:eastAsia="source serif 4" w:cs="source serif 4" w:ascii="source serif 4" w:hAnsi="source serif 4"/>
          <w:b/>
          <w:color w:val="000000"/>
          <w:sz w:val="24"/>
        </w:rPr>
        <w:t xml:space="preserve">10. Sensitive periods</w:t>
      </w:r>
      <w:bookmarkEnd w:id="16"/>
    </w:p>
    <w:p>
      <w:pPr>
        <w:spacing w:line="360" w:after="210" w:lineRule="auto"/>
      </w:pPr>
      <w:r>
        <w:rPr>
          <w:rFonts w:eastAsia="source serif 4" w:cs="source serif 4" w:ascii="source serif 4" w:hAnsi="source serif 4"/>
          <w:color w:val="000000"/>
        </w:rPr>
        <w:t xml:space="preserve">Sensitive periods are developmental windows in which maturation and particular experiences interact to produce especially strong effects. They are often overlapping, domain-specific, and partially reversible rather than universal deadlines. Language perceptual narrowing is a useful example: native-language experience changes the weighting of speech contrasts during infancy, but later learning remains possible, often with different efficiency and outcomes.</w:t>
      </w:r>
    </w:p>
    <w:p>
      <w:pPr>
        <w:spacing w:line="360" w:after="210" w:lineRule="auto"/>
      </w:pPr>
      <w:r>
        <w:rPr>
          <w:rFonts w:eastAsia="source serif 4" w:cs="source serif 4" w:ascii="source serif 4" w:hAnsi="source serif 4"/>
          <w:color w:val="000000"/>
        </w:rPr>
        <w:t xml:space="preserve">The matrix should distinguish four questions: when sensitivity is heightened, what input is required, whether later input can compensate, and what outcome is affected. A sensitive period for discrimination is not automatically a sensitive period for language, intelligence, or social success.</w:t>
      </w:r>
    </w:p>
    <w:p>
      <w:pPr>
        <w:spacing w:line="360" w:before="315" w:after="105" w:lineRule="auto"/>
        <w:ind w:left="-30"/>
        <w:jc w:val="left"/>
      </w:pPr>
      <w:bookmarkStart w:id="17" w:name="landmark_research_atlas"/>
      <w:r>
        <w:rPr>
          <w:rFonts w:eastAsia="source serif 4" w:cs="source serif 4" w:ascii="source serif 4" w:hAnsi="source serif 4"/>
          <w:b/>
          <w:color w:val="000000"/>
          <w:sz w:val="24"/>
        </w:rPr>
        <w:t xml:space="preserve">Landmark research atlas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 or figure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Contribution to investigate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audit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Piaget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Sensorimotor intelligence, action, and object permanence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Foundational theory and observation; some age claims revised by newer methods; competence and performance must be separated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Fantz and habituation tradition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 visual preference and discrimination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Powerful method, but indirect and sensitive to procedure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Baillargeon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physical expectations and violation-of-expectation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Important evidence for early expectations; interpretation and replication require task and control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Spelke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knowledge and physical principles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Influential framework; should be compared with learning-based and constructivist accounts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Xu and Carey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 individuation and numerical/object representations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Shows developmental change and task dependence, rather than a single object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Werker and Tees; Kuhl and colleagues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Speech perception, perceptual narrowing, and language experience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cross-method program; timing and transfer vary by language exposure and social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Saffran and statistical-learning programs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Extraction of regularities from sequential input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Robust laboratory phenomenon; ecological meaning depends on input complexity, attention, and social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Rovee-Collier and deferred-imitation programs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 memory, retention, retrieval, and reminders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Demonstrates early memory; must not be confused with autobiographical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Mundy and joint-attention programs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Links among attention, social cognition, communication, and language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Developmental associations and neural models are informative; cultural and transactional moderators matter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neuroscience and plasticity programs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maturation, adaptation, vulnerability, and timing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Mechanistically valuable; behavioral translation and individual prediction remain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WHO/healthcare and parenting intervention reviews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caregiving, early learning, and implementation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Randomized evidence is promising but effects are generally small and certainty varies</w:t>
            </w:r>
          </w:p>
        </w:tc>
      </w:tr>
    </w:tbl>
    <w:p>
      <w:pPr>
        <w:spacing w:lineRule="auto"/>
      </w:pPr>
    </w:p>
    <w:p>
      <w:pPr>
        <w:spacing w:line="360" w:before="315" w:after="105" w:lineRule="auto"/>
        <w:ind w:left="-30"/>
        <w:jc w:val="left"/>
      </w:pPr>
      <w:bookmarkStart w:id="18" w:name="developmental_timeline_0_24_months"/>
      <w:r>
        <w:rPr>
          <w:rFonts w:eastAsia="source serif 4" w:cs="source serif 4" w:ascii="source serif 4" w:hAnsi="source serif 4"/>
          <w:b/>
          <w:color w:val="000000"/>
          <w:sz w:val="24"/>
        </w:rPr>
        <w:t xml:space="preserve">Developmental timeline: 0–24 months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developmental emphasis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can reasonably be inferred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Orienting, sensory regulation, face/voice preference, early contingency sensitivity, recognition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Organized capacities are present; sustained attention and action are highly state-dependent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visual control, multisensory coordination, emerging gaze following, stronger contingency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Experience increasingly calibrates perception and social attention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6–9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Statistical extraction, expanding object expectations, improved memory and action–outcome learning, speech specialization begins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Learning is increasingly shaped by repeated structure and active exploration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reliable responding to joint attention, intentional action, object search, social referencing, gesture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attention links perception, action, communication, and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Deferred imitation, word learning, categorization, means–end action, initiating shared attention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Representations become more flexible, but task performance remains context-sensitive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 communication, more complex imitation, causal action sequences, emerging self-regulation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Cognitive systems become increasingly integrated with language and social participation</w:t>
            </w:r>
          </w:p>
        </w:tc>
      </w:tr>
    </w:tbl>
    <w:p>
      <w:pPr>
        <w:spacing w:lineRule="auto"/>
      </w:pPr>
    </w:p>
    <w:p>
      <w:pPr>
        <w:spacing w:line="360" w:after="210" w:lineRule="auto"/>
      </w:pPr>
      <w:r>
        <w:rPr>
          <w:rFonts w:eastAsia="source serif 4" w:cs="source serif 4" w:ascii="source serif 4" w:hAnsi="source serif 4"/>
          <w:color w:val="000000"/>
        </w:rPr>
        <w:t xml:space="preserve">These are overlapping tendencies, not deadlines or diagnostic cutoffs. Individual differences, prematurity, sensory status, health, language exposure, culture, and measurement conditions can shift observed timing.</w:t>
      </w:r>
    </w:p>
    <w:p>
      <w:pPr>
        <w:spacing w:line="360" w:before="315" w:after="105" w:lineRule="auto"/>
        <w:ind w:left="-30"/>
        <w:jc w:val="left"/>
      </w:pPr>
      <w:bookmarkStart w:id="19" w:name="learning_mechanisms_map"/>
      <w:r>
        <w:rPr>
          <w:rFonts w:eastAsia="source serif 4" w:cs="source serif 4" w:ascii="source serif 4" w:hAnsi="source serif 4"/>
          <w:b/>
          <w:color w:val="000000"/>
          <w:sz w:val="24"/>
        </w:rPr>
        <w:t xml:space="preserve">Learning mechanisms map</w:t>
      </w:r>
      <w:bookmarkEnd w:id="19"/>
    </w:p>
    <w:p>
      <w:pPr>
        <w:spacing w:line="360" w:after="210" w:lineRule="auto"/>
      </w:pPr>
      <w:r>
        <w:rPr>
          <w:rFonts w:eastAsia="source serif 4" w:cs="source serif 4" w:ascii="source serif 4" w:hAnsi="source serif 4"/>
          <w:b/>
          <w:color w:val="000000"/>
        </w:rPr>
        <w:t xml:space="preserve">Experience → attention and selection → encoding → pattern extraction → memory consolidation → prediction → action → feedback → updated representation.</w:t>
      </w:r>
    </w:p>
    <w:p>
      <w:pPr>
        <w:spacing w:line="360" w:after="210" w:lineRule="auto"/>
      </w:pPr>
      <w:r>
        <w:rPr>
          <w:rFonts w:eastAsia="source serif 4" w:cs="source serif 4" w:ascii="source serif 4" w:hAnsi="source serif 4"/>
          <w:b/>
          <w:color w:val="000000"/>
        </w:rPr>
        <w:t xml:space="preserve">Caregiver or peer action → infant orienting → shared reference or modeled action → representation → imitation or exploration → contingent feedback → learning.</w:t>
      </w:r>
    </w:p>
    <w:p>
      <w:pPr>
        <w:spacing w:line="360" w:after="210" w:lineRule="auto"/>
      </w:pPr>
      <w:r>
        <w:rPr>
          <w:rFonts w:eastAsia="source serif 4" w:cs="source serif 4" w:ascii="source serif 4" w:hAnsi="source serif 4"/>
          <w:b/>
          <w:color w:val="000000"/>
        </w:rPr>
        <w:t xml:space="preserve">Biological maturation + active experience + social mediation + material opportunity → changing cognitive systems → increasingly coordinated behavior.</w:t>
      </w:r>
    </w:p>
    <w:p>
      <w:pPr>
        <w:spacing w:line="360" w:after="210" w:lineRule="auto"/>
      </w:pPr>
      <w:r>
        <w:rPr>
          <w:rFonts w:eastAsia="source serif 4" w:cs="source serif 4" w:ascii="source serif 4" w:hAnsi="source serif 4"/>
          <w:color w:val="000000"/>
        </w:rPr>
        <w:t xml:space="preserve">The diagrams should be presented as developmental models, not linear mechanisms. Feedback loops matter: an infant’s action changes the environment; the environment changes caregiver responses; those responses alter the infant’s future attention and action.</w:t>
      </w:r>
    </w:p>
    <w:p>
      <w:pPr>
        <w:spacing w:line="360" w:before="315" w:after="105" w:lineRule="auto"/>
        <w:ind w:left="-30"/>
        <w:jc w:val="left"/>
      </w:pPr>
      <w:bookmarkStart w:id="20" w:name="environmental_opportunity_framework"/>
      <w:r>
        <w:rPr>
          <w:rFonts w:eastAsia="source serif 4" w:cs="source serif 4" w:ascii="source serif 4" w:hAnsi="source serif 4"/>
          <w:b/>
          <w:color w:val="000000"/>
          <w:sz w:val="24"/>
        </w:rPr>
        <w:t xml:space="preserve">Environmental opportunity framework</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developmental contribution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 evidence does not justify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contingency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Helps infants coordinate attention, action, affect, and communication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demand that one caregiver maintain perfect responsiveness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access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Provides structured input for speech, word, and social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single “correct” quantity of talk detached from quality, culture, or multilingualism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Allows active action, object learning, and causal discovery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More stimulation is always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 and shared 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Offers repeated opportunities for imitation, prediction, and meaning-making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Play alone guarantees later academic success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Material and social security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Supports attention and learning by reducing competing demands and improving opportunity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Poverty is a child or parent trait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Services and 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improve caregiver practices and some early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family intervention can substitute for housing, health care, income, or quality childcare</w:t>
            </w:r>
          </w:p>
        </w:tc>
      </w:tr>
    </w:tbl>
    <w:p>
      <w:pPr>
        <w:spacing w:lineRule="auto"/>
      </w:pPr>
    </w:p>
    <w:p>
      <w:pPr>
        <w:spacing w:line="360" w:after="210" w:lineRule="auto"/>
      </w:pPr>
      <w:r>
        <w:rPr>
          <w:rFonts w:eastAsia="source serif 4" w:cs="source serif 4" w:ascii="source serif 4" w:hAnsi="source serif 4"/>
          <w:color w:val="000000"/>
        </w:rPr>
        <w:t xml:space="preserve">A meta-analysis of home learning environments in low- and middle-income countries found a small overall association with language and literacy skills, with larger associations for adult literacy practices and books at home than for home tutoring; the authors also emphasized culturally situated measurement. This supports opportunity-sensitive, not deficit-based, interpretation.</w:t>
      </w:r>
    </w:p>
    <w:p>
      <w:pPr>
        <w:spacing w:line="360" w:before="315" w:after="105" w:lineRule="auto"/>
        <w:ind w:left="-30"/>
        <w:jc w:val="left"/>
      </w:pPr>
      <w:bookmarkStart w:id="21" w:name="intervention_evidence"/>
      <w:r>
        <w:rPr>
          <w:rFonts w:eastAsia="source serif 4" w:cs="source serif 4" w:ascii="source serif 4" w:hAnsi="source serif 4"/>
          <w:b/>
          <w:color w:val="000000"/>
          <w:sz w:val="24"/>
        </w:rPr>
        <w:t xml:space="preserve">Intervention evidence</w:t>
      </w:r>
      <w:bookmarkEnd w:id="21"/>
    </w:p>
    <w:p>
      <w:pPr>
        <w:spacing w:line="360" w:after="210" w:lineRule="auto"/>
      </w:pPr>
      <w:r>
        <w:rPr>
          <w:rFonts w:eastAsia="source serif 4" w:cs="source serif 4" w:ascii="source serif 4" w:hAnsi="source serif 4"/>
          <w:color w:val="000000"/>
        </w:rPr>
        <w:t xml:space="preserve">Intervention evidence is more informative than idealized narratives about “the right” parent. A global systematic review of parenting interventions in the first three years found greater effects on child cognitive development, caregiver knowledge and practices, and parent–child interaction when programs included responsive caregiving. A review of healthcare-delivered early-childhood interventions identified 42 randomized trials involving 15,557 infants; pooled cognitive effects were small, approximately 2.65 points on the Bayley-III cognitive scale with a 95% confidence interval of 0.61 to 4.70, and certainty was low. Effects were not consistently evident at every follow-up age or across speech, language, socioemotional, behavioral, and maternal mental-health outcomes.</w:t>
      </w:r>
    </w:p>
    <w:p>
      <w:pPr>
        <w:spacing w:line="360" w:after="210" w:lineRule="auto"/>
      </w:pPr>
      <w:r>
        <w:rPr>
          <w:rFonts w:eastAsia="source serif 4" w:cs="source serif 4" w:ascii="source serif 4" w:hAnsi="source serif 4"/>
          <w:color w:val="000000"/>
        </w:rPr>
        <w:t xml:space="preserve">The practical inference is proportionate: institutions can reasonably support responsive interaction, parental mental health, safe exploration, accessible books and language, developmental screening, and high-quality services. The evidence does not justify treating parents as sole delivery systems, prescribing maximal stimulation, or promising durable IQ gains. Efficacy, real-world effectiveness, scalability, implementation fidelity, and institutional dependence must be reported separately.</w:t>
      </w:r>
    </w:p>
    <w:p>
      <w:pPr>
        <w:spacing w:line="360" w:before="315" w:after="105" w:lineRule="auto"/>
        <w:ind w:left="-30"/>
        <w:jc w:val="left"/>
      </w:pPr>
      <w:bookmarkStart w:id="22" w:name="replication_and_controversy_register"/>
      <w:r>
        <w:rPr>
          <w:rFonts w:eastAsia="source serif 4" w:cs="source serif 4" w:ascii="source serif 4" w:hAnsi="source serif 4"/>
          <w:b/>
          <w:color w:val="000000"/>
          <w:sz w:val="24"/>
        </w:rPr>
        <w:t xml:space="preserve">Replication and controversy register</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matters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Chapter safeguard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Looking-time overinterpretation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Novelty or surprise can arise from perceptual salience, attention, or task artifacts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 convergent measures, controls, and cautious wording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Replication variability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 samples, flexible analysis, and task sensitivity can inflate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 multi-lab, transparent, preregistered, and direct-replication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Competence–performance gap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Motor, attentional, and memory demands may hide knowledge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Compare looking, reaching, imitation, and transfer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Neurohype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Brain measures can be mistaken for explanations or predictions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the level of inference: circuit, physiology, behavior, or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Laboratory–life gap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Simplified regularities may not represent home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 naturalistic and cross-cultural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WEIRD sampling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theories may overgeneralize from narrow populations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 country, language, family structure, socioeconomic setting, and caregiving ecology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Parent-blaming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practices are constrained by resources, health, work, services, and culture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Attribute effects to systems and opportunities, not technique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differences may be treated as destiny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Report persistence, attenuation, heterogeneity, and later change</w:t>
            </w:r>
          </w:p>
        </w:tc>
      </w:tr>
    </w:tbl>
    <w:p>
      <w:pPr>
        <w:spacing w:lineRule="auto"/>
      </w:pPr>
    </w:p>
    <w:p>
      <w:pPr>
        <w:spacing w:line="360" w:after="210" w:lineRule="auto"/>
      </w:pPr>
      <w:r>
        <w:rPr>
          <w:rFonts w:eastAsia="source serif 4" w:cs="source serif 4" w:ascii="source serif 4" w:hAnsi="source serif 4"/>
          <w:color w:val="000000"/>
        </w:rPr>
        <w:t xml:space="preserve">Infant research has an active replication and reproducibility discussion, including collaborative efforts to improve transparency and cumulative evidence. The chapter should treat controversy as part of the science rather than as a reason to dismiss infant cognition wholesale.</w:t>
      </w:r>
    </w:p>
    <w:p>
      <w:pPr>
        <w:spacing w:line="360" w:before="315" w:after="105" w:lineRule="auto"/>
        <w:ind w:left="-30"/>
        <w:jc w:val="left"/>
      </w:pPr>
      <w:bookmarkStart w:id="23" w:name="parent_facing_translation_table"/>
      <w:r>
        <w:rPr>
          <w:rFonts w:eastAsia="source serif 4" w:cs="source serif 4" w:ascii="source serif 4" w:hAnsi="source serif 4"/>
          <w:b/>
          <w:color w:val="000000"/>
          <w:sz w:val="24"/>
        </w:rPr>
        <w:t xml:space="preserve">Parent-facing translation table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Evidence-based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saying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learn through repeated, contingent interaction and active exploration.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moment must be educational.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Talk, gesture, gaze, and shared attention create learning 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specific word count guarantees intelligence.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Babies differ in attention, reactivity, and pace.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temperament fixes personality or 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Simple play can provide useful opportunities for prediction and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Expensive enrichment products are necessary.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care is valuable, and families need support to provide 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Outcomes are solely a parent’s responsibility.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Sensitive periods mean timing matters for some systems.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Missing a deadline permanently closes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differences warrant observation and, when needed,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laboratory difference diagnoses a child or predicts their future.</w:t>
            </w:r>
          </w:p>
        </w:tc>
      </w:tr>
    </w:tbl>
    <w:p>
      <w:pPr>
        <w:spacing w:lineRule="auto"/>
      </w:pPr>
    </w:p>
    <w:p>
      <w:pPr>
        <w:spacing w:line="360" w:before="315" w:after="105" w:lineRule="auto"/>
        <w:ind w:left="-30"/>
        <w:jc w:val="left"/>
      </w:pPr>
      <w:bookmarkStart w:id="24" w:name="what_cannot_be_inferred"/>
      <w:r>
        <w:rPr>
          <w:rFonts w:eastAsia="source serif 4" w:cs="source serif 4" w:ascii="source serif 4" w:hAnsi="source serif 4"/>
          <w:b/>
          <w:color w:val="000000"/>
          <w:sz w:val="24"/>
        </w:rPr>
        <w:t xml:space="preserve">What cannot be inferred</w:t>
      </w:r>
      <w:bookmarkEnd w:id="24"/>
    </w:p>
    <w:p>
      <w:pPr>
        <w:numPr>
          <w:ilvl w:val="0"/>
          <w:numId w:val="1"/>
        </w:numPr>
        <w:spacing w:line="360" w:before="105" w:after="105" w:lineRule="auto"/>
      </w:pPr>
      <w:r>
        <w:rPr>
          <w:rFonts w:eastAsia="source serif 4" w:cs="source serif 4" w:ascii="source serif 4" w:hAnsi="source serif 4"/>
          <w:color w:val="000000"/>
          <w:sz w:val="21"/>
        </w:rPr>
        <w:t xml:space="preserve">Early cognitive performance does not guarantee later school achievement, intelligence, or life success.</w:t>
      </w:r>
    </w:p>
    <w:p>
      <w:pPr>
        <w:numPr>
          <w:ilvl w:val="0"/>
          <w:numId w:val="1"/>
        </w:numPr>
        <w:spacing w:line="360" w:before="105" w:after="105" w:lineRule="auto"/>
      </w:pPr>
      <w:r>
        <w:rPr>
          <w:rFonts w:eastAsia="source serif 4" w:cs="source serif 4" w:ascii="source serif 4" w:hAnsi="source serif 4"/>
          <w:color w:val="000000"/>
          <w:sz w:val="21"/>
        </w:rPr>
        <w:t xml:space="preserve">A sensitive period does not imply a universal deadline or irreversible failure after it.</w:t>
      </w:r>
    </w:p>
    <w:p>
      <w:pPr>
        <w:numPr>
          <w:ilvl w:val="0"/>
          <w:numId w:val="1"/>
        </w:numPr>
        <w:spacing w:line="360" w:before="105" w:after="105" w:lineRule="auto"/>
      </w:pPr>
      <w:r>
        <w:rPr>
          <w:rFonts w:eastAsia="source serif 4" w:cs="source serif 4" w:ascii="source serif 4" w:hAnsi="source serif 4"/>
          <w:color w:val="000000"/>
          <w:sz w:val="21"/>
        </w:rPr>
        <w:t xml:space="preserve">A neural difference does not automatically explain a behavior or establish a cause.</w:t>
      </w:r>
    </w:p>
    <w:p>
      <w:pPr>
        <w:numPr>
          <w:ilvl w:val="0"/>
          <w:numId w:val="1"/>
        </w:numPr>
        <w:spacing w:line="360" w:before="105" w:after="105" w:lineRule="auto"/>
      </w:pPr>
      <w:r>
        <w:rPr>
          <w:rFonts w:eastAsia="source serif 4" w:cs="source serif 4" w:ascii="source serif 4" w:hAnsi="source serif 4"/>
          <w:color w:val="000000"/>
          <w:sz w:val="21"/>
        </w:rPr>
        <w:t xml:space="preserve">More stimulation is not necessarily better; rest, regulation, safety, and child-led exploration also matter.</w:t>
      </w:r>
    </w:p>
    <w:p>
      <w:pPr>
        <w:numPr>
          <w:ilvl w:val="0"/>
          <w:numId w:val="1"/>
        </w:numPr>
        <w:spacing w:line="360" w:before="105" w:after="105" w:lineRule="auto"/>
      </w:pPr>
      <w:r>
        <w:rPr>
          <w:rFonts w:eastAsia="source serif 4" w:cs="source serif 4" w:ascii="source serif 4" w:hAnsi="source serif 4"/>
          <w:color w:val="000000"/>
          <w:sz w:val="21"/>
        </w:rPr>
        <w:t xml:space="preserve">Statistical learning is one mechanism among several, not a complete theory of learning.</w:t>
      </w:r>
    </w:p>
    <w:p>
      <w:pPr>
        <w:numPr>
          <w:ilvl w:val="0"/>
          <w:numId w:val="1"/>
        </w:numPr>
        <w:spacing w:line="360" w:before="105" w:after="105" w:lineRule="auto"/>
      </w:pPr>
      <w:r>
        <w:rPr>
          <w:rFonts w:eastAsia="source serif 4" w:cs="source serif 4" w:ascii="source serif 4" w:hAnsi="source serif 4"/>
          <w:color w:val="000000"/>
          <w:sz w:val="21"/>
        </w:rPr>
        <w:t xml:space="preserve">Environmental associations do not erase biological influences, and biological influences do not erase environmental effects.</w:t>
      </w:r>
    </w:p>
    <w:p>
      <w:pPr>
        <w:numPr>
          <w:ilvl w:val="0"/>
          <w:numId w:val="1"/>
        </w:numPr>
        <w:spacing w:line="360" w:before="105" w:after="105" w:lineRule="auto"/>
      </w:pPr>
      <w:r>
        <w:rPr>
          <w:rFonts w:eastAsia="source serif 4" w:cs="source serif 4" w:ascii="source serif 4" w:hAnsi="source serif 4"/>
          <w:color w:val="000000"/>
          <w:sz w:val="21"/>
        </w:rPr>
        <w:t xml:space="preserve">A group mean does not define an individual child.</w:t>
      </w:r>
    </w:p>
    <w:p>
      <w:pPr>
        <w:numPr>
          <w:ilvl w:val="0"/>
          <w:numId w:val="1"/>
        </w:numPr>
        <w:spacing w:line="360" w:before="105" w:after="105" w:lineRule="auto"/>
      </w:pPr>
      <w:r>
        <w:rPr>
          <w:rFonts w:eastAsia="source serif 4" w:cs="source serif 4" w:ascii="source serif 4" w:hAnsi="source serif 4"/>
          <w:color w:val="000000"/>
          <w:sz w:val="21"/>
        </w:rPr>
        <w:t xml:space="preserve">A parent-mediated intervention cannot be assumed to replace material security, health care, childcare quality, or institutional support.</w:t>
      </w:r>
    </w:p>
    <w:p>
      <w:pPr>
        <w:numPr>
          <w:ilvl w:val="0"/>
          <w:numId w:val="1"/>
        </w:numPr>
        <w:spacing w:line="360" w:before="105" w:after="105" w:lineRule="auto"/>
      </w:pPr>
      <w:r>
        <w:rPr>
          <w:rFonts w:eastAsia="source serif 4" w:cs="source serif 4" w:ascii="source serif 4" w:hAnsi="source serif 4"/>
          <w:color w:val="000000"/>
          <w:sz w:val="21"/>
        </w:rPr>
        <w:t xml:space="preserve">A difference from a developmental average is not by itself developmental failure.</w:t>
      </w:r>
    </w:p>
    <w:p>
      <w:pPr>
        <w:numPr>
          <w:ilvl w:val="0"/>
          <w:numId w:val="1"/>
        </w:numPr>
        <w:spacing w:line="360" w:before="105" w:after="105" w:lineRule="auto"/>
      </w:pPr>
      <w:r>
        <w:rPr>
          <w:rFonts w:eastAsia="source serif 4" w:cs="source serif 4" w:ascii="source serif 4" w:hAnsi="source serif 4"/>
          <w:color w:val="000000"/>
          <w:sz w:val="21"/>
        </w:rPr>
        <w:t xml:space="preserve">Early capacities are not adult-like concepts, intentions, memories, or theories.</w:t>
      </w:r>
    </w:p>
    <w:p>
      <w:pPr>
        <w:spacing w:line="360" w:before="315" w:after="105" w:lineRule="auto"/>
        <w:ind w:left="-30"/>
        <w:jc w:val="left"/>
      </w:pPr>
      <w:bookmarkStart w:id="25" w:name="chapter_synthesis_memo"/>
      <w:r>
        <w:rPr>
          <w:rFonts w:eastAsia="source serif 4" w:cs="source serif 4" w:ascii="source serif 4" w:hAnsi="source serif 4"/>
          <w:b/>
          <w:color w:val="000000"/>
          <w:sz w:val="24"/>
        </w:rPr>
        <w:t xml:space="preserve">Chapter synthesis memo</w:t>
      </w:r>
      <w:bookmarkEnd w:id="25"/>
    </w:p>
    <w:p>
      <w:pPr>
        <w:spacing w:line="360" w:after="210" w:lineRule="auto"/>
      </w:pPr>
      <w:r>
        <w:rPr>
          <w:rFonts w:eastAsia="source serif 4" w:cs="source serif 4" w:ascii="source serif 4" w:hAnsi="source serif 4"/>
          <w:color w:val="000000"/>
        </w:rPr>
        <w:t xml:space="preserve">The strongest defensible conclusion is that infants begin with biological organization that makes learning possible, but development depends on the infant’s ongoing transactions with sensory, social, linguistic, physical, and institutional environments. Their minds are constructed through a reciprocal process: they select and transform input, while input changes the systems that make later selection and transformation possible.</w:t>
      </w:r>
    </w:p>
    <w:p>
      <w:pPr>
        <w:spacing w:line="360" w:after="210" w:lineRule="auto"/>
      </w:pPr>
      <w:r>
        <w:rPr>
          <w:rFonts w:eastAsia="source serif 4" w:cs="source serif 4" w:ascii="source serif 4" w:hAnsi="source serif 4"/>
          <w:color w:val="000000"/>
        </w:rPr>
        <w:t xml:space="preserve">The chapter should end neither with a blank-slate metaphor nor with a preloaded-mind metaphor. A better image is a developing model-builder: initially equipped with perceptual biases, learning procedures, bodily capacities, and social orientations, but dependent on experience to calibrate what matters, what persists, what predicts, whom to trust, and how actions change the world. The scientific claim remains modest; the human significance is large.</w:t>
      </w:r>
    </w:p>
    <w:p>
      <w:pPr>
        <w:spacing w:line="360" w:after="210" w:lineRule="auto"/>
        <w:ind w:left="630"/>
      </w:pPr>
      <w:r>
        <w:rPr>
          <w:rFonts w:eastAsia="source serif 4" w:cs="source serif 4" w:ascii="source serif 4" w:hAnsi="source serif 4"/>
          <w:color w:val="000000"/>
        </w:rPr>
        <w:t xml:space="preserve">Human infants do not enter the world as blank slates, nor as fully formed thinkers. They arrive with capacities for perception, attention, learning, memory, and adaptation. Through interaction with caregivers, objects, language, and the wider environment, they construct increasingly sophisticated models of the world. Development is neither the unfolding of a fixed program nor the simple accumulation of experience; it is the active transformation of a biological organism into an increasingly capable participant in meaning-making.</w:t>
      </w:r>
    </w:p>
    <w:p>
      <w:pPr>
        <w:spacing w:line="360" w:before="315" w:after="105" w:lineRule="auto"/>
        <w:ind w:left="-30"/>
        <w:jc w:val="left"/>
      </w:pPr>
      <w:bookmarkStart w:id="26" w:name="research_gaps_before_drafting"/>
      <w:r>
        <w:rPr>
          <w:rFonts w:eastAsia="source serif 4" w:cs="source serif 4" w:ascii="source serif 4" w:hAnsi="source serif 4"/>
          <w:b/>
          <w:color w:val="000000"/>
          <w:sz w:val="24"/>
        </w:rPr>
        <w:t xml:space="preserve">Research gaps before drafting</w:t>
      </w:r>
      <w:bookmarkEnd w:id="26"/>
    </w:p>
    <w:p>
      <w:pPr>
        <w:numPr>
          <w:ilvl w:val="0"/>
          <w:numId w:val="2"/>
        </w:numPr>
        <w:spacing w:line="360" w:before="105" w:after="105" w:lineRule="auto"/>
      </w:pPr>
      <w:r>
        <w:rPr>
          <w:rFonts w:eastAsia="source serif 4" w:cs="source serif 4" w:ascii="source serif 4" w:hAnsi="source serif 4"/>
          <w:color w:val="000000"/>
          <w:sz w:val="21"/>
        </w:rPr>
        <w:t xml:space="preserve">Add primary sources for the historical transition from Piaget and behaviorism to information-processing and contemporary cognitive science.</w:t>
      </w:r>
    </w:p>
    <w:p>
      <w:pPr>
        <w:numPr>
          <w:ilvl w:val="0"/>
          <w:numId w:val="2"/>
        </w:numPr>
        <w:spacing w:line="360" w:before="105" w:after="105" w:lineRule="auto"/>
      </w:pPr>
      <w:r>
        <w:rPr>
          <w:rFonts w:eastAsia="source serif 4" w:cs="source serif 4" w:ascii="source serif 4" w:hAnsi="source serif 4"/>
          <w:color w:val="000000"/>
          <w:sz w:val="21"/>
        </w:rPr>
        <w:t xml:space="preserve">Audit direct replications and failed or attenuated replications for the most influential violation-of-expectation and statistical-learning paradigms.</w:t>
      </w:r>
    </w:p>
    <w:p>
      <w:pPr>
        <w:numPr>
          <w:ilvl w:val="0"/>
          <w:numId w:val="2"/>
        </w:numPr>
        <w:spacing w:line="360" w:before="105" w:after="105" w:lineRule="auto"/>
      </w:pPr>
      <w:r>
        <w:rPr>
          <w:rFonts w:eastAsia="source serif 4" w:cs="source serif 4" w:ascii="source serif 4" w:hAnsi="source serif 4"/>
          <w:color w:val="000000"/>
          <w:sz w:val="21"/>
        </w:rPr>
        <w:t xml:space="preserve">Expand cross-cultural evidence beyond high-income and WEIRD samples, with special attention to multilingual homes and caregiving ecologies.</w:t>
      </w:r>
    </w:p>
    <w:p>
      <w:pPr>
        <w:numPr>
          <w:ilvl w:val="0"/>
          <w:numId w:val="2"/>
        </w:numPr>
        <w:spacing w:line="360" w:before="105" w:after="105" w:lineRule="auto"/>
      </w:pPr>
      <w:r>
        <w:rPr>
          <w:rFonts w:eastAsia="source serif 4" w:cs="source serif 4" w:ascii="source serif 4" w:hAnsi="source serif 4"/>
          <w:color w:val="000000"/>
          <w:sz w:val="21"/>
        </w:rPr>
        <w:t xml:space="preserve">Separate infant outcomes from toddler outcomes in intervention meta-analyses and track persistence beyond age 3 where available.</w:t>
      </w:r>
    </w:p>
    <w:p>
      <w:pPr>
        <w:numPr>
          <w:ilvl w:val="0"/>
          <w:numId w:val="2"/>
        </w:numPr>
        <w:spacing w:line="360" w:before="105" w:after="105" w:lineRule="auto"/>
      </w:pPr>
      <w:r>
        <w:rPr>
          <w:rFonts w:eastAsia="source serif 4" w:cs="source serif 4" w:ascii="source serif 4" w:hAnsi="source serif 4"/>
          <w:color w:val="000000"/>
          <w:sz w:val="21"/>
        </w:rPr>
        <w:t xml:space="preserve">Add a dedicated evidence card on active exploration and action-based learning, which currently links the perception, causality, and caregiver modules.</w:t>
      </w:r>
    </w:p>
    <w:p>
      <w:pPr>
        <w:numPr>
          <w:ilvl w:val="0"/>
          <w:numId w:val="2"/>
        </w:numPr>
        <w:spacing w:line="360" w:before="105" w:after="105" w:lineRule="auto"/>
      </w:pPr>
      <w:r>
        <w:rPr>
          <w:rFonts w:eastAsia="source serif 4" w:cs="source serif 4" w:ascii="source serif 4" w:hAnsi="source serif 4"/>
          <w:color w:val="000000"/>
          <w:sz w:val="21"/>
        </w:rPr>
        <w:t xml:space="preserve">Add clinical and developmental-diversity evidence without treating neurodevelopmental variation as a single contrast with “typical” development.</w:t>
      </w:r>
    </w:p>
    <w:p>
      <w:pPr>
        <w:numPr>
          <w:ilvl w:val="0"/>
          <w:numId w:val="2"/>
        </w:numPr>
        <w:spacing w:line="360" w:before="105" w:after="105" w:lineRule="auto"/>
      </w:pPr>
      <w:r>
        <w:rPr>
          <w:rFonts w:eastAsia="source serif 4" w:cs="source serif 4" w:ascii="source serif 4" w:hAnsi="source serif 4"/>
          <w:color w:val="000000"/>
          <w:sz w:val="21"/>
        </w:rPr>
        <w:t xml:space="preserve">For every proposed brain claim, identify the precise measure, developmental window, behavioral correlate, and level of causal inference.</w:t>
      </w:r>
    </w:p>
    <w:p>
      <w:pPr>
        <w:spacing w:line="360" w:before="315" w:after="105" w:lineRule="auto"/>
        <w:ind w:left="-30"/>
        <w:jc w:val="left"/>
      </w:pPr>
      <w:bookmarkStart w:id="27" w:name="evidence_base_used_for_this_preli_807802"/>
      <w:r>
        <w:rPr>
          <w:rFonts w:eastAsia="source serif 4" w:cs="source serif 4" w:ascii="source serif 4" w:hAnsi="source serif 4"/>
          <w:b/>
          <w:color w:val="000000"/>
          <w:sz w:val="24"/>
        </w:rPr>
        <w:t xml:space="preserve">Evidence base used for this preliminary plan</w:t>
      </w:r>
      <w:bookmarkEnd w:id="27"/>
    </w:p>
    <w:p>
      <w:pPr>
        <w:spacing w:line="360" w:after="210" w:lineRule="auto"/>
      </w:pPr>
      <w:r>
        <w:rPr>
          <w:rFonts w:eastAsia="source serif 4" w:cs="source serif 4" w:ascii="source serif 4" w:hAnsi="source serif 4"/>
          <w:color w:val="000000"/>
        </w:rPr>
        <w:t xml:space="preserve">This plan draws on methodological reviews of habituation and looking-time research; syntheses of infant statistical learning, perceptual narrowing, memory, physical reasoning, joint attention, temperament, plasticity, cross-cultural developmental research, and randomized early-development interventions. The cited evidence supports the research architecture and provisional claims but does not replace a later systematic search and claim-by-claim primary-source audit.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2026-09-03T11:41:54.580Z</dcterms:created>
  <dcterms:modified xsi:type="dcterms:W3CDTF">2026-09-03T11:41:54.580Z</dcterms:modified>
</cp:coreProperties>
</file>