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OpenBilanz-UG</w:t>
      </w:r>
    </w:p>
    <w:p>
      <w:r>
        <w:rPr>
          <w:b/>
          <w:sz w:val="30"/>
        </w:rPr>
        <w:t>Projektübergabe - Baseline v0.31.0</w:t>
      </w:r>
    </w:p>
    <w:p>
      <w:r>
        <w:t>Stand: 14. August 2026 | Wiederanlaufdokument für einen neuen Entwicklungs-Chat.</w:t>
      </w:r>
    </w:p>
    <w:p>
      <w:pPr>
        <w:pStyle w:val="Heading1"/>
      </w:pPr>
      <w:r>
        <w:t>1. Übergabe in Kurzform</w:t>
      </w:r>
    </w:p>
    <w:p>
      <w:pPr>
        <w:pStyle w:val="ListBullet"/>
      </w:pPr>
      <w:r>
        <w:t>Baseline v0.31.0 ist committed und getaggt; main war mit origin/main synchron und der Working Tree clean.</w:t>
      </w:r>
    </w:p>
    <w:p>
      <w:pPr>
        <w:pStyle w:val="ListBullet"/>
      </w:pPr>
      <w:r>
        <w:t>Qualität: 818 Tests bestanden; Ruff-Checks waren sauber.</w:t>
      </w:r>
    </w:p>
    <w:p>
      <w:pPr>
        <w:pStyle w:val="ListBullet"/>
      </w:pPr>
      <w:r>
        <w:t>Fachlicher Meilenstein: GCD und GAAP-CI sind bis zu einer von Arelle validierten E-Bilanz durchgängig integriert.</w:t>
      </w:r>
    </w:p>
    <w:p>
      <w:pPr>
        <w:pStyle w:val="ListBullet"/>
      </w:pPr>
      <w:r>
        <w:t>Golden Path: persistente Buchungen -&gt; Ledger/SuSa -&gt; HGB-GuV -&gt; Jahresabschluss -&gt; HGB-Bilanz -&gt; GAAP-CI + GCD -&gt; XBRL -&gt; Arelle.</w:t>
      </w:r>
    </w:p>
    <w:p>
      <w:pPr>
        <w:pStyle w:val="ListBullet"/>
      </w:pPr>
      <w:r>
        <w:t>Nächster Schwerpunkt: v0.32.0 - vorhandene Tkinter-GUI an diesen Backend-Golden-Path anbinden.</w:t>
      </w:r>
    </w:p>
    <w:p>
      <w:pPr>
        <w:pStyle w:val="Heading1"/>
      </w:pPr>
      <w:r>
        <w:t>2. Projektziel</w:t>
      </w:r>
    </w:p>
    <w:p>
      <w:r>
        <w:t>OpenBilanz-UG ist eine lokale Buchhaltungs- und E-Bilanz-Anwendung für eine UG. Sie soll Buchungen und Jahresabschluss fachlich abbilden und aus HGB-Bilanz, GuV sowie GCD-Daten eine valide E-Bilanz/XBRL-Instanz erzeugen.</w:t>
      </w:r>
    </w:p>
    <w:p>
      <w:pPr>
        <w:pStyle w:val="Heading1"/>
      </w:pPr>
      <w:r>
        <w:t>3. Architekturentscheidungen</w:t>
      </w:r>
    </w:p>
    <w:p>
      <w:r>
        <w:rPr>
          <w:b/>
        </w:rPr>
        <w:t xml:space="preserve">Python: </w:t>
      </w:r>
      <w:r>
        <w:t>Python 3.12; lokale Entwicklung auf macOS mit pyenv und virtueller Umgebung.</w:t>
      </w:r>
    </w:p>
    <w:p>
      <w:r>
        <w:rPr>
          <w:b/>
        </w:rPr>
        <w:t xml:space="preserve">Datenbank: </w:t>
      </w:r>
      <w:r>
        <w:t>SQLite ist derzeit die praktische Single-User-Datenbank. PostgreSQL bleibt bevorzugte spätere Option für Multi-User-/kleine Netzwerk-Installationen.</w:t>
      </w:r>
    </w:p>
    <w:p>
      <w:r>
        <w:rPr>
          <w:b/>
        </w:rPr>
        <w:t xml:space="preserve">Taxonomien: </w:t>
      </w:r>
      <w:r>
        <w:t>Offizielle Taxonomiedateien als importierbare Modelle; keine manuell nachgebauten Taxonomien. Später Auswahl/Import über die GUI.</w:t>
      </w:r>
    </w:p>
    <w:p>
      <w:r>
        <w:rPr>
          <w:b/>
        </w:rPr>
        <w:t xml:space="preserve">XBRL/Arelle: </w:t>
      </w:r>
      <w:r>
        <w:t>Arelle zum Laden/Prüfen der Taxonomie und zur Validierung erzeugter XBRL-Instanzen.</w:t>
      </w:r>
    </w:p>
    <w:p>
      <w:r>
        <w:rPr>
          <w:b/>
        </w:rPr>
        <w:t xml:space="preserve">HGB -&gt; GAAP-CI: </w:t>
      </w:r>
      <w:r>
        <w:t>Explizites Mapping von HGB-Abschlusspositionen auf GAAP-CI-Konzepte.</w:t>
      </w:r>
    </w:p>
    <w:p>
      <w:r>
        <w:rPr>
          <w:b/>
        </w:rPr>
        <w:t xml:space="preserve">GUI: </w:t>
      </w:r>
      <w:r>
        <w:t>Tkinter ist bereits vorhanden. Die GUI soll die bestehende Fachlogik orchestrieren, nicht duplizieren.</w:t>
      </w:r>
    </w:p>
    <w:p>
      <w:pPr>
        <w:pStyle w:val="Heading1"/>
      </w:pPr>
      <w:r>
        <w:t>4. Fachlicher Stand v0.31.0</w:t>
      </w:r>
    </w:p>
    <w:p>
      <w:pPr>
        <w:pStyle w:val="ListBullet"/>
      </w:pPr>
      <w:r>
        <w:t>Persistente Buchungen und Rekonstruktion zu Journal/Ledger sind vorhanden.</w:t>
      </w:r>
    </w:p>
    <w:p>
      <w:pPr>
        <w:pStyle w:val="ListBullet"/>
      </w:pPr>
      <w:r>
        <w:t>HGB-Bilanz- und GuV-Strukturen sowie FinancialStatementBuilder/Mapping sind vorhanden.</w:t>
      </w:r>
    </w:p>
    <w:p>
      <w:pPr>
        <w:pStyle w:val="ListBullet"/>
      </w:pPr>
      <w:r>
        <w:t>Jahresabschluss schließt Erlös-/Aufwandskonten und erzeugt die Ergebnisbuchung.</w:t>
      </w:r>
    </w:p>
    <w:p>
      <w:pPr>
        <w:pStyle w:val="ListBullet"/>
      </w:pPr>
      <w:r>
        <w:t>GCD-Erzeugung ist implementiert.</w:t>
      </w:r>
    </w:p>
    <w:p>
      <w:pPr>
        <w:pStyle w:val="ListBullet"/>
      </w:pPr>
      <w:r>
        <w:t>GAAP-CI-Mapping für HGB-Bilanz und Gesamtkostenverfahren ist implementiert.</w:t>
      </w:r>
    </w:p>
    <w:p>
      <w:pPr>
        <w:pStyle w:val="ListBullet"/>
      </w:pPr>
      <w:r>
        <w:t>EBilanzBuilder kombiniert GCD- und GAAP-CI-Facts zur XBRL-Instanz.</w:t>
      </w:r>
    </w:p>
    <w:p>
      <w:pPr>
        <w:pStyle w:val="ListBullet"/>
      </w:pPr>
      <w:r>
        <w:t>Taxonomie 6.10 wurde im Golden-End-to-End-Test verwendet; Arelle validiert die Instanz erfolgreich.</w:t>
      </w:r>
    </w:p>
    <w:p>
      <w:pPr>
        <w:pStyle w:val="Heading1"/>
      </w:pPr>
      <w:r>
        <w:t>5. Golden Reference Scenario</w:t>
      </w:r>
    </w:p>
    <w:p>
      <w:r>
        <w:t>Das Referenzszenario führt reale persistierte Geschäftsvorfälle durch die gesamte Anwendungskette; Abschlusswerte werden nicht künstlich direkt in den E-Bilanz-Test geschrieben.</w:t>
      </w:r>
    </w:p>
    <w:p>
      <w:pPr>
        <w:pStyle w:val="IntenseQuote"/>
      </w:pPr>
      <w:r>
        <w:t>Persistente Geschäftsvorfälle -&gt; Ledger -&gt; HGB-GuV -&gt; Jahresabschluss -&gt; abgeschlossenes Ledger -&gt; HGB-Bilanz -&gt; EBilanzBuilder -&gt; GAAP-CI + GCD -&gt; XBRL -&gt; Arelle</w:t>
      </w:r>
    </w:p>
    <w:tbl>
      <w:tblPr>
        <w:tblStyle w:val="TableGrid"/>
        <w:tblW w:type="auto" w:w="0"/>
        <w:tblLook w:firstColumn="1" w:firstRow="1" w:lastColumn="0" w:lastRow="0" w:noHBand="0" w:noVBand="1" w:val="04A0"/>
      </w:tblPr>
      <w:tblGrid>
        <w:gridCol w:w="4968"/>
        <w:gridCol w:w="4968"/>
      </w:tblGrid>
      <w:tr>
        <w:tc>
          <w:tcPr>
            <w:tcW w:type="dxa" w:w="4968"/>
          </w:tcPr>
          <w:p>
            <w:r>
              <w:t>Kontrollgröße</w:t>
            </w:r>
          </w:p>
        </w:tc>
        <w:tc>
          <w:tcPr>
            <w:tcW w:type="dxa" w:w="4968"/>
          </w:tcPr>
          <w:p>
            <w:r>
              <w:t>Erwarteter Wert</w:t>
            </w:r>
          </w:p>
        </w:tc>
      </w:tr>
      <w:tr>
        <w:tc>
          <w:tcPr>
            <w:tcW w:type="dxa" w:w="4968"/>
          </w:tcPr>
          <w:p>
            <w:r>
              <w:t>Ausgangsbuchungen</w:t>
            </w:r>
          </w:p>
        </w:tc>
        <w:tc>
          <w:tcPr>
            <w:tcW w:type="dxa" w:w="4968"/>
          </w:tcPr>
          <w:p>
            <w:r>
              <w:t>20</w:t>
            </w:r>
          </w:p>
        </w:tc>
      </w:tr>
      <w:tr>
        <w:tc>
          <w:tcPr>
            <w:tcW w:type="dxa" w:w="4968"/>
          </w:tcPr>
          <w:p>
            <w:r>
              <w:t>Buchungen nach Jahresabschluss</w:t>
            </w:r>
          </w:p>
        </w:tc>
        <w:tc>
          <w:tcPr>
            <w:tcW w:type="dxa" w:w="4968"/>
          </w:tcPr>
          <w:p>
            <w:r>
              <w:t>33</w:t>
            </w:r>
          </w:p>
        </w:tc>
      </w:tr>
      <w:tr>
        <w:tc>
          <w:tcPr>
            <w:tcW w:type="dxa" w:w="4968"/>
          </w:tcPr>
          <w:p>
            <w:r>
              <w:t>Umsatzerlöse HGB.275.GKV.1</w:t>
            </w:r>
          </w:p>
        </w:tc>
        <w:tc>
          <w:tcPr>
            <w:tcW w:type="dxa" w:w="4968"/>
          </w:tcPr>
          <w:p>
            <w:r>
              <w:t>16.000,00 EUR</w:t>
            </w:r>
          </w:p>
        </w:tc>
      </w:tr>
      <w:tr>
        <w:tc>
          <w:tcPr>
            <w:tcW w:type="dxa" w:w="4968"/>
          </w:tcPr>
          <w:p>
            <w:r>
              <w:t>Sonstige betriebliche Erträge HGB.275.GKV.4</w:t>
            </w:r>
          </w:p>
        </w:tc>
        <w:tc>
          <w:tcPr>
            <w:tcW w:type="dxa" w:w="4968"/>
          </w:tcPr>
          <w:p>
            <w:r>
              <w:t>500,00 EUR</w:t>
            </w:r>
          </w:p>
        </w:tc>
      </w:tr>
      <w:tr>
        <w:tc>
          <w:tcPr>
            <w:tcW w:type="dxa" w:w="4968"/>
          </w:tcPr>
          <w:p>
            <w:r>
              <w:t>Gesamterträge</w:t>
            </w:r>
          </w:p>
        </w:tc>
        <w:tc>
          <w:tcPr>
            <w:tcW w:type="dxa" w:w="4968"/>
          </w:tcPr>
          <w:p>
            <w:r>
              <w:t>16.500,00 EUR</w:t>
            </w:r>
          </w:p>
        </w:tc>
      </w:tr>
      <w:tr>
        <w:tc>
          <w:tcPr>
            <w:tcW w:type="dxa" w:w="4968"/>
          </w:tcPr>
          <w:p>
            <w:r>
              <w:t>Aufwendungen</w:t>
            </w:r>
          </w:p>
        </w:tc>
        <w:tc>
          <w:tcPr>
            <w:tcW w:type="dxa" w:w="4968"/>
          </w:tcPr>
          <w:p>
            <w:r>
              <w:t>11.420,00 EUR</w:t>
            </w:r>
          </w:p>
        </w:tc>
      </w:tr>
      <w:tr>
        <w:tc>
          <w:tcPr>
            <w:tcW w:type="dxa" w:w="4968"/>
          </w:tcPr>
          <w:p>
            <w:r>
              <w:t>Jahresüberschuss</w:t>
            </w:r>
          </w:p>
        </w:tc>
        <w:tc>
          <w:tcPr>
            <w:tcW w:type="dxa" w:w="4968"/>
          </w:tcPr>
          <w:p>
            <w:r>
              <w:t>5.080,00 EUR</w:t>
            </w:r>
          </w:p>
        </w:tc>
      </w:tr>
      <w:tr>
        <w:tc>
          <w:tcPr>
            <w:tcW w:type="dxa" w:w="4968"/>
          </w:tcPr>
          <w:p>
            <w:r>
              <w:t>Bilanzsumme Aktiva</w:t>
            </w:r>
          </w:p>
        </w:tc>
        <w:tc>
          <w:tcPr>
            <w:tcW w:type="dxa" w:w="4968"/>
          </w:tcPr>
          <w:p>
            <w:r>
              <w:t>21.810,00 EUR</w:t>
            </w:r>
          </w:p>
        </w:tc>
      </w:tr>
      <w:tr>
        <w:tc>
          <w:tcPr>
            <w:tcW w:type="dxa" w:w="4968"/>
          </w:tcPr>
          <w:p>
            <w:r>
              <w:t>Bilanzsumme Passiva</w:t>
            </w:r>
          </w:p>
        </w:tc>
        <w:tc>
          <w:tcPr>
            <w:tcW w:type="dxa" w:w="4968"/>
          </w:tcPr>
          <w:p>
            <w:r>
              <w:t>21.810,00 EUR</w:t>
            </w:r>
          </w:p>
        </w:tc>
      </w:tr>
      <w:tr>
        <w:tc>
          <w:tcPr>
            <w:tcW w:type="dxa" w:w="4968"/>
          </w:tcPr>
          <w:p>
            <w:r>
              <w:t>Bank</w:t>
            </w:r>
          </w:p>
        </w:tc>
        <w:tc>
          <w:tcPr>
            <w:tcW w:type="dxa" w:w="4968"/>
          </w:tcPr>
          <w:p>
            <w:r>
              <w:t>13.905,00 EUR</w:t>
            </w:r>
          </w:p>
        </w:tc>
      </w:tr>
      <w:tr>
        <w:tc>
          <w:tcPr>
            <w:tcW w:type="dxa" w:w="4968"/>
          </w:tcPr>
          <w:p>
            <w:r>
              <w:t>Gezeichnetes Kapital</w:t>
            </w:r>
          </w:p>
        </w:tc>
        <w:tc>
          <w:tcPr>
            <w:tcW w:type="dxa" w:w="4968"/>
          </w:tcPr>
          <w:p>
            <w:r>
              <w:t>12.500,00 EUR</w:t>
            </w:r>
          </w:p>
        </w:tc>
      </w:tr>
    </w:tbl>
    <w:p>
      <w:pPr>
        <w:pStyle w:val="Heading1"/>
      </w:pPr>
      <w:r>
        <w:t>6. Wichtige Produktionsdateien</w:t>
      </w:r>
    </w:p>
    <w:p>
      <w:pPr>
        <w:pStyle w:val="ListBullet"/>
      </w:pPr>
      <w:r>
        <w:t>src/openbilanz/taxonomy/e_bilanz_builder.py - Orchestriert GCD + GAAP-CI und erzeugt die vollständige E-Bilanz.</w:t>
      </w:r>
    </w:p>
    <w:p>
      <w:pPr>
        <w:pStyle w:val="ListBullet"/>
      </w:pPr>
      <w:r>
        <w:t>src/openbilanz/taxonomy/gaap_ci_statement_builder.py - GAAP-CI-Abschlussfacts aus HGB-Abschlusswerten.</w:t>
      </w:r>
    </w:p>
    <w:p>
      <w:pPr>
        <w:pStyle w:val="ListBullet"/>
      </w:pPr>
      <w:r>
        <w:t>src/openbilanz/taxonomy/hgb_gaap_ci_mapping.py - Mapping HGB-Abschlussposition -&gt; GAAP-CI-Konzept.</w:t>
      </w:r>
    </w:p>
    <w:p>
      <w:pPr>
        <w:pStyle w:val="ListBullet"/>
      </w:pPr>
      <w:r>
        <w:t>src/openbilanz/taxonomy/gcd_fact_builder.py - GCD-Fact-Erzeugung.</w:t>
      </w:r>
    </w:p>
    <w:p>
      <w:pPr>
        <w:pStyle w:val="ListBullet"/>
      </w:pPr>
      <w:r>
        <w:t>src/openbilanz/taxonomy/resolver.py - Taxonomieauflösung/Entry Points.</w:t>
      </w:r>
    </w:p>
    <w:p>
      <w:pPr>
        <w:pStyle w:val="ListBullet"/>
      </w:pPr>
      <w:r>
        <w:t>src/openbilanz/taxonomy/arelle_adapter.py - Arelle-Anbindung.</w:t>
      </w:r>
    </w:p>
    <w:p>
      <w:pPr>
        <w:pStyle w:val="ListBullet"/>
      </w:pPr>
      <w:r>
        <w:t>src/openbilanz/services/closing_service.py - GuV-/Jahresabschluss und Ergebnislogik.</w:t>
      </w:r>
    </w:p>
    <w:p>
      <w:pPr>
        <w:pStyle w:val="ListBullet"/>
      </w:pPr>
      <w:r>
        <w:t>src/openbilanz/services/fiscal_year_closing_workflow.py - Persistenter Abschlussworkflow.</w:t>
      </w:r>
    </w:p>
    <w:p>
      <w:pPr>
        <w:pStyle w:val="ListBullet"/>
      </w:pPr>
      <w:r>
        <w:t>src/openbilanz/accounting/financial_statement_builder.py - HGB-Abschlusswerte aus Kontensalden.</w:t>
      </w:r>
    </w:p>
    <w:p>
      <w:pPr>
        <w:pStyle w:val="ListBullet"/>
      </w:pPr>
      <w:r>
        <w:t>src/openbilanz/resources/chart_of_accounts/openbilanz_standard.csv - importierter, SKR03-nah erweiterter Standardkontenrahmen.</w:t>
      </w:r>
    </w:p>
    <w:p>
      <w:pPr>
        <w:pStyle w:val="ListBullet"/>
      </w:pPr>
      <w:r>
        <w:t>src/openbilanz/demo/reference_scenario.py - persistentes lebensnahes Referenzszenario.</w:t>
      </w:r>
    </w:p>
    <w:p>
      <w:pPr>
        <w:pStyle w:val="Heading1"/>
      </w:pPr>
      <w:r>
        <w:t>7. Zentrale Tests</w:t>
      </w:r>
    </w:p>
    <w:p>
      <w:pPr>
        <w:pStyle w:val="ListBullet"/>
      </w:pPr>
      <w:r>
        <w:t>tests/integration/test_reference_scenario.py - Golden Scenario einschließlich Jahresabschluss und valider E-Bilanz.</w:t>
      </w:r>
    </w:p>
    <w:p>
      <w:pPr>
        <w:pStyle w:val="ListBullet"/>
      </w:pPr>
      <w:r>
        <w:t>tests/integration/test_e_bilanz_builder.py - direkter Integrationstest des EBilanzBuilder.</w:t>
      </w:r>
    </w:p>
    <w:p>
      <w:pPr>
        <w:pStyle w:val="ListBullet"/>
      </w:pPr>
      <w:r>
        <w:t>tests/integration/test_xbrl_export_validation.py - XBRL-/Arelle-Validierung und Taxonomieintegration.</w:t>
      </w:r>
    </w:p>
    <w:p>
      <w:pPr>
        <w:pStyle w:val="ListBullet"/>
      </w:pPr>
      <w:r>
        <w:t>tests/taxonomy/test_gaap_ci_statement_builder.py - GAAP-CI-Abschlussaufbau.</w:t>
      </w:r>
    </w:p>
    <w:p>
      <w:pPr>
        <w:pStyle w:val="ListBullet"/>
      </w:pPr>
      <w:r>
        <w:t>tests/taxonomy/test_hgb_gaap_ci_mapping.py - HGB/GAAP-CI-Mapping.</w:t>
      </w:r>
    </w:p>
    <w:p>
      <w:pPr>
        <w:pStyle w:val="ListBullet"/>
      </w:pPr>
      <w:r>
        <w:t>tests/services/test_closing_service.py - Jahresabschluss und Regressionstests.</w:t>
      </w:r>
    </w:p>
    <w:p>
      <w:pPr>
        <w:pStyle w:val="ListBullet"/>
      </w:pPr>
      <w:r>
        <w:t>tests/integration/test_openbilanz_standard_import.py und test_openbilanz_standard_chart.py - Standardkontenrahmen.</w:t>
      </w:r>
    </w:p>
    <w:p>
      <w:pPr>
        <w:pStyle w:val="Heading1"/>
      </w:pPr>
      <w:r>
        <w:t>8. Fachliche Details</w:t>
      </w:r>
    </w:p>
    <w:p>
      <w:r>
        <w:t>AccountType: ASSET, LIABILITY, EQUITY, REVENUE, EXPENSE. FinancialStatementPosition besitzt StatementCategory: ASSET, LIABILITY, INCOME, EXPENSE, RESULT, NEUTRAL.</w:t>
      </w:r>
    </w:p>
    <w:p>
      <w:r>
        <w:t>Der Standardkontenrahmen wird aus src/openbilanz/resources/chart_of_accounts/openbilanz_standard.csv importiert. ChartOfAccountsTemplate enthält TemplateAccount- und AccountMappingRule-Objekte.</w:t>
      </w:r>
    </w:p>
    <w:p>
      <w:r>
        <w:t>Wichtig für die E-Bilanz: GuV-Werte stammen aus dem Ledger VOR den Abschlussbuchungen; Bilanzwerte aus dem Ledger NACH dem Jahresabschluss. So bleiben Erfolgskonten in der GuV sichtbar und der Jahresüberschuss erscheint in der Schlussbilanz.</w:t>
      </w:r>
    </w:p>
    <w:p>
      <w:pPr>
        <w:pStyle w:val="Heading1"/>
      </w:pPr>
      <w:r>
        <w:t>9. Vorhandene GUI</w:t>
      </w:r>
    </w:p>
    <w:p>
      <w:pPr>
        <w:pStyle w:val="ListBullet"/>
      </w:pPr>
      <w:r>
        <w:t>src/openbilanz/ui/main_window.py</w:t>
      </w:r>
    </w:p>
    <w:p>
      <w:pPr>
        <w:pStyle w:val="ListBullet"/>
      </w:pPr>
      <w:r>
        <w:t>src/openbilanz/ui/start_dialog.py</w:t>
      </w:r>
    </w:p>
    <w:p>
      <w:pPr>
        <w:pStyle w:val="ListBullet"/>
      </w:pPr>
      <w:r>
        <w:t>src/openbilanz/ui/booking_frame.py</w:t>
      </w:r>
    </w:p>
    <w:p>
      <w:pPr>
        <w:pStyle w:val="ListBullet"/>
      </w:pPr>
      <w:r>
        <w:t>src/openbilanz/ui/balance_sheet_frame.py</w:t>
      </w:r>
    </w:p>
    <w:p>
      <w:pPr>
        <w:pStyle w:val="ListBullet"/>
      </w:pPr>
      <w:r>
        <w:t>src/openbilanz/ui/income_statement_frame.py</w:t>
      </w:r>
    </w:p>
    <w:p>
      <w:pPr>
        <w:pStyle w:val="ListBullet"/>
      </w:pPr>
      <w:r>
        <w:t>src/openbilanz/ui/new_company_dialog.py</w:t>
      </w:r>
    </w:p>
    <w:p>
      <w:pPr>
        <w:pStyle w:val="ListBullet"/>
      </w:pPr>
      <w:r>
        <w:t>src/openbilanz/ui/new_fiscal_year_dialog.py</w:t>
      </w:r>
    </w:p>
    <w:p>
      <w:pPr>
        <w:pStyle w:val="ListBullet"/>
      </w:pPr>
      <w:r>
        <w:t>src/openbilanz/ui/opening_balance_dialog.py</w:t>
      </w:r>
    </w:p>
    <w:p>
      <w:r>
        <w:t>main.py: Datenbank initialisieren -&gt; Tk-Root -&gt; StartDialog -&gt; Unternehmen/Geschäftsjahr auswählen -&gt; BookingRepository -&gt; MainWindow -&gt; mainloop().</w:t>
      </w:r>
    </w:p>
    <w:p>
      <w:pPr>
        <w:pStyle w:val="Heading1"/>
      </w:pPr>
      <w:r>
        <w:t>10. Einstieg v0.32.0</w:t>
      </w:r>
    </w:p>
    <w:p>
      <w:r>
        <w:t>v0.32.0 soll den bestehenden Anwendungsworkflow in der GUI nutzbar machen, statt ein weiteres isoliertes Backend-Feature zu ergänzen.</w:t>
      </w:r>
    </w:p>
    <w:p>
      <w:pPr>
        <w:pStyle w:val="IntenseQuote"/>
      </w:pPr>
      <w:r>
        <w:t>Unternehmen/Geschäftsjahr auswählen -&gt; Buchungen erfassen -&gt; GuV/Bilanz anzeigen -&gt; Jahresabschluss/Plausibilitätsprüfung -&gt; Geschäftsjahr schließen -&gt; E-Bilanz erzeugen -&gt; Arelle validieren -&gt; Status/Fehler anzeigen bzw. XBRL exportieren.</w:t>
      </w:r>
    </w:p>
    <w:p>
      <w:r>
        <w:t>Erster Schritt im Folgechat: vorhandene UI-Dateien vollständig lesen und prüfen, welche Services/Repositories bereits injiziert werden. Danach v0.32.0 als größeres Integrationspaket planen.</w:t>
      </w:r>
    </w:p>
    <w:p>
      <w:pPr>
        <w:pStyle w:val="Heading1"/>
      </w:pPr>
      <w:r>
        <w:t>11. Vereinbarte Arbeitsweise</w:t>
      </w:r>
    </w:p>
    <w:p>
      <w:pPr>
        <w:pStyle w:val="ListBullet"/>
      </w:pPr>
      <w:r>
        <w:t>Größere fachlich zusammenhängende Entwicklungspakete bevorzugen; unnötige Mikroschritte vermeiden.</w:t>
      </w:r>
    </w:p>
    <w:p>
      <w:pPr>
        <w:pStyle w:val="ListBullet"/>
      </w:pPr>
      <w:r>
        <w:t>Vor Änderungen bestehende APIs/Signaturen anhand des tatsächlichen Codes prüfen; Konstruktoren oder Fixtures nicht erraten.</w:t>
      </w:r>
    </w:p>
    <w:p>
      <w:pPr>
        <w:pStyle w:val="ListBullet"/>
      </w:pPr>
      <w:r>
        <w:t>Codeänderungen klar trennen: „Neu ergänzen“, „Bestehenden Teil ersetzen“, „Unverändert lassen“.</w:t>
      </w:r>
    </w:p>
    <w:p>
      <w:pPr>
        <w:pStyle w:val="ListBullet"/>
      </w:pPr>
      <w:r>
        <w:t>Nach sinnvollen Paketen gezielte Tests, danach Ruff und vollständige pytest-Suite.</w:t>
      </w:r>
    </w:p>
    <w:p>
      <w:pPr>
        <w:pStyle w:val="ListBullet"/>
      </w:pPr>
      <w:r>
        <w:t>Getaggte Baselines nicht nachträglich verändern; neue Arbeiten auf der nächsten Version aufbauen.</w:t>
      </w:r>
    </w:p>
    <w:p>
      <w:pPr>
        <w:pStyle w:val="ListBullet"/>
      </w:pPr>
      <w:r>
        <w:t>Golden Scenario als Regressionstest erhalten und für neue End-to-End-Funktionen bevorzugt wiederverwenden.</w:t>
      </w:r>
    </w:p>
    <w:p>
      <w:pPr>
        <w:pStyle w:val="Heading1"/>
      </w:pPr>
      <w:r>
        <w:t>12. Git-/Release-Baseline</w:t>
      </w:r>
    </w:p>
    <w:p>
      <w:pPr>
        <w:pStyle w:val="ListBullet"/>
      </w:pPr>
      <w:r>
        <w:t>Version in pyproject.toml: 0.31.0</w:t>
      </w:r>
    </w:p>
    <w:p>
      <w:pPr>
        <w:pStyle w:val="ListBullet"/>
      </w:pPr>
      <w:r>
        <w:t>Git-Tag: v0.31.0</w:t>
      </w:r>
    </w:p>
    <w:p>
      <w:pPr>
        <w:pStyle w:val="ListBullet"/>
      </w:pPr>
      <w:r>
        <w:t>Branch main war mit origin/main synchron.</w:t>
      </w:r>
    </w:p>
    <w:p>
      <w:pPr>
        <w:pStyle w:val="ListBullet"/>
      </w:pPr>
      <w:r>
        <w:t>Teststatus: 818 passed.</w:t>
      </w:r>
    </w:p>
    <w:p>
      <w:pPr>
        <w:pStyle w:val="ListBullet"/>
      </w:pPr>
      <w:r>
        <w:t>Working Tree: clean.</w:t>
      </w:r>
    </w:p>
    <w:p>
      <w:pPr>
        <w:pStyle w:val="Heading1"/>
      </w:pPr>
      <w:r>
        <w:t>13. Bewusst spätere Themen</w:t>
      </w:r>
    </w:p>
    <w:p>
      <w:pPr>
        <w:pStyle w:val="ListBullet"/>
      </w:pPr>
      <w:r>
        <w:t>PostgreSQL für Multi-User-/kleine Netzwerk-Installationen; SQLite bleibt vorerst Standard.</w:t>
      </w:r>
    </w:p>
    <w:p>
      <w:pPr>
        <w:pStyle w:val="ListBullet"/>
      </w:pPr>
      <w:r>
        <w:t>All-in-One-Installationspaket für OpenBilanz-UG.</w:t>
      </w:r>
    </w:p>
    <w:p>
      <w:pPr>
        <w:pStyle w:val="ListBullet"/>
      </w:pPr>
      <w:r>
        <w:t>GUI-gestützter Import/Auswahl offizieller Taxonomiemodelle.</w:t>
      </w:r>
    </w:p>
    <w:p>
      <w:pPr>
        <w:pStyle w:val="ListBullet"/>
      </w:pPr>
      <w:r>
        <w:t>Weitere Erweiterung des Kontenrahmens nur soweit fachlich/produktseitig erforderlich.</w:t>
      </w:r>
    </w:p>
    <w:p>
      <w:pPr>
        <w:pStyle w:val="Heading1"/>
      </w:pPr>
      <w:r>
        <w:t>14. Übergabetext für einen neuen Chat</w:t>
      </w:r>
    </w:p>
    <w:p>
      <w:pPr>
        <w:pStyle w:val="IntenseQuote"/>
      </w:pPr>
      <w:r>
        <w:t>Wir setzen die Entwicklung von OpenBilanz-UG auf Basis der beigefügten Projektübergabe fort. Die eingefrorene Baseline ist v0.31.0 mit 818 bestandenen Tests und sauberem Working Tree. Bitte übernimm die dokumentierten Architekturentscheidungen und die vereinbarte Arbeitsweise. Wir beginnen mit v0.32.0 und wollen die vorhandene Tkinter-GUI an den vollständigen Backend-Golden-Path bis zur Arelle-validierten E-Bilanz anbinden. Prüfe vor Änderungen die tatsächlich vorhandenen UI- und Service-APIs.</w:t>
      </w:r>
    </w:p>
    <w:p>
      <w:pPr>
        <w:pStyle w:val="Heading1"/>
      </w:pPr>
      <w:r>
        <w:t>15. Pflege</w:t>
      </w:r>
    </w:p>
    <w:p>
      <w:r>
        <w:t>Bei künftigen größeren Versionsmeilensteinen eine neue Übergabe erzeugen (z. B. HANDOVER_v0.32.0). Damit bleibt die Wiederaufnahme unabhängig von der Länge einzelner Chats.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