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Ao: {{ re_sindicado }}, {{ posto_graduacao_sindicado }} PM {{ nome_sindicado }} ou Defensor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Ref.: despacho nº {{ numero_processo }}/{{ ano_processo }} – {{ numero_batalhao_pm }} BPM PCD:</w:t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Notifico-lhe a comparecer, facultativamente, no dia {{ dia_oitiva }} de {{ mes_oitiva_extenso }} de {{ ano_oitiva }}, as {{ hora_oitiva }} horas, na sede do {{ numero_batalhao_pm }}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posto_testemunha }} PM {{ nome_testemunha_upper }}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</w:r>
      <w:r w:rsidDel="00000000" w:rsidR="00000000" w:rsidRPr="00000000">
        <w:rPr>
          <w:rFonts w:ascii="Rawline" w:cs="Rawline" w:eastAsia="Rawline" w:hAnsi="Rawline"/>
          <w:rtl w:val="0"/>
        </w:rPr>
        <w:t xml:space="preserve"> sobre os fatos constantes no PCD de portaria n° {{ numero_processo }}/{{ ano_processo }},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Quartel em {{ cidade_sede }}, {{ data_notificacao_sindicado_extenso }}.</w:t>
      </w:r>
    </w:p>
    <w:p w:rsidR="00000000" w:rsidDel="00000000" w:rsidP="00000000" w:rsidRDefault="00000000" w:rsidRPr="00000000" w14:paraId="00000015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>a uma via desta notificação, em {{ data_notificacao_sindicado_barra }},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nome_autoridade_processante }}, {{ posto_autoridade_processante }}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nome_sindicado }}</w:t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sectPr>
      <w:headerReference r:id="rId7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